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5ABD6">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sz w:val="30"/>
          <w:szCs w:val="30"/>
        </w:rPr>
      </w:pPr>
      <w:r>
        <w:drawing>
          <wp:inline distT="0" distB="0" distL="114300" distR="114300">
            <wp:extent cx="6232525" cy="8105140"/>
            <wp:effectExtent l="0" t="0" r="63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8"/>
                    <a:stretch>
                      <a:fillRect/>
                    </a:stretch>
                  </pic:blipFill>
                  <pic:spPr>
                    <a:xfrm>
                      <a:off x="0" y="0"/>
                      <a:ext cx="6232525" cy="8105140"/>
                    </a:xfrm>
                    <a:prstGeom prst="rect">
                      <a:avLst/>
                    </a:prstGeom>
                    <a:noFill/>
                    <a:ln>
                      <a:noFill/>
                    </a:ln>
                  </pic:spPr>
                </pic:pic>
              </a:graphicData>
            </a:graphic>
          </wp:inline>
        </w:drawing>
      </w:r>
      <w:r>
        <w:rPr>
          <w:rFonts w:hint="eastAsia" w:ascii="黑体" w:hAnsi="黑体" w:eastAsia="黑体"/>
          <w:snapToGrid w:val="0"/>
          <w:sz w:val="30"/>
          <w:szCs w:val="30"/>
        </w:rPr>
        <w:drawing>
          <wp:inline distT="0" distB="0" distL="114300" distR="114300">
            <wp:extent cx="6356350" cy="9138920"/>
            <wp:effectExtent l="0" t="0" r="13970" b="5080"/>
            <wp:docPr id="38" name="图片 38" descr="cdf089c7394b075ed11107f42b96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df089c7394b075ed11107f42b9646b"/>
                    <pic:cNvPicPr>
                      <a:picLocks noChangeAspect="1"/>
                    </pic:cNvPicPr>
                  </pic:nvPicPr>
                  <pic:blipFill>
                    <a:blip r:embed="rId9"/>
                    <a:stretch>
                      <a:fillRect/>
                    </a:stretch>
                  </pic:blipFill>
                  <pic:spPr>
                    <a:xfrm>
                      <a:off x="0" y="0"/>
                      <a:ext cx="6356350" cy="9138920"/>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6355715" cy="9082405"/>
            <wp:effectExtent l="0" t="0" r="14605" b="635"/>
            <wp:docPr id="15" name="图片 15" descr="7332a818284cd035b1ae68fce088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332a818284cd035b1ae68fce0882fe"/>
                    <pic:cNvPicPr>
                      <a:picLocks noChangeAspect="1"/>
                    </pic:cNvPicPr>
                  </pic:nvPicPr>
                  <pic:blipFill>
                    <a:blip r:embed="rId10"/>
                    <a:stretch>
                      <a:fillRect/>
                    </a:stretch>
                  </pic:blipFill>
                  <pic:spPr>
                    <a:xfrm>
                      <a:off x="0" y="0"/>
                      <a:ext cx="6355715" cy="9082405"/>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5991860" cy="8535670"/>
            <wp:effectExtent l="0" t="0" r="12700" b="13970"/>
            <wp:docPr id="19" name="图片 19" descr="2e83a4a67cf1e5677c022fac4f9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e83a4a67cf1e5677c022fac4f95380"/>
                    <pic:cNvPicPr>
                      <a:picLocks noChangeAspect="1"/>
                    </pic:cNvPicPr>
                  </pic:nvPicPr>
                  <pic:blipFill>
                    <a:blip r:embed="rId11"/>
                    <a:srcRect l="14775" t="10431" r="5883" b="11044"/>
                    <a:stretch>
                      <a:fillRect/>
                    </a:stretch>
                  </pic:blipFill>
                  <pic:spPr>
                    <a:xfrm>
                      <a:off x="0" y="0"/>
                      <a:ext cx="5991860" cy="8535670"/>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6017260" cy="8808085"/>
            <wp:effectExtent l="0" t="0" r="2540" b="635"/>
            <wp:docPr id="22" name="图片 22" descr="388015092b702a24687fe4458401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88015092b702a24687fe4458401a14"/>
                    <pic:cNvPicPr>
                      <a:picLocks noChangeAspect="1"/>
                    </pic:cNvPicPr>
                  </pic:nvPicPr>
                  <pic:blipFill>
                    <a:blip r:embed="rId12"/>
                    <a:stretch>
                      <a:fillRect/>
                    </a:stretch>
                  </pic:blipFill>
                  <pic:spPr>
                    <a:xfrm>
                      <a:off x="0" y="0"/>
                      <a:ext cx="6017260" cy="8808085"/>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6252845" cy="8786495"/>
            <wp:effectExtent l="0" t="0" r="10795" b="6985"/>
            <wp:docPr id="23" name="图片 23" descr="bb4ef01a66fea9bf74ba19811bcf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b4ef01a66fea9bf74ba19811bcfd04"/>
                    <pic:cNvPicPr>
                      <a:picLocks noChangeAspect="1"/>
                    </pic:cNvPicPr>
                  </pic:nvPicPr>
                  <pic:blipFill>
                    <a:blip r:embed="rId13"/>
                    <a:stretch>
                      <a:fillRect/>
                    </a:stretch>
                  </pic:blipFill>
                  <pic:spPr>
                    <a:xfrm>
                      <a:off x="0" y="0"/>
                      <a:ext cx="6252845" cy="8786495"/>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6408420" cy="9022080"/>
            <wp:effectExtent l="0" t="0" r="7620" b="0"/>
            <wp:docPr id="30" name="图片 30" descr="7c9a4380d0b26095f61437d8583c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c9a4380d0b26095f61437d8583cebe"/>
                    <pic:cNvPicPr>
                      <a:picLocks noChangeAspect="1"/>
                    </pic:cNvPicPr>
                  </pic:nvPicPr>
                  <pic:blipFill>
                    <a:blip r:embed="rId14"/>
                    <a:stretch>
                      <a:fillRect/>
                    </a:stretch>
                  </pic:blipFill>
                  <pic:spPr>
                    <a:xfrm>
                      <a:off x="0" y="0"/>
                      <a:ext cx="6408420" cy="9022080"/>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6377305" cy="8999855"/>
            <wp:effectExtent l="0" t="0" r="8255" b="6985"/>
            <wp:docPr id="31" name="图片 31" descr="49d05f32efe7008b0b9c2a4208e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9d05f32efe7008b0b9c2a4208e5945"/>
                    <pic:cNvPicPr>
                      <a:picLocks noChangeAspect="1"/>
                    </pic:cNvPicPr>
                  </pic:nvPicPr>
                  <pic:blipFill>
                    <a:blip r:embed="rId15"/>
                    <a:stretch>
                      <a:fillRect/>
                    </a:stretch>
                  </pic:blipFill>
                  <pic:spPr>
                    <a:xfrm>
                      <a:off x="0" y="0"/>
                      <a:ext cx="6377305" cy="8999855"/>
                    </a:xfrm>
                    <a:prstGeom prst="rect">
                      <a:avLst/>
                    </a:prstGeom>
                  </pic:spPr>
                </pic:pic>
              </a:graphicData>
            </a:graphic>
          </wp:inline>
        </w:drawing>
      </w:r>
      <w:r>
        <w:rPr>
          <w:rFonts w:hint="eastAsia" w:ascii="黑体" w:hAnsi="黑体" w:eastAsia="黑体"/>
          <w:snapToGrid w:val="0"/>
          <w:sz w:val="30"/>
          <w:szCs w:val="30"/>
        </w:rPr>
        <w:t>一、建设项目基本情况</w:t>
      </w:r>
    </w:p>
    <w:tbl>
      <w:tblPr>
        <w:tblStyle w:val="21"/>
        <w:tblW w:w="89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22"/>
        <w:gridCol w:w="2597"/>
        <w:gridCol w:w="1627"/>
        <w:gridCol w:w="585"/>
        <w:gridCol w:w="2744"/>
      </w:tblGrid>
      <w:tr w14:paraId="25F70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422" w:type="dxa"/>
            <w:noWrap w:val="0"/>
            <w:tcMar>
              <w:top w:w="16" w:type="dxa"/>
              <w:left w:w="16" w:type="dxa"/>
              <w:right w:w="16" w:type="dxa"/>
            </w:tcMar>
            <w:vAlign w:val="center"/>
          </w:tcPr>
          <w:p w14:paraId="0455560E">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建设项目</w:t>
            </w:r>
          </w:p>
          <w:p w14:paraId="43F7FECA">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名称</w:t>
            </w:r>
          </w:p>
        </w:tc>
        <w:tc>
          <w:tcPr>
            <w:tcW w:w="7553" w:type="dxa"/>
            <w:gridSpan w:val="4"/>
            <w:noWrap w:val="0"/>
            <w:vAlign w:val="center"/>
          </w:tcPr>
          <w:p w14:paraId="480B7862">
            <w:pPr>
              <w:adjustRightInd w:val="0"/>
              <w:snapToGrid w:val="0"/>
              <w:jc w:val="center"/>
              <w:rPr>
                <w:rFonts w:hint="eastAsia" w:cs="Times New Roman"/>
                <w:color w:val="auto"/>
                <w:sz w:val="24"/>
                <w:szCs w:val="24"/>
                <w:lang w:val="en-US" w:eastAsia="zh-CN"/>
              </w:rPr>
            </w:pPr>
            <w:r>
              <w:rPr>
                <w:rFonts w:hint="eastAsia" w:cs="Times New Roman"/>
                <w:color w:val="auto"/>
                <w:sz w:val="24"/>
                <w:szCs w:val="24"/>
                <w:lang w:val="en-US" w:eastAsia="zh-CN"/>
              </w:rPr>
              <w:t>叶县廉村镇沙渡口清真牛骨高汤系列、辣椒酱系列</w:t>
            </w:r>
          </w:p>
          <w:p w14:paraId="0D3D076D">
            <w:pPr>
              <w:adjustRightInd w:val="0"/>
              <w:snapToGrid w:val="0"/>
              <w:jc w:val="center"/>
              <w:rPr>
                <w:rFonts w:hint="default" w:ascii="Times New Roman" w:hAnsi="Times New Roman" w:eastAsia="宋体" w:cs="Times New Roman"/>
                <w:sz w:val="24"/>
                <w:lang w:val="en-US" w:eastAsia="zh-CN"/>
              </w:rPr>
            </w:pPr>
            <w:r>
              <w:rPr>
                <w:rFonts w:hint="eastAsia" w:cs="Times New Roman"/>
                <w:color w:val="auto"/>
                <w:sz w:val="24"/>
                <w:szCs w:val="24"/>
                <w:lang w:val="en-US" w:eastAsia="zh-CN"/>
              </w:rPr>
              <w:t>（复合调味料）加工项目</w:t>
            </w:r>
          </w:p>
        </w:tc>
      </w:tr>
      <w:tr w14:paraId="322D3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422" w:type="dxa"/>
            <w:noWrap w:val="0"/>
            <w:tcMar>
              <w:top w:w="16" w:type="dxa"/>
              <w:left w:w="16" w:type="dxa"/>
              <w:right w:w="16" w:type="dxa"/>
            </w:tcMar>
            <w:vAlign w:val="center"/>
          </w:tcPr>
          <w:p w14:paraId="12809A1B">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项目代码</w:t>
            </w:r>
          </w:p>
        </w:tc>
        <w:tc>
          <w:tcPr>
            <w:tcW w:w="7553" w:type="dxa"/>
            <w:gridSpan w:val="4"/>
            <w:noWrap w:val="0"/>
            <w:vAlign w:val="center"/>
          </w:tcPr>
          <w:p w14:paraId="2D05281D">
            <w:pPr>
              <w:adjustRightInd w:val="0"/>
              <w:snapToGrid w:val="0"/>
              <w:jc w:val="center"/>
              <w:rPr>
                <w:rFonts w:hint="default" w:ascii="Times New Roman" w:hAnsi="Times New Roman" w:eastAsia="宋体" w:cs="Times New Roman"/>
                <w:sz w:val="24"/>
                <w:lang w:val="en-US" w:eastAsia="zh-CN"/>
              </w:rPr>
            </w:pPr>
            <w:r>
              <w:rPr>
                <w:rFonts w:hint="eastAsia"/>
                <w:color w:val="auto"/>
                <w:sz w:val="24"/>
                <w:szCs w:val="24"/>
                <w:lang w:val="en-US" w:eastAsia="zh-CN"/>
              </w:rPr>
              <w:t>2302-410422-04-01-487454</w:t>
            </w:r>
          </w:p>
        </w:tc>
      </w:tr>
      <w:tr w14:paraId="0095D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1422" w:type="dxa"/>
            <w:noWrap w:val="0"/>
            <w:tcMar>
              <w:top w:w="16" w:type="dxa"/>
              <w:left w:w="16" w:type="dxa"/>
              <w:right w:w="16" w:type="dxa"/>
            </w:tcMar>
            <w:vAlign w:val="center"/>
          </w:tcPr>
          <w:p w14:paraId="7EBD7B93">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建设单位联系人</w:t>
            </w:r>
          </w:p>
        </w:tc>
        <w:tc>
          <w:tcPr>
            <w:tcW w:w="2597" w:type="dxa"/>
            <w:noWrap w:val="0"/>
            <w:vAlign w:val="center"/>
          </w:tcPr>
          <w:p w14:paraId="76EF7327">
            <w:pPr>
              <w:adjustRightInd w:val="0"/>
              <w:snapToGrid w:val="0"/>
              <w:jc w:val="center"/>
              <w:rPr>
                <w:rFonts w:hint="default" w:ascii="Times New Roman" w:hAnsi="Times New Roman" w:eastAsia="宋体" w:cs="Times New Roman"/>
                <w:sz w:val="24"/>
                <w:lang w:val="en-US" w:eastAsia="zh-CN"/>
              </w:rPr>
            </w:pPr>
            <w:r>
              <w:rPr>
                <w:rFonts w:hint="eastAsia"/>
                <w:color w:val="auto"/>
                <w:sz w:val="24"/>
                <w:szCs w:val="24"/>
                <w:lang w:val="en-US" w:eastAsia="zh-CN"/>
              </w:rPr>
              <w:t>杨宇航</w:t>
            </w:r>
          </w:p>
        </w:tc>
        <w:tc>
          <w:tcPr>
            <w:tcW w:w="2212" w:type="dxa"/>
            <w:gridSpan w:val="2"/>
            <w:noWrap w:val="0"/>
            <w:vAlign w:val="center"/>
          </w:tcPr>
          <w:p w14:paraId="672302A8">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联系方式</w:t>
            </w:r>
          </w:p>
        </w:tc>
        <w:tc>
          <w:tcPr>
            <w:tcW w:w="2744" w:type="dxa"/>
            <w:noWrap w:val="0"/>
            <w:vAlign w:val="center"/>
          </w:tcPr>
          <w:p w14:paraId="307023BF">
            <w:pPr>
              <w:adjustRightInd w:val="0"/>
              <w:snapToGrid w:val="0"/>
              <w:jc w:val="center"/>
              <w:rPr>
                <w:rFonts w:hint="default" w:ascii="Times New Roman" w:hAnsi="Times New Roman" w:eastAsia="宋体" w:cs="Times New Roman"/>
                <w:sz w:val="24"/>
                <w:lang w:val="en-US" w:eastAsia="zh-CN"/>
              </w:rPr>
            </w:pPr>
            <w:r>
              <w:rPr>
                <w:rFonts w:hint="eastAsia"/>
                <w:color w:val="auto"/>
                <w:sz w:val="24"/>
                <w:szCs w:val="24"/>
                <w:lang w:val="en-US" w:eastAsia="zh-CN"/>
              </w:rPr>
              <w:t>18603815311</w:t>
            </w:r>
          </w:p>
        </w:tc>
      </w:tr>
      <w:tr w14:paraId="41333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422" w:type="dxa"/>
            <w:noWrap w:val="0"/>
            <w:tcMar>
              <w:top w:w="16" w:type="dxa"/>
              <w:left w:w="16" w:type="dxa"/>
              <w:right w:w="16" w:type="dxa"/>
            </w:tcMar>
            <w:vAlign w:val="center"/>
          </w:tcPr>
          <w:p w14:paraId="01627669">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建设地点</w:t>
            </w:r>
          </w:p>
        </w:tc>
        <w:tc>
          <w:tcPr>
            <w:tcW w:w="7553" w:type="dxa"/>
            <w:gridSpan w:val="4"/>
            <w:noWrap w:val="0"/>
            <w:vAlign w:val="center"/>
          </w:tcPr>
          <w:p w14:paraId="1B1D9644">
            <w:pPr>
              <w:adjustRightInd w:val="0"/>
              <w:snapToGrid w:val="0"/>
              <w:jc w:val="center"/>
              <w:rPr>
                <w:rFonts w:hint="default" w:ascii="Times New Roman" w:hAnsi="Times New Roman" w:cs="Times New Roman"/>
                <w:sz w:val="24"/>
              </w:rPr>
            </w:pPr>
            <w:r>
              <w:rPr>
                <w:rFonts w:hint="eastAsia"/>
                <w:color w:val="auto"/>
                <w:kern w:val="0"/>
                <w:sz w:val="24"/>
                <w:szCs w:val="24"/>
                <w:lang w:val="en-US" w:eastAsia="zh-CN"/>
              </w:rPr>
              <w:t>河南省平顶山市叶县廉村镇沙渡口村二组1号</w:t>
            </w:r>
          </w:p>
        </w:tc>
      </w:tr>
      <w:tr w14:paraId="52B8D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422" w:type="dxa"/>
            <w:noWrap w:val="0"/>
            <w:tcMar>
              <w:top w:w="16" w:type="dxa"/>
              <w:left w:w="16" w:type="dxa"/>
              <w:right w:w="16" w:type="dxa"/>
            </w:tcMar>
            <w:vAlign w:val="center"/>
          </w:tcPr>
          <w:p w14:paraId="3A9F59AE">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highlight w:val="none"/>
              </w:rPr>
              <w:t>地理坐标</w:t>
            </w:r>
          </w:p>
        </w:tc>
        <w:tc>
          <w:tcPr>
            <w:tcW w:w="7553" w:type="dxa"/>
            <w:gridSpan w:val="4"/>
            <w:noWrap w:val="0"/>
            <w:vAlign w:val="center"/>
          </w:tcPr>
          <w:p w14:paraId="347DA0D3">
            <w:pPr>
              <w:jc w:val="center"/>
              <w:rPr>
                <w:rFonts w:hint="default" w:ascii="Times New Roman" w:hAnsi="Times New Roman" w:cs="Times New Roman"/>
                <w:sz w:val="24"/>
              </w:rPr>
            </w:pPr>
            <w:r>
              <w:rPr>
                <w:rFonts w:hint="default" w:ascii="Times New Roman" w:hAnsi="Times New Roman" w:cs="Times New Roman"/>
                <w:sz w:val="24"/>
                <w:highlight w:val="none"/>
                <w:u w:val="none"/>
              </w:rPr>
              <w:t>（113度</w:t>
            </w:r>
            <w:r>
              <w:rPr>
                <w:rFonts w:hint="eastAsia" w:cs="Times New Roman"/>
                <w:sz w:val="24"/>
                <w:highlight w:val="none"/>
                <w:u w:val="none"/>
                <w:lang w:val="en-US" w:eastAsia="zh-CN"/>
              </w:rPr>
              <w:t>30</w:t>
            </w:r>
            <w:r>
              <w:rPr>
                <w:rFonts w:hint="default" w:ascii="Times New Roman" w:hAnsi="Times New Roman" w:cs="Times New Roman"/>
                <w:sz w:val="24"/>
                <w:highlight w:val="none"/>
                <w:u w:val="none"/>
              </w:rPr>
              <w:t>分</w:t>
            </w:r>
            <w:r>
              <w:rPr>
                <w:rFonts w:hint="eastAsia" w:cs="Times New Roman"/>
                <w:sz w:val="24"/>
                <w:highlight w:val="none"/>
                <w:u w:val="none"/>
                <w:lang w:val="en-US" w:eastAsia="zh-CN"/>
              </w:rPr>
              <w:t>21.653</w:t>
            </w:r>
            <w:r>
              <w:rPr>
                <w:rFonts w:hint="default" w:ascii="Times New Roman" w:hAnsi="Times New Roman" w:cs="Times New Roman"/>
                <w:sz w:val="24"/>
                <w:highlight w:val="none"/>
                <w:u w:val="none"/>
              </w:rPr>
              <w:t>秒，33度</w:t>
            </w:r>
            <w:r>
              <w:rPr>
                <w:rFonts w:hint="eastAsia" w:cs="Times New Roman"/>
                <w:sz w:val="24"/>
                <w:highlight w:val="none"/>
                <w:u w:val="none"/>
                <w:lang w:val="en-US" w:eastAsia="zh-CN"/>
              </w:rPr>
              <w:t>36</w:t>
            </w:r>
            <w:r>
              <w:rPr>
                <w:rFonts w:hint="default" w:ascii="Times New Roman" w:hAnsi="Times New Roman" w:cs="Times New Roman"/>
                <w:sz w:val="24"/>
                <w:highlight w:val="none"/>
                <w:u w:val="none"/>
              </w:rPr>
              <w:t>分</w:t>
            </w:r>
            <w:r>
              <w:rPr>
                <w:rFonts w:hint="default" w:ascii="Times New Roman" w:hAnsi="Times New Roman" w:cs="Times New Roman"/>
                <w:sz w:val="24"/>
                <w:highlight w:val="none"/>
                <w:u w:val="none"/>
                <w:lang w:val="en-US" w:eastAsia="zh-CN"/>
              </w:rPr>
              <w:t>48.</w:t>
            </w:r>
            <w:r>
              <w:rPr>
                <w:rFonts w:hint="eastAsia" w:cs="Times New Roman"/>
                <w:sz w:val="24"/>
                <w:highlight w:val="none"/>
                <w:u w:val="none"/>
                <w:lang w:val="en-US" w:eastAsia="zh-CN"/>
              </w:rPr>
              <w:t>781</w:t>
            </w:r>
            <w:r>
              <w:rPr>
                <w:rFonts w:hint="default" w:ascii="Times New Roman" w:hAnsi="Times New Roman" w:cs="Times New Roman"/>
                <w:sz w:val="24"/>
                <w:highlight w:val="none"/>
                <w:u w:val="none"/>
              </w:rPr>
              <w:t>秒）</w:t>
            </w:r>
          </w:p>
        </w:tc>
      </w:tr>
      <w:tr w14:paraId="0E8E2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422" w:type="dxa"/>
            <w:noWrap w:val="0"/>
            <w:tcMar>
              <w:top w:w="16" w:type="dxa"/>
              <w:left w:w="16" w:type="dxa"/>
              <w:right w:w="16" w:type="dxa"/>
            </w:tcMar>
            <w:vAlign w:val="center"/>
          </w:tcPr>
          <w:p w14:paraId="6736C76B">
            <w:pPr>
              <w:adjustRightInd w:val="0"/>
              <w:snapToGrid w:val="0"/>
              <w:jc w:val="center"/>
              <w:rPr>
                <w:rFonts w:hint="default" w:ascii="Times New Roman" w:hAnsi="Times New Roman" w:cs="Times New Roman"/>
                <w:b w:val="0"/>
                <w:bCs/>
                <w:sz w:val="24"/>
                <w:highlight w:val="none"/>
              </w:rPr>
            </w:pPr>
            <w:r>
              <w:rPr>
                <w:rFonts w:hint="default" w:ascii="Times New Roman" w:hAnsi="Times New Roman" w:cs="Times New Roman"/>
                <w:b w:val="0"/>
                <w:bCs/>
                <w:sz w:val="24"/>
                <w:highlight w:val="none"/>
              </w:rPr>
              <w:t>国民经济</w:t>
            </w:r>
          </w:p>
          <w:p w14:paraId="14B4C69E">
            <w:pPr>
              <w:adjustRightInd w:val="0"/>
              <w:snapToGrid w:val="0"/>
              <w:jc w:val="center"/>
              <w:rPr>
                <w:rFonts w:hint="default" w:ascii="Times New Roman" w:hAnsi="Times New Roman" w:cs="Times New Roman"/>
                <w:b w:val="0"/>
                <w:bCs/>
                <w:sz w:val="24"/>
                <w:highlight w:val="yellow"/>
              </w:rPr>
            </w:pPr>
            <w:r>
              <w:rPr>
                <w:rFonts w:hint="default" w:ascii="Times New Roman" w:hAnsi="Times New Roman" w:cs="Times New Roman"/>
                <w:b w:val="0"/>
                <w:bCs/>
                <w:sz w:val="24"/>
                <w:highlight w:val="none"/>
              </w:rPr>
              <w:t>行业类别</w:t>
            </w:r>
          </w:p>
        </w:tc>
        <w:tc>
          <w:tcPr>
            <w:tcW w:w="2597" w:type="dxa"/>
            <w:noWrap w:val="0"/>
            <w:vAlign w:val="center"/>
          </w:tcPr>
          <w:p w14:paraId="4D2359CE">
            <w:pPr>
              <w:adjustRightInd w:val="0"/>
              <w:snapToGrid w:val="0"/>
              <w:jc w:val="center"/>
              <w:rPr>
                <w:rFonts w:hint="default" w:ascii="Times New Roman" w:hAnsi="Times New Roman" w:eastAsia="宋体" w:cs="Times New Roman"/>
                <w:sz w:val="24"/>
                <w:lang w:eastAsia="zh-CN"/>
              </w:rPr>
            </w:pPr>
            <w:r>
              <w:rPr>
                <w:rFonts w:hint="eastAsia" w:cs="Times New Roman"/>
                <w:color w:val="auto"/>
                <w:kern w:val="0"/>
                <w:sz w:val="24"/>
                <w:szCs w:val="24"/>
                <w:lang w:val="en-US" w:eastAsia="zh-CN"/>
              </w:rPr>
              <w:t>C1469其他调味品、发酵制品制造</w:t>
            </w:r>
          </w:p>
        </w:tc>
        <w:tc>
          <w:tcPr>
            <w:tcW w:w="1627" w:type="dxa"/>
            <w:noWrap w:val="0"/>
            <w:vAlign w:val="center"/>
          </w:tcPr>
          <w:p w14:paraId="40946738">
            <w:pPr>
              <w:adjustRightInd w:val="0"/>
              <w:snapToGrid w:val="0"/>
              <w:jc w:val="center"/>
              <w:rPr>
                <w:rFonts w:hint="default" w:ascii="Times New Roman" w:hAnsi="Times New Roman" w:cs="Times New Roman"/>
                <w:sz w:val="24"/>
              </w:rPr>
            </w:pPr>
            <w:bookmarkStart w:id="0" w:name="_Hlk49843745"/>
            <w:r>
              <w:rPr>
                <w:rFonts w:hint="default" w:ascii="Times New Roman" w:hAnsi="Times New Roman" w:cs="Times New Roman"/>
                <w:sz w:val="24"/>
              </w:rPr>
              <w:t>建设项目</w:t>
            </w:r>
          </w:p>
          <w:p w14:paraId="3E77BA11">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行业类别</w:t>
            </w:r>
            <w:bookmarkEnd w:id="0"/>
          </w:p>
        </w:tc>
        <w:tc>
          <w:tcPr>
            <w:tcW w:w="3329" w:type="dxa"/>
            <w:gridSpan w:val="2"/>
            <w:noWrap w:val="0"/>
            <w:vAlign w:val="center"/>
          </w:tcPr>
          <w:p w14:paraId="21931908">
            <w:pPr>
              <w:pStyle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auto"/>
                <w:kern w:val="0"/>
                <w:sz w:val="24"/>
                <w:szCs w:val="24"/>
                <w:lang w:val="en-US" w:eastAsia="zh-CN" w:bidi="ar-SA"/>
              </w:rPr>
              <w:t xml:space="preserve">十一、食品制造业 14-23 </w:t>
            </w:r>
            <w:r>
              <w:rPr>
                <w:rFonts w:hint="eastAsia" w:cs="Times New Roman"/>
                <w:color w:val="auto"/>
                <w:kern w:val="0"/>
                <w:sz w:val="24"/>
                <w:szCs w:val="24"/>
                <w:lang w:val="en-US" w:eastAsia="zh-CN" w:bidi="ar-SA"/>
              </w:rPr>
              <w:t>调味品、发酵制品制造</w:t>
            </w:r>
            <w:r>
              <w:rPr>
                <w:rFonts w:hint="eastAsia" w:ascii="Times New Roman" w:hAnsi="Times New Roman" w:eastAsia="宋体" w:cs="Times New Roman"/>
                <w:color w:val="auto"/>
                <w:kern w:val="0"/>
                <w:sz w:val="24"/>
                <w:szCs w:val="24"/>
                <w:lang w:val="en-US" w:eastAsia="zh-CN" w:bidi="ar-SA"/>
              </w:rPr>
              <w:t>14</w:t>
            </w:r>
            <w:r>
              <w:rPr>
                <w:rFonts w:hint="eastAsia" w:cs="Times New Roman"/>
                <w:color w:val="auto"/>
                <w:kern w:val="0"/>
                <w:sz w:val="24"/>
                <w:szCs w:val="24"/>
                <w:lang w:val="en-US" w:eastAsia="zh-CN" w:bidi="ar-SA"/>
              </w:rPr>
              <w:t>6</w:t>
            </w:r>
            <w:r>
              <w:rPr>
                <w:rFonts w:hint="eastAsia" w:ascii="Times New Roman" w:hAnsi="Times New Roman" w:eastAsia="宋体" w:cs="Times New Roman"/>
                <w:color w:val="auto"/>
                <w:kern w:val="0"/>
                <w:sz w:val="24"/>
                <w:szCs w:val="24"/>
                <w:lang w:val="en-US" w:eastAsia="zh-CN" w:bidi="ar-SA"/>
              </w:rPr>
              <w:t>*</w:t>
            </w:r>
          </w:p>
        </w:tc>
      </w:tr>
      <w:tr w14:paraId="6994E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1422" w:type="dxa"/>
            <w:noWrap w:val="0"/>
            <w:tcMar>
              <w:top w:w="16" w:type="dxa"/>
              <w:left w:w="16" w:type="dxa"/>
              <w:right w:w="16" w:type="dxa"/>
            </w:tcMar>
            <w:vAlign w:val="center"/>
          </w:tcPr>
          <w:p w14:paraId="6CFB89E3">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建设性质</w:t>
            </w:r>
          </w:p>
        </w:tc>
        <w:tc>
          <w:tcPr>
            <w:tcW w:w="2597" w:type="dxa"/>
            <w:noWrap w:val="0"/>
            <w:vAlign w:val="center"/>
          </w:tcPr>
          <w:p w14:paraId="7AB07055">
            <w:pPr>
              <w:keepNext w:val="0"/>
              <w:keepLines w:val="0"/>
              <w:pageBreakBefore w:val="0"/>
              <w:widowControl w:val="0"/>
              <w:kinsoku/>
              <w:wordWrap/>
              <w:overflowPunct/>
              <w:topLinePunct w:val="0"/>
              <w:autoSpaceDE/>
              <w:autoSpaceDN/>
              <w:bidi w:val="0"/>
              <w:spacing w:line="240" w:lineRule="auto"/>
              <w:rPr>
                <w:rFonts w:hint="eastAsia" w:hAnsi="宋体"/>
                <w:color w:val="auto"/>
                <w:sz w:val="24"/>
                <w:szCs w:val="24"/>
                <w:lang w:val="zh-CN"/>
              </w:rPr>
            </w:pPr>
            <w:r>
              <w:rPr>
                <w:rFonts w:hint="eastAsia"/>
                <w:color w:val="auto"/>
                <w:sz w:val="24"/>
                <w:szCs w:val="24"/>
                <w:lang w:val="zh-CN"/>
              </w:rPr>
              <w:t>■</w:t>
            </w:r>
            <w:r>
              <w:rPr>
                <w:rFonts w:hAnsi="宋体"/>
                <w:color w:val="auto"/>
                <w:sz w:val="24"/>
                <w:szCs w:val="24"/>
                <w:lang w:val="zh-CN"/>
              </w:rPr>
              <w:t>新建</w:t>
            </w:r>
          </w:p>
          <w:p w14:paraId="7CDE1CD3">
            <w:pPr>
              <w:keepNext w:val="0"/>
              <w:keepLines w:val="0"/>
              <w:pageBreakBefore w:val="0"/>
              <w:widowControl w:val="0"/>
              <w:kinsoku/>
              <w:wordWrap/>
              <w:overflowPunct/>
              <w:topLinePunct w:val="0"/>
              <w:autoSpaceDE/>
              <w:autoSpaceDN/>
              <w:bidi w:val="0"/>
              <w:spacing w:line="240" w:lineRule="auto"/>
              <w:rPr>
                <w:rFonts w:hint="eastAsia" w:hAnsi="宋体"/>
                <w:color w:val="auto"/>
                <w:sz w:val="24"/>
                <w:szCs w:val="24"/>
                <w:lang w:val="zh-CN"/>
              </w:rPr>
            </w:pPr>
            <w:r>
              <w:rPr>
                <w:rFonts w:hint="eastAsia"/>
                <w:color w:val="auto"/>
                <w:sz w:val="24"/>
                <w:szCs w:val="24"/>
                <w:lang w:val="zh-CN"/>
              </w:rPr>
              <w:t>□</w:t>
            </w:r>
            <w:r>
              <w:rPr>
                <w:rFonts w:hAnsi="宋体"/>
                <w:color w:val="auto"/>
                <w:sz w:val="24"/>
                <w:szCs w:val="24"/>
                <w:lang w:val="zh-CN"/>
              </w:rPr>
              <w:t>改建</w:t>
            </w:r>
          </w:p>
          <w:p w14:paraId="1CA6BED4">
            <w:pPr>
              <w:keepNext w:val="0"/>
              <w:keepLines w:val="0"/>
              <w:pageBreakBefore w:val="0"/>
              <w:widowControl w:val="0"/>
              <w:kinsoku/>
              <w:wordWrap/>
              <w:overflowPunct/>
              <w:topLinePunct w:val="0"/>
              <w:autoSpaceDE/>
              <w:autoSpaceDN/>
              <w:bidi w:val="0"/>
              <w:spacing w:line="240" w:lineRule="auto"/>
              <w:rPr>
                <w:rFonts w:hint="eastAsia" w:hAnsi="宋体"/>
                <w:color w:val="auto"/>
                <w:sz w:val="24"/>
                <w:szCs w:val="24"/>
                <w:lang w:val="zh-CN"/>
              </w:rPr>
            </w:pPr>
            <w:r>
              <w:rPr>
                <w:rFonts w:hint="eastAsia"/>
                <w:color w:val="auto"/>
                <w:sz w:val="24"/>
                <w:szCs w:val="24"/>
                <w:lang w:val="zh-CN"/>
              </w:rPr>
              <w:t>□</w:t>
            </w:r>
            <w:r>
              <w:rPr>
                <w:rFonts w:hint="eastAsia" w:hAnsi="宋体"/>
                <w:color w:val="auto"/>
                <w:sz w:val="24"/>
                <w:szCs w:val="24"/>
                <w:lang w:val="zh-CN"/>
              </w:rPr>
              <w:t>扩建</w:t>
            </w:r>
          </w:p>
          <w:p w14:paraId="32F93A41">
            <w:pPr>
              <w:jc w:val="left"/>
              <w:rPr>
                <w:rFonts w:hint="default" w:ascii="Times New Roman" w:hAnsi="Times New Roman" w:cs="Times New Roman"/>
                <w:sz w:val="24"/>
              </w:rPr>
            </w:pPr>
            <w:r>
              <w:rPr>
                <w:rFonts w:hint="eastAsia"/>
                <w:color w:val="auto"/>
                <w:sz w:val="24"/>
                <w:szCs w:val="24"/>
                <w:lang w:val="zh-CN"/>
              </w:rPr>
              <w:t>□</w:t>
            </w:r>
            <w:r>
              <w:rPr>
                <w:rFonts w:hint="eastAsia" w:hAnsi="宋体"/>
                <w:color w:val="auto"/>
                <w:sz w:val="24"/>
                <w:szCs w:val="24"/>
                <w:lang w:val="zh-CN"/>
              </w:rPr>
              <w:t>技术改造</w:t>
            </w:r>
          </w:p>
        </w:tc>
        <w:tc>
          <w:tcPr>
            <w:tcW w:w="1627" w:type="dxa"/>
            <w:noWrap w:val="0"/>
            <w:vAlign w:val="center"/>
          </w:tcPr>
          <w:p w14:paraId="130350C5">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w:t>
            </w:r>
          </w:p>
          <w:p w14:paraId="4FF40FA3">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申报情形</w:t>
            </w:r>
          </w:p>
        </w:tc>
        <w:tc>
          <w:tcPr>
            <w:tcW w:w="3329" w:type="dxa"/>
            <w:gridSpan w:val="2"/>
            <w:noWrap w:val="0"/>
            <w:vAlign w:val="center"/>
          </w:tcPr>
          <w:p w14:paraId="6E2C0070">
            <w:pPr>
              <w:keepNext w:val="0"/>
              <w:keepLines w:val="0"/>
              <w:pageBreakBefore w:val="0"/>
              <w:widowControl w:val="0"/>
              <w:kinsoku/>
              <w:wordWrap/>
              <w:overflowPunct/>
              <w:topLinePunct w:val="0"/>
              <w:autoSpaceDE/>
              <w:autoSpaceDN/>
              <w:bidi w:val="0"/>
              <w:adjustRightInd w:val="0"/>
              <w:snapToGrid w:val="0"/>
              <w:spacing w:line="240" w:lineRule="auto"/>
              <w:jc w:val="left"/>
              <w:rPr>
                <w:rFonts w:ascii="宋体" w:hAnsi="宋体" w:cs="宋体"/>
                <w:color w:val="auto"/>
                <w:sz w:val="24"/>
                <w:szCs w:val="24"/>
              </w:rPr>
            </w:pPr>
            <w:r>
              <w:rPr>
                <w:rFonts w:hint="eastAsia"/>
                <w:color w:val="auto"/>
                <w:sz w:val="24"/>
                <w:szCs w:val="24"/>
                <w:lang w:val="zh-CN"/>
              </w:rPr>
              <w:t>■</w:t>
            </w:r>
            <w:r>
              <w:rPr>
                <w:rFonts w:hint="eastAsia" w:ascii="宋体" w:hAnsi="宋体" w:cs="宋体"/>
                <w:color w:val="auto"/>
                <w:sz w:val="24"/>
                <w:szCs w:val="24"/>
              </w:rPr>
              <w:t>首次申报项目</w:t>
            </w:r>
          </w:p>
          <w:p w14:paraId="242AA178">
            <w:pPr>
              <w:keepNext w:val="0"/>
              <w:keepLines w:val="0"/>
              <w:pageBreakBefore w:val="0"/>
              <w:widowControl w:val="0"/>
              <w:kinsoku/>
              <w:wordWrap/>
              <w:overflowPunct/>
              <w:topLinePunct w:val="0"/>
              <w:autoSpaceDE/>
              <w:autoSpaceDN/>
              <w:bidi w:val="0"/>
              <w:adjustRightInd w:val="0"/>
              <w:snapToGrid w:val="0"/>
              <w:spacing w:line="240" w:lineRule="auto"/>
              <w:jc w:val="left"/>
              <w:rPr>
                <w:rFonts w:ascii="宋体" w:hAnsi="宋体" w:cs="宋体"/>
                <w:color w:val="auto"/>
                <w:sz w:val="24"/>
                <w:szCs w:val="24"/>
              </w:rPr>
            </w:pPr>
            <w:r>
              <w:rPr>
                <w:rFonts w:hint="eastAsia"/>
                <w:color w:val="auto"/>
                <w:sz w:val="24"/>
                <w:szCs w:val="24"/>
                <w:lang w:val="zh-CN"/>
              </w:rPr>
              <w:t>□</w:t>
            </w:r>
            <w:r>
              <w:rPr>
                <w:rFonts w:hint="eastAsia" w:ascii="宋体" w:hAnsi="宋体" w:cs="宋体"/>
                <w:color w:val="auto"/>
                <w:sz w:val="24"/>
                <w:szCs w:val="24"/>
              </w:rPr>
              <w:t>不予批准后再次申报项目</w:t>
            </w:r>
          </w:p>
          <w:p w14:paraId="24B3CFE6">
            <w:pPr>
              <w:keepNext w:val="0"/>
              <w:keepLines w:val="0"/>
              <w:pageBreakBefore w:val="0"/>
              <w:widowControl w:val="0"/>
              <w:kinsoku/>
              <w:wordWrap/>
              <w:overflowPunct/>
              <w:topLinePunct w:val="0"/>
              <w:autoSpaceDE/>
              <w:autoSpaceDN/>
              <w:bidi w:val="0"/>
              <w:adjustRightInd w:val="0"/>
              <w:snapToGrid w:val="0"/>
              <w:spacing w:line="240" w:lineRule="auto"/>
              <w:jc w:val="left"/>
              <w:rPr>
                <w:rFonts w:ascii="宋体" w:hAnsi="宋体" w:cs="宋体"/>
                <w:color w:val="auto"/>
                <w:sz w:val="24"/>
                <w:szCs w:val="24"/>
              </w:rPr>
            </w:pPr>
            <w:r>
              <w:rPr>
                <w:rFonts w:hint="eastAsia"/>
                <w:color w:val="auto"/>
                <w:sz w:val="24"/>
                <w:szCs w:val="24"/>
                <w:lang w:val="zh-CN"/>
              </w:rPr>
              <w:t>□</w:t>
            </w:r>
            <w:r>
              <w:rPr>
                <w:rFonts w:hint="eastAsia" w:ascii="宋体" w:hAnsi="宋体" w:cs="宋体"/>
                <w:color w:val="auto"/>
                <w:sz w:val="24"/>
                <w:szCs w:val="24"/>
              </w:rPr>
              <w:t>超五年重新审核项目</w:t>
            </w:r>
          </w:p>
          <w:p w14:paraId="5625F7FA">
            <w:pPr>
              <w:jc w:val="left"/>
              <w:rPr>
                <w:rFonts w:hint="default" w:ascii="Times New Roman" w:hAnsi="Times New Roman" w:cs="Times New Roman"/>
                <w:sz w:val="24"/>
              </w:rPr>
            </w:pPr>
            <w:r>
              <w:rPr>
                <w:rFonts w:hint="eastAsia"/>
                <w:color w:val="auto"/>
                <w:sz w:val="24"/>
                <w:szCs w:val="24"/>
                <w:lang w:val="zh-CN"/>
              </w:rPr>
              <w:t>□</w:t>
            </w:r>
            <w:r>
              <w:rPr>
                <w:rFonts w:hint="eastAsia" w:ascii="宋体" w:hAnsi="宋体" w:cs="宋体"/>
                <w:color w:val="auto"/>
                <w:sz w:val="24"/>
                <w:szCs w:val="24"/>
              </w:rPr>
              <w:t>重大变动重新报批项目</w:t>
            </w:r>
          </w:p>
        </w:tc>
      </w:tr>
      <w:tr w14:paraId="311E6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1422" w:type="dxa"/>
            <w:noWrap w:val="0"/>
            <w:tcMar>
              <w:top w:w="16" w:type="dxa"/>
              <w:left w:w="16" w:type="dxa"/>
              <w:right w:w="16" w:type="dxa"/>
            </w:tcMar>
            <w:vAlign w:val="center"/>
          </w:tcPr>
          <w:p w14:paraId="48BB8EE0">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项目审批（核准/备案）部门</w:t>
            </w:r>
          </w:p>
          <w:p w14:paraId="7A2378A0">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（选填）</w:t>
            </w:r>
          </w:p>
        </w:tc>
        <w:tc>
          <w:tcPr>
            <w:tcW w:w="2597" w:type="dxa"/>
            <w:noWrap w:val="0"/>
            <w:vAlign w:val="center"/>
          </w:tcPr>
          <w:p w14:paraId="6452CB71">
            <w:pPr>
              <w:adjustRightInd w:val="0"/>
              <w:snapToGrid w:val="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叶县发展和改革</w:t>
            </w:r>
          </w:p>
          <w:p w14:paraId="5D1665FA">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委员会</w:t>
            </w:r>
          </w:p>
        </w:tc>
        <w:tc>
          <w:tcPr>
            <w:tcW w:w="1627" w:type="dxa"/>
            <w:noWrap w:val="0"/>
            <w:vAlign w:val="center"/>
          </w:tcPr>
          <w:p w14:paraId="47A9F8FD">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项目审批（核准/备案）文号（选填）</w:t>
            </w:r>
          </w:p>
        </w:tc>
        <w:tc>
          <w:tcPr>
            <w:tcW w:w="3329" w:type="dxa"/>
            <w:gridSpan w:val="2"/>
            <w:noWrap w:val="0"/>
            <w:vAlign w:val="center"/>
          </w:tcPr>
          <w:p w14:paraId="15EC2297">
            <w:pPr>
              <w:adjustRightInd w:val="0"/>
              <w:snapToGrid w:val="0"/>
              <w:jc w:val="center"/>
              <w:rPr>
                <w:rFonts w:hint="default" w:ascii="Times New Roman" w:hAnsi="Times New Roman" w:cs="Times New Roman"/>
                <w:sz w:val="24"/>
              </w:rPr>
            </w:pPr>
            <w:r>
              <w:rPr>
                <w:rFonts w:hint="eastAsia"/>
                <w:color w:val="auto"/>
                <w:sz w:val="24"/>
                <w:szCs w:val="24"/>
                <w:lang w:val="en-US" w:eastAsia="zh-CN"/>
              </w:rPr>
              <w:t>2302-410422-04-01-487454</w:t>
            </w:r>
          </w:p>
        </w:tc>
      </w:tr>
      <w:tr w14:paraId="2930F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422" w:type="dxa"/>
            <w:noWrap w:val="0"/>
            <w:tcMar>
              <w:top w:w="16" w:type="dxa"/>
              <w:left w:w="16" w:type="dxa"/>
              <w:right w:w="16" w:type="dxa"/>
            </w:tcMar>
            <w:vAlign w:val="center"/>
          </w:tcPr>
          <w:p w14:paraId="4955A2DC">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总投资</w:t>
            </w:r>
          </w:p>
          <w:p w14:paraId="032AC1D2">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（万元）</w:t>
            </w:r>
          </w:p>
        </w:tc>
        <w:tc>
          <w:tcPr>
            <w:tcW w:w="2597" w:type="dxa"/>
            <w:noWrap w:val="0"/>
            <w:vAlign w:val="center"/>
          </w:tcPr>
          <w:p w14:paraId="1CCF9C8C">
            <w:pPr>
              <w:adjustRightInd w:val="0"/>
              <w:snapToGrid w:val="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2000</w:t>
            </w:r>
          </w:p>
        </w:tc>
        <w:tc>
          <w:tcPr>
            <w:tcW w:w="1627" w:type="dxa"/>
            <w:noWrap w:val="0"/>
            <w:tcMar>
              <w:top w:w="16" w:type="dxa"/>
              <w:left w:w="16" w:type="dxa"/>
              <w:right w:w="16" w:type="dxa"/>
            </w:tcMar>
            <w:vAlign w:val="center"/>
          </w:tcPr>
          <w:p w14:paraId="05B30720">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环保投资</w:t>
            </w:r>
          </w:p>
          <w:p w14:paraId="1194FB5A">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（万元）</w:t>
            </w:r>
          </w:p>
        </w:tc>
        <w:tc>
          <w:tcPr>
            <w:tcW w:w="3329" w:type="dxa"/>
            <w:gridSpan w:val="2"/>
            <w:noWrap w:val="0"/>
            <w:vAlign w:val="center"/>
          </w:tcPr>
          <w:p w14:paraId="702A16C0">
            <w:pPr>
              <w:adjustRightInd w:val="0"/>
              <w:snapToGrid w:val="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55</w:t>
            </w:r>
          </w:p>
        </w:tc>
      </w:tr>
      <w:tr w14:paraId="7F438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1422" w:type="dxa"/>
            <w:noWrap w:val="0"/>
            <w:tcMar>
              <w:top w:w="16" w:type="dxa"/>
              <w:left w:w="16" w:type="dxa"/>
              <w:right w:w="16" w:type="dxa"/>
            </w:tcMar>
            <w:vAlign w:val="center"/>
          </w:tcPr>
          <w:p w14:paraId="38DCC7FA">
            <w:pPr>
              <w:adjustRightInd w:val="0"/>
              <w:snapToGrid w:val="0"/>
              <w:jc w:val="center"/>
              <w:rPr>
                <w:rFonts w:hint="default" w:ascii="Times New Roman" w:hAnsi="Times New Roman" w:cs="Times New Roman"/>
                <w:b w:val="0"/>
                <w:bCs/>
                <w:sz w:val="24"/>
                <w:highlight w:val="none"/>
              </w:rPr>
            </w:pPr>
            <w:r>
              <w:rPr>
                <w:rFonts w:hint="default" w:ascii="Times New Roman" w:hAnsi="Times New Roman" w:cs="Times New Roman"/>
                <w:b w:val="0"/>
                <w:bCs/>
                <w:sz w:val="24"/>
                <w:highlight w:val="none"/>
              </w:rPr>
              <w:t>环保投资占比（%）</w:t>
            </w:r>
          </w:p>
        </w:tc>
        <w:tc>
          <w:tcPr>
            <w:tcW w:w="2597" w:type="dxa"/>
            <w:noWrap w:val="0"/>
            <w:vAlign w:val="center"/>
          </w:tcPr>
          <w:p w14:paraId="613EC419">
            <w:pPr>
              <w:adjustRightInd w:val="0"/>
              <w:snapToGrid w:val="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2.75</w:t>
            </w:r>
          </w:p>
        </w:tc>
        <w:tc>
          <w:tcPr>
            <w:tcW w:w="1627" w:type="dxa"/>
            <w:noWrap w:val="0"/>
            <w:tcMar>
              <w:top w:w="16" w:type="dxa"/>
              <w:left w:w="16" w:type="dxa"/>
              <w:right w:w="16" w:type="dxa"/>
            </w:tcMar>
            <w:vAlign w:val="center"/>
          </w:tcPr>
          <w:p w14:paraId="5E798F74">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施工工期</w:t>
            </w:r>
          </w:p>
        </w:tc>
        <w:tc>
          <w:tcPr>
            <w:tcW w:w="3329" w:type="dxa"/>
            <w:gridSpan w:val="2"/>
            <w:noWrap w:val="0"/>
            <w:vAlign w:val="center"/>
          </w:tcPr>
          <w:p w14:paraId="1A6A4923">
            <w:pPr>
              <w:adjustRightInd w:val="0"/>
              <w:snapToGrid w:val="0"/>
              <w:jc w:val="center"/>
              <w:rPr>
                <w:rFonts w:hint="default" w:ascii="Times New Roman" w:hAnsi="Times New Roman" w:cs="Times New Roman"/>
                <w:sz w:val="24"/>
                <w:highlight w:val="none"/>
              </w:rPr>
            </w:pPr>
            <w:r>
              <w:rPr>
                <w:rFonts w:hint="eastAsia" w:cs="Times New Roman"/>
                <w:sz w:val="24"/>
                <w:highlight w:val="none"/>
                <w:lang w:val="en-US" w:eastAsia="zh-CN"/>
              </w:rPr>
              <w:t>一</w:t>
            </w:r>
            <w:r>
              <w:rPr>
                <w:rFonts w:hint="default" w:ascii="Times New Roman" w:hAnsi="Times New Roman" w:cs="Times New Roman"/>
                <w:sz w:val="24"/>
                <w:highlight w:val="none"/>
              </w:rPr>
              <w:t>个月</w:t>
            </w:r>
          </w:p>
        </w:tc>
      </w:tr>
      <w:tr w14:paraId="239AE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jc w:val="center"/>
        </w:trPr>
        <w:tc>
          <w:tcPr>
            <w:tcW w:w="1422" w:type="dxa"/>
            <w:noWrap w:val="0"/>
            <w:tcMar>
              <w:top w:w="16" w:type="dxa"/>
              <w:left w:w="16" w:type="dxa"/>
              <w:right w:w="16" w:type="dxa"/>
            </w:tcMar>
            <w:vAlign w:val="center"/>
          </w:tcPr>
          <w:p w14:paraId="71E7C4DC">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是否开工</w:t>
            </w:r>
          </w:p>
          <w:p w14:paraId="162857EC">
            <w:pPr>
              <w:adjustRightInd w:val="0"/>
              <w:snapToGrid w:val="0"/>
              <w:jc w:val="center"/>
              <w:rPr>
                <w:rFonts w:hint="default" w:ascii="Times New Roman" w:hAnsi="Times New Roman" w:cs="Times New Roman"/>
                <w:b w:val="0"/>
                <w:bCs/>
                <w:sz w:val="24"/>
              </w:rPr>
            </w:pPr>
            <w:r>
              <w:rPr>
                <w:rFonts w:hint="default" w:ascii="Times New Roman" w:hAnsi="Times New Roman" w:cs="Times New Roman"/>
                <w:b w:val="0"/>
                <w:bCs/>
                <w:sz w:val="24"/>
              </w:rPr>
              <w:t>建设</w:t>
            </w:r>
          </w:p>
        </w:tc>
        <w:tc>
          <w:tcPr>
            <w:tcW w:w="2597" w:type="dxa"/>
            <w:noWrap w:val="0"/>
            <w:vAlign w:val="center"/>
          </w:tcPr>
          <w:p w14:paraId="3EC620BB">
            <w:pPr>
              <w:adjustRightInd w:val="0"/>
              <w:snapToGrid w:val="0"/>
              <w:rPr>
                <w:rFonts w:hint="default" w:ascii="Times New Roman" w:hAnsi="Times New Roman" w:cs="Times New Roman"/>
                <w:sz w:val="24"/>
              </w:rPr>
            </w:pPr>
            <w:r>
              <w:rPr>
                <w:rFonts w:hint="default" w:ascii="Times New Roman" w:hAnsi="Times New Roman" w:cs="Times New Roman"/>
                <w:sz w:val="24"/>
              </w:rPr>
              <w:sym w:font="Wingdings 2" w:char="F0A2"/>
            </w:r>
            <w:r>
              <w:rPr>
                <w:rFonts w:hint="default" w:ascii="Times New Roman" w:hAnsi="Times New Roman" w:cs="Times New Roman"/>
                <w:sz w:val="24"/>
              </w:rPr>
              <w:t>否</w:t>
            </w:r>
          </w:p>
          <w:p w14:paraId="4097BCB5">
            <w:pPr>
              <w:adjustRightInd w:val="0"/>
              <w:snapToGrid w:val="0"/>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p>
        </w:tc>
        <w:tc>
          <w:tcPr>
            <w:tcW w:w="1627" w:type="dxa"/>
            <w:noWrap w:val="0"/>
            <w:tcMar>
              <w:top w:w="16" w:type="dxa"/>
              <w:left w:w="16" w:type="dxa"/>
              <w:right w:w="16" w:type="dxa"/>
            </w:tcMar>
            <w:vAlign w:val="center"/>
          </w:tcPr>
          <w:p w14:paraId="6604CF93">
            <w:pPr>
              <w:adjustRightInd w:val="0"/>
              <w:snapToGrid w:val="0"/>
              <w:jc w:val="center"/>
              <w:rPr>
                <w:rFonts w:hint="default" w:ascii="Times New Roman" w:hAnsi="Times New Roman" w:cs="Times New Roman"/>
                <w:sz w:val="24"/>
              </w:rPr>
            </w:pPr>
            <w:r>
              <w:rPr>
                <w:rFonts w:hint="default" w:ascii="Times New Roman" w:hAnsi="Times New Roman" w:cs="Times New Roman"/>
                <w:spacing w:val="-6"/>
                <w:sz w:val="24"/>
              </w:rPr>
              <w:t>用地面积（m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3329" w:type="dxa"/>
            <w:gridSpan w:val="2"/>
            <w:noWrap w:val="0"/>
            <w:vAlign w:val="center"/>
          </w:tcPr>
          <w:p w14:paraId="74216B0D">
            <w:pPr>
              <w:adjustRightInd w:val="0"/>
              <w:snapToGrid w:val="0"/>
              <w:jc w:val="center"/>
              <w:rPr>
                <w:rFonts w:hint="default" w:ascii="Times New Roman" w:hAnsi="Times New Roman" w:eastAsia="宋体" w:cs="Times New Roman"/>
                <w:sz w:val="24"/>
                <w:lang w:val="en-US" w:eastAsia="zh-CN"/>
              </w:rPr>
            </w:pPr>
            <w:r>
              <w:rPr>
                <w:rFonts w:hint="eastAsia" w:cs="Times New Roman"/>
                <w:sz w:val="24"/>
                <w:highlight w:val="none"/>
                <w:lang w:val="en-US" w:eastAsia="zh-CN"/>
              </w:rPr>
              <w:t>13874</w:t>
            </w:r>
          </w:p>
        </w:tc>
      </w:tr>
      <w:tr w14:paraId="3BDC9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422" w:type="dxa"/>
            <w:noWrap w:val="0"/>
            <w:vAlign w:val="center"/>
          </w:tcPr>
          <w:p w14:paraId="4B08F8EF">
            <w:pPr>
              <w:autoSpaceDE w:val="0"/>
              <w:autoSpaceDN w:val="0"/>
              <w:adjustRightInd w:val="0"/>
              <w:snapToGrid w:val="0"/>
              <w:jc w:val="center"/>
              <w:rPr>
                <w:rFonts w:hint="default" w:ascii="Times New Roman" w:hAnsi="Times New Roman" w:cs="Times New Roman"/>
                <w:b w:val="0"/>
                <w:bCs/>
                <w:kern w:val="0"/>
                <w:sz w:val="24"/>
              </w:rPr>
            </w:pPr>
            <w:r>
              <w:rPr>
                <w:rFonts w:hint="default" w:ascii="Times New Roman" w:hAnsi="Times New Roman" w:cs="Times New Roman"/>
                <w:b w:val="0"/>
                <w:bCs/>
                <w:kern w:val="0"/>
                <w:sz w:val="24"/>
              </w:rPr>
              <w:t>专项评价</w:t>
            </w:r>
          </w:p>
          <w:p w14:paraId="79DFDB84">
            <w:pPr>
              <w:autoSpaceDE w:val="0"/>
              <w:autoSpaceDN w:val="0"/>
              <w:adjustRightInd w:val="0"/>
              <w:snapToGrid w:val="0"/>
              <w:jc w:val="center"/>
              <w:rPr>
                <w:rFonts w:hint="default" w:ascii="Times New Roman" w:hAnsi="Times New Roman" w:cs="Times New Roman"/>
                <w:b w:val="0"/>
                <w:bCs/>
                <w:kern w:val="0"/>
                <w:sz w:val="24"/>
              </w:rPr>
            </w:pPr>
            <w:r>
              <w:rPr>
                <w:rFonts w:hint="default" w:ascii="Times New Roman" w:hAnsi="Times New Roman" w:cs="Times New Roman"/>
                <w:b w:val="0"/>
                <w:bCs/>
                <w:kern w:val="0"/>
                <w:sz w:val="24"/>
              </w:rPr>
              <w:t>设置情况</w:t>
            </w:r>
          </w:p>
        </w:tc>
        <w:tc>
          <w:tcPr>
            <w:tcW w:w="7553" w:type="dxa"/>
            <w:gridSpan w:val="4"/>
            <w:noWrap w:val="0"/>
            <w:vAlign w:val="center"/>
          </w:tcPr>
          <w:p w14:paraId="3DC82BB8">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无</w:t>
            </w:r>
          </w:p>
        </w:tc>
      </w:tr>
      <w:tr w14:paraId="775BF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22" w:type="dxa"/>
            <w:noWrap w:val="0"/>
            <w:vAlign w:val="center"/>
          </w:tcPr>
          <w:p w14:paraId="3CC8074A">
            <w:pPr>
              <w:autoSpaceDE w:val="0"/>
              <w:autoSpaceDN w:val="0"/>
              <w:adjustRightInd w:val="0"/>
              <w:snapToGrid w:val="0"/>
              <w:jc w:val="center"/>
              <w:rPr>
                <w:rFonts w:hint="default" w:ascii="Times New Roman" w:hAnsi="Times New Roman" w:cs="Times New Roman"/>
                <w:b w:val="0"/>
                <w:bCs/>
                <w:kern w:val="0"/>
                <w:sz w:val="24"/>
              </w:rPr>
            </w:pPr>
            <w:r>
              <w:rPr>
                <w:rFonts w:hint="default" w:ascii="Times New Roman" w:hAnsi="Times New Roman" w:cs="Times New Roman"/>
                <w:b w:val="0"/>
                <w:bCs/>
                <w:sz w:val="24"/>
              </w:rPr>
              <w:t>规划情况</w:t>
            </w:r>
          </w:p>
        </w:tc>
        <w:tc>
          <w:tcPr>
            <w:tcW w:w="7553" w:type="dxa"/>
            <w:gridSpan w:val="4"/>
            <w:noWrap w:val="0"/>
            <w:vAlign w:val="center"/>
          </w:tcPr>
          <w:p w14:paraId="25104A90">
            <w:pPr>
              <w:autoSpaceDE w:val="0"/>
              <w:autoSpaceDN w:val="0"/>
              <w:adjustRightInd w:val="0"/>
              <w:snapToGrid w:val="0"/>
              <w:spacing w:line="520" w:lineRule="exact"/>
              <w:jc w:val="center"/>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无</w:t>
            </w:r>
          </w:p>
        </w:tc>
      </w:tr>
      <w:tr w14:paraId="4C75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22" w:type="dxa"/>
            <w:tcBorders>
              <w:right w:val="single" w:color="auto" w:sz="2" w:space="0"/>
            </w:tcBorders>
            <w:noWrap w:val="0"/>
            <w:vAlign w:val="center"/>
          </w:tcPr>
          <w:p w14:paraId="0ECE073E">
            <w:pPr>
              <w:adjustRightInd w:val="0"/>
              <w:snapToGrid w:val="0"/>
              <w:jc w:val="center"/>
              <w:rPr>
                <w:rFonts w:hint="default" w:ascii="Times New Roman" w:hAnsi="Times New Roman" w:cs="Times New Roman"/>
                <w:b w:val="0"/>
                <w:bCs/>
                <w:kern w:val="0"/>
                <w:sz w:val="24"/>
              </w:rPr>
            </w:pPr>
            <w:r>
              <w:rPr>
                <w:rFonts w:hint="default" w:ascii="Times New Roman" w:hAnsi="Times New Roman" w:cs="Times New Roman"/>
                <w:b w:val="0"/>
                <w:bCs/>
                <w:sz w:val="24"/>
              </w:rPr>
              <w:t>规划环境影响评价情况</w:t>
            </w:r>
          </w:p>
        </w:tc>
        <w:tc>
          <w:tcPr>
            <w:tcW w:w="7553" w:type="dxa"/>
            <w:gridSpan w:val="4"/>
            <w:tcBorders>
              <w:left w:val="single" w:color="auto" w:sz="2" w:space="0"/>
            </w:tcBorders>
            <w:noWrap w:val="0"/>
            <w:vAlign w:val="center"/>
          </w:tcPr>
          <w:p w14:paraId="5659E851">
            <w:pPr>
              <w:autoSpaceDE w:val="0"/>
              <w:autoSpaceDN w:val="0"/>
              <w:adjustRightInd w:val="0"/>
              <w:snapToGrid w:val="0"/>
              <w:spacing w:line="520" w:lineRule="exact"/>
              <w:jc w:val="center"/>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无</w:t>
            </w:r>
          </w:p>
        </w:tc>
      </w:tr>
      <w:tr w14:paraId="00BBD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22" w:type="dxa"/>
            <w:tcBorders>
              <w:right w:val="single" w:color="auto" w:sz="2" w:space="0"/>
            </w:tcBorders>
            <w:noWrap w:val="0"/>
            <w:vAlign w:val="center"/>
          </w:tcPr>
          <w:p w14:paraId="71A15555">
            <w:pPr>
              <w:autoSpaceDE w:val="0"/>
              <w:autoSpaceDN w:val="0"/>
              <w:adjustRightInd w:val="0"/>
              <w:snapToGrid w:val="0"/>
              <w:jc w:val="center"/>
              <w:rPr>
                <w:rFonts w:hint="default" w:ascii="Times New Roman" w:hAnsi="Times New Roman" w:cs="Times New Roman"/>
                <w:b w:val="0"/>
                <w:bCs/>
                <w:kern w:val="0"/>
                <w:sz w:val="24"/>
              </w:rPr>
            </w:pPr>
            <w:r>
              <w:rPr>
                <w:rFonts w:hint="default" w:ascii="Times New Roman" w:hAnsi="Times New Roman" w:cs="Times New Roman"/>
                <w:b w:val="0"/>
                <w:bCs/>
                <w:kern w:val="0"/>
                <w:sz w:val="24"/>
              </w:rPr>
              <w:t>规划及规划环境影响评价符合性分析</w:t>
            </w:r>
          </w:p>
        </w:tc>
        <w:tc>
          <w:tcPr>
            <w:tcW w:w="7553" w:type="dxa"/>
            <w:gridSpan w:val="4"/>
            <w:tcBorders>
              <w:left w:val="single" w:color="auto" w:sz="2" w:space="0"/>
            </w:tcBorders>
            <w:noWrap w:val="0"/>
            <w:vAlign w:val="center"/>
          </w:tcPr>
          <w:p w14:paraId="38BC6E76">
            <w:pPr>
              <w:autoSpaceDE w:val="0"/>
              <w:autoSpaceDN w:val="0"/>
              <w:adjustRightInd w:val="0"/>
              <w:snapToGrid w:val="0"/>
              <w:spacing w:line="520" w:lineRule="exact"/>
              <w:jc w:val="center"/>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无</w:t>
            </w:r>
          </w:p>
        </w:tc>
      </w:tr>
      <w:tr w14:paraId="62BFD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7" w:hRule="atLeast"/>
          <w:jc w:val="center"/>
        </w:trPr>
        <w:tc>
          <w:tcPr>
            <w:tcW w:w="1422" w:type="dxa"/>
            <w:noWrap w:val="0"/>
            <w:vAlign w:val="center"/>
          </w:tcPr>
          <w:p w14:paraId="1548509B">
            <w:pPr>
              <w:autoSpaceDE w:val="0"/>
              <w:autoSpaceDN w:val="0"/>
              <w:adjustRightInd w:val="0"/>
              <w:snapToGrid w:val="0"/>
              <w:jc w:val="center"/>
              <w:rPr>
                <w:rFonts w:hint="default" w:ascii="Times New Roman" w:hAnsi="Times New Roman" w:cs="Times New Roman"/>
                <w:b/>
                <w:kern w:val="0"/>
                <w:sz w:val="24"/>
              </w:rPr>
            </w:pPr>
            <w:r>
              <w:rPr>
                <w:rFonts w:hint="default" w:ascii="Times New Roman" w:hAnsi="Times New Roman" w:cs="Times New Roman"/>
                <w:b/>
                <w:kern w:val="0"/>
                <w:sz w:val="24"/>
              </w:rPr>
              <w:t>其他符合</w:t>
            </w:r>
          </w:p>
          <w:p w14:paraId="443C4356">
            <w:pPr>
              <w:autoSpaceDE w:val="0"/>
              <w:autoSpaceDN w:val="0"/>
              <w:adjustRightInd w:val="0"/>
              <w:snapToGrid w:val="0"/>
              <w:jc w:val="center"/>
              <w:rPr>
                <w:rFonts w:hint="default" w:ascii="Times New Roman" w:hAnsi="Times New Roman" w:cs="Times New Roman"/>
                <w:b/>
                <w:kern w:val="0"/>
                <w:sz w:val="24"/>
              </w:rPr>
            </w:pPr>
            <w:r>
              <w:rPr>
                <w:rFonts w:hint="default" w:ascii="Times New Roman" w:hAnsi="Times New Roman" w:cs="Times New Roman"/>
                <w:b/>
                <w:kern w:val="0"/>
                <w:sz w:val="24"/>
              </w:rPr>
              <w:t>性分析</w:t>
            </w:r>
          </w:p>
        </w:tc>
        <w:tc>
          <w:tcPr>
            <w:tcW w:w="7553" w:type="dxa"/>
            <w:gridSpan w:val="4"/>
            <w:noWrap w:val="0"/>
            <w:vAlign w:val="center"/>
          </w:tcPr>
          <w:p w14:paraId="50B25ABC">
            <w:pPr>
              <w:keepNext w:val="0"/>
              <w:keepLines w:val="0"/>
              <w:pageBreakBefore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lang w:val="en-US" w:eastAsia="zh-CN"/>
              </w:rPr>
              <w:t>1</w:t>
            </w:r>
            <w:r>
              <w:rPr>
                <w:rFonts w:hint="default" w:ascii="Times New Roman" w:hAnsi="Times New Roman" w:cs="Times New Roman"/>
                <w:b/>
                <w:bCs/>
                <w:sz w:val="24"/>
              </w:rPr>
              <w:t>、</w:t>
            </w:r>
            <w:r>
              <w:rPr>
                <w:rFonts w:hint="default" w:ascii="Times New Roman" w:hAnsi="Times New Roman" w:cs="Times New Roman"/>
                <w:b/>
                <w:bCs/>
                <w:sz w:val="24"/>
                <w:lang w:val="en-US" w:eastAsia="zh-CN"/>
              </w:rPr>
              <w:t>报告表</w:t>
            </w:r>
            <w:r>
              <w:rPr>
                <w:rFonts w:hint="default" w:ascii="Times New Roman" w:hAnsi="Times New Roman" w:cs="Times New Roman"/>
                <w:b/>
                <w:bCs/>
                <w:sz w:val="24"/>
              </w:rPr>
              <w:t>编制依据</w:t>
            </w:r>
          </w:p>
          <w:p w14:paraId="6E9E8535">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 w:val="0"/>
                <w:bCs/>
                <w:kern w:val="28"/>
                <w:sz w:val="24"/>
                <w:szCs w:val="40"/>
                <w:u w:val="none"/>
                <w:lang w:val="zh-CN" w:eastAsia="zh-CN" w:bidi="ar-SA"/>
              </w:rPr>
            </w:pPr>
            <w:r>
              <w:rPr>
                <w:rFonts w:hint="default" w:ascii="Times New Roman" w:hAnsi="Times New Roman" w:cs="Times New Roman"/>
                <w:b w:val="0"/>
                <w:bCs/>
                <w:kern w:val="28"/>
                <w:sz w:val="24"/>
                <w:szCs w:val="40"/>
                <w:u w:val="none"/>
                <w:lang w:val="en-US" w:eastAsia="zh-CN" w:bidi="ar-SA"/>
              </w:rPr>
              <w:t>本项目</w:t>
            </w:r>
            <w:r>
              <w:rPr>
                <w:rFonts w:hint="default" w:ascii="Times New Roman" w:hAnsi="Times New Roman" w:eastAsia="宋体" w:cs="Times New Roman"/>
                <w:b w:val="0"/>
                <w:bCs/>
                <w:kern w:val="28"/>
                <w:sz w:val="24"/>
                <w:szCs w:val="40"/>
                <w:u w:val="none"/>
                <w:lang w:val="en-US" w:eastAsia="zh-CN" w:bidi="ar-SA"/>
              </w:rPr>
              <w:t>利用</w:t>
            </w:r>
            <w:r>
              <w:rPr>
                <w:rFonts w:hint="eastAsia" w:ascii="Times New Roman" w:hAnsi="Times New Roman" w:cs="Times New Roman"/>
                <w:b w:val="0"/>
                <w:bCs/>
                <w:kern w:val="28"/>
                <w:sz w:val="24"/>
                <w:szCs w:val="40"/>
                <w:u w:val="none"/>
                <w:lang w:val="en-US" w:eastAsia="zh-CN" w:bidi="ar-SA"/>
              </w:rPr>
              <w:t>牛骨、</w:t>
            </w:r>
            <w:r>
              <w:rPr>
                <w:rFonts w:hint="default" w:ascii="Times New Roman" w:hAnsi="Times New Roman" w:cs="Times New Roman"/>
                <w:b w:val="0"/>
                <w:bCs/>
                <w:kern w:val="28"/>
                <w:sz w:val="24"/>
                <w:szCs w:val="40"/>
                <w:u w:val="none"/>
                <w:lang w:val="en-US" w:eastAsia="zh-CN" w:bidi="ar-SA"/>
              </w:rPr>
              <w:t>辣椒</w:t>
            </w:r>
            <w:r>
              <w:rPr>
                <w:rFonts w:hint="default" w:ascii="Times New Roman" w:hAnsi="Times New Roman" w:eastAsia="宋体" w:cs="Times New Roman"/>
                <w:b w:val="0"/>
                <w:bCs/>
                <w:kern w:val="28"/>
                <w:sz w:val="24"/>
                <w:szCs w:val="40"/>
                <w:u w:val="none"/>
                <w:lang w:val="en-US" w:eastAsia="zh-CN" w:bidi="ar-SA"/>
              </w:rPr>
              <w:t>为</w:t>
            </w:r>
            <w:r>
              <w:rPr>
                <w:rFonts w:hint="eastAsia" w:cs="Times New Roman"/>
                <w:b w:val="0"/>
                <w:bCs/>
                <w:kern w:val="28"/>
                <w:sz w:val="24"/>
                <w:szCs w:val="40"/>
                <w:u w:val="none"/>
                <w:lang w:val="en-US" w:eastAsia="zh-CN" w:bidi="ar-SA"/>
              </w:rPr>
              <w:t>主要</w:t>
            </w:r>
            <w:r>
              <w:rPr>
                <w:rFonts w:hint="default" w:ascii="Times New Roman" w:hAnsi="Times New Roman" w:eastAsia="宋体" w:cs="Times New Roman"/>
                <w:b w:val="0"/>
                <w:bCs/>
                <w:kern w:val="28"/>
                <w:sz w:val="24"/>
                <w:szCs w:val="40"/>
                <w:u w:val="none"/>
                <w:lang w:val="en-US" w:eastAsia="zh-CN" w:bidi="ar-SA"/>
              </w:rPr>
              <w:t>原料生产</w:t>
            </w:r>
            <w:r>
              <w:rPr>
                <w:rFonts w:hint="default" w:ascii="Times New Roman" w:hAnsi="Times New Roman" w:cs="Times New Roman"/>
                <w:b w:val="0"/>
                <w:bCs/>
                <w:kern w:val="28"/>
                <w:sz w:val="24"/>
                <w:szCs w:val="40"/>
                <w:u w:val="none"/>
                <w:lang w:val="en-US" w:eastAsia="zh-CN" w:bidi="ar-SA"/>
              </w:rPr>
              <w:t>辣椒酱及调味品</w:t>
            </w:r>
            <w:r>
              <w:rPr>
                <w:rFonts w:hint="default" w:ascii="Times New Roman" w:hAnsi="Times New Roman" w:eastAsia="宋体" w:cs="Times New Roman"/>
                <w:b w:val="0"/>
                <w:bCs/>
                <w:kern w:val="28"/>
                <w:sz w:val="24"/>
                <w:szCs w:val="40"/>
                <w:u w:val="none"/>
                <w:lang w:val="zh-CN" w:eastAsia="zh-CN" w:bidi="ar-SA"/>
              </w:rPr>
              <w:t>，</w:t>
            </w:r>
            <w:r>
              <w:rPr>
                <w:rFonts w:hint="default" w:ascii="Times New Roman" w:hAnsi="Times New Roman" w:cs="Times New Roman"/>
                <w:color w:val="000000"/>
                <w:sz w:val="24"/>
                <w:highlight w:val="none"/>
                <w:u w:val="none"/>
              </w:rPr>
              <w:t>按照《中</w:t>
            </w:r>
            <w:r>
              <w:rPr>
                <w:rFonts w:hint="default" w:ascii="Times New Roman" w:hAnsi="Times New Roman" w:cs="Times New Roman"/>
                <w:color w:val="000000"/>
                <w:sz w:val="24"/>
                <w:u w:val="none"/>
              </w:rPr>
              <w:t>华人民共和国环境保护法》、《中华人民共和国环境影响评价法》以及《建设项目环境保护管理条例》（国务院第682号令）的要求，并查阅《建设项目环境影响评价分类管理名录》（2021年版）（生态环境部令第16号）</w:t>
            </w:r>
            <w:r>
              <w:rPr>
                <w:rFonts w:hint="default" w:ascii="Times New Roman" w:hAnsi="Times New Roman" w:eastAsia="宋体" w:cs="Times New Roman"/>
                <w:b w:val="0"/>
                <w:bCs/>
                <w:kern w:val="28"/>
                <w:sz w:val="24"/>
                <w:szCs w:val="40"/>
                <w:u w:val="none"/>
                <w:lang w:val="en-US" w:eastAsia="zh-CN" w:bidi="ar-SA"/>
              </w:rPr>
              <w:t>，本项目</w:t>
            </w:r>
            <w:r>
              <w:rPr>
                <w:rFonts w:hint="default" w:ascii="Times New Roman" w:hAnsi="Times New Roman" w:cs="Times New Roman"/>
                <w:b w:val="0"/>
                <w:bCs/>
                <w:kern w:val="28"/>
                <w:sz w:val="24"/>
                <w:szCs w:val="40"/>
                <w:u w:val="none"/>
                <w:lang w:val="en-US" w:eastAsia="zh-CN" w:bidi="ar-SA"/>
              </w:rPr>
              <w:t>生产</w:t>
            </w:r>
            <w:r>
              <w:rPr>
                <w:rFonts w:hint="default" w:ascii="Times New Roman" w:hAnsi="Times New Roman" w:eastAsia="宋体" w:cs="Times New Roman"/>
                <w:b w:val="0"/>
                <w:bCs/>
                <w:kern w:val="28"/>
                <w:sz w:val="24"/>
                <w:szCs w:val="40"/>
                <w:u w:val="none"/>
                <w:lang w:val="en-US" w:eastAsia="zh-CN" w:bidi="ar-SA"/>
              </w:rPr>
              <w:t>工艺属</w:t>
            </w:r>
            <w:r>
              <w:rPr>
                <w:rFonts w:hint="eastAsia" w:cs="Times New Roman"/>
                <w:color w:val="000000"/>
                <w:sz w:val="24"/>
                <w:u w:val="none"/>
                <w:lang w:eastAsia="zh-CN"/>
              </w:rPr>
              <w:t>“</w:t>
            </w:r>
            <w:r>
              <w:rPr>
                <w:rFonts w:hint="eastAsia" w:cs="Times New Roman"/>
                <w:color w:val="000000"/>
                <w:sz w:val="24"/>
                <w:u w:val="none"/>
                <w:lang w:val="en-US" w:eastAsia="zh-CN"/>
              </w:rPr>
              <w:t>十一</w:t>
            </w:r>
            <w:r>
              <w:rPr>
                <w:rFonts w:hint="default" w:ascii="Times New Roman" w:hAnsi="Times New Roman" w:cs="Times New Roman"/>
                <w:sz w:val="24"/>
                <w:szCs w:val="24"/>
                <w:u w:val="none"/>
              </w:rPr>
              <w:t>、</w:t>
            </w:r>
            <w:r>
              <w:rPr>
                <w:rFonts w:hint="eastAsia" w:cs="Times New Roman"/>
                <w:sz w:val="24"/>
                <w:szCs w:val="24"/>
                <w:u w:val="none"/>
                <w:lang w:val="en-US" w:eastAsia="zh-CN"/>
              </w:rPr>
              <w:t>食品制造业 14</w:t>
            </w:r>
            <w:r>
              <w:rPr>
                <w:rFonts w:hint="default" w:ascii="Times New Roman" w:hAnsi="Times New Roman" w:cs="Times New Roman"/>
                <w:color w:val="000000"/>
                <w:sz w:val="24"/>
              </w:rPr>
              <w:t>中</w:t>
            </w:r>
            <w:r>
              <w:rPr>
                <w:rFonts w:hint="eastAsia" w:cs="Times New Roman"/>
                <w:color w:val="000000"/>
                <w:sz w:val="24"/>
                <w:lang w:eastAsia="zh-CN"/>
              </w:rPr>
              <w:t>“</w:t>
            </w:r>
            <w:r>
              <w:rPr>
                <w:rFonts w:hint="eastAsia" w:cs="Times New Roman"/>
                <w:color w:val="000000"/>
                <w:sz w:val="24"/>
                <w:lang w:val="en-US" w:eastAsia="zh-CN"/>
              </w:rPr>
              <w:t>23</w:t>
            </w:r>
            <w:r>
              <w:rPr>
                <w:rFonts w:hint="default" w:ascii="Times New Roman" w:hAnsi="Times New Roman" w:cs="Times New Roman"/>
                <w:color w:val="000000"/>
                <w:sz w:val="24"/>
              </w:rPr>
              <w:t xml:space="preserve"> </w:t>
            </w:r>
            <w:r>
              <w:rPr>
                <w:rFonts w:hint="default" w:ascii="Times New Roman" w:hAnsi="Times New Roman" w:eastAsia="宋体" w:cs="Times New Roman"/>
                <w:sz w:val="24"/>
                <w:szCs w:val="24"/>
              </w:rPr>
              <w:t>调味品、发酵制品制造146*</w:t>
            </w:r>
            <w:r>
              <w:rPr>
                <w:rFonts w:hint="eastAsia" w:cs="Times New Roman"/>
                <w:color w:val="000000"/>
                <w:sz w:val="24"/>
                <w:lang w:eastAsia="zh-CN"/>
              </w:rPr>
              <w:t>”</w:t>
            </w:r>
            <w:r>
              <w:rPr>
                <w:rFonts w:hint="default" w:ascii="Times New Roman" w:hAnsi="Times New Roman" w:cs="Times New Roman"/>
                <w:color w:val="000000"/>
                <w:sz w:val="24"/>
              </w:rPr>
              <w:t>中</w:t>
            </w:r>
            <w:r>
              <w:rPr>
                <w:rFonts w:hint="default" w:ascii="Times New Roman" w:hAnsi="Times New Roman" w:cs="Times New Roman"/>
                <w:color w:val="000000"/>
                <w:sz w:val="24"/>
                <w:lang w:val="en-US" w:eastAsia="zh-CN"/>
              </w:rPr>
              <w:t>的</w:t>
            </w:r>
            <w:r>
              <w:rPr>
                <w:rFonts w:hint="eastAsia" w:cs="Times New Roman"/>
                <w:color w:val="000000"/>
                <w:sz w:val="24"/>
                <w:lang w:val="en-US" w:eastAsia="zh-CN"/>
              </w:rPr>
              <w:t>“</w:t>
            </w:r>
            <w:r>
              <w:rPr>
                <w:rFonts w:hint="default" w:ascii="Times New Roman" w:hAnsi="Times New Roman" w:cs="Times New Roman"/>
                <w:color w:val="000000"/>
                <w:sz w:val="24"/>
                <w:lang w:val="en-US" w:eastAsia="zh-CN"/>
              </w:rPr>
              <w:t>C</w:t>
            </w:r>
            <w:r>
              <w:rPr>
                <w:rFonts w:hint="eastAsia" w:cs="Times New Roman"/>
                <w:color w:val="000000"/>
                <w:sz w:val="24"/>
                <w:lang w:val="en-US" w:eastAsia="zh-CN"/>
              </w:rPr>
              <w:t>1469其他调味品、发酵制品制造”</w:t>
            </w:r>
            <w:r>
              <w:rPr>
                <w:rFonts w:hint="default" w:ascii="Times New Roman" w:hAnsi="Times New Roman" w:cs="Times New Roman"/>
                <w:color w:val="000000"/>
                <w:sz w:val="24"/>
              </w:rPr>
              <w:t>，</w:t>
            </w:r>
            <w:r>
              <w:rPr>
                <w:rFonts w:hint="default" w:ascii="Times New Roman" w:hAnsi="Times New Roman" w:eastAsia="宋体" w:cs="Times New Roman"/>
                <w:b w:val="0"/>
                <w:bCs/>
                <w:kern w:val="28"/>
                <w:sz w:val="24"/>
                <w:szCs w:val="40"/>
                <w:u w:val="none"/>
                <w:lang w:val="en-US" w:eastAsia="zh-CN" w:bidi="ar-SA"/>
              </w:rPr>
              <w:t>其中</w:t>
            </w:r>
            <w:r>
              <w:rPr>
                <w:rFonts w:hint="eastAsia" w:ascii="Times New Roman" w:hAnsi="Times New Roman" w:cs="Times New Roman"/>
                <w:b w:val="0"/>
                <w:bCs/>
                <w:kern w:val="28"/>
                <w:sz w:val="24"/>
                <w:szCs w:val="40"/>
                <w:u w:val="none"/>
                <w:lang w:val="en-US" w:eastAsia="zh-CN" w:bidi="ar-SA"/>
              </w:rPr>
              <w:t>“</w:t>
            </w:r>
            <w:r>
              <w:rPr>
                <w:rFonts w:hint="default" w:ascii="Times New Roman" w:hAnsi="Times New Roman" w:eastAsia="宋体" w:cs="Times New Roman"/>
                <w:sz w:val="24"/>
                <w:szCs w:val="24"/>
              </w:rPr>
              <w:t>有发酵工艺的味精、柠檬酸、赖氨酸、酵母制造；年产2万吨及以上且有发酵工艺的酱油、食醋制造</w:t>
            </w:r>
            <w:r>
              <w:rPr>
                <w:rFonts w:hint="default" w:ascii="Times New Roman" w:hAnsi="Times New Roman" w:eastAsia="宋体" w:cs="Times New Roman"/>
                <w:b w:val="0"/>
                <w:bCs/>
                <w:kern w:val="28"/>
                <w:sz w:val="24"/>
                <w:szCs w:val="40"/>
                <w:u w:val="none"/>
                <w:lang w:val="en-US" w:eastAsia="zh-Hans" w:bidi="ar-SA"/>
              </w:rPr>
              <w:t>的</w:t>
            </w:r>
            <w:r>
              <w:rPr>
                <w:rFonts w:hint="default" w:ascii="Times New Roman" w:hAnsi="Times New Roman" w:eastAsia="宋体" w:cs="Times New Roman"/>
                <w:b w:val="0"/>
                <w:bCs/>
                <w:kern w:val="28"/>
                <w:sz w:val="24"/>
                <w:szCs w:val="40"/>
                <w:u w:val="none"/>
                <w:lang w:val="en-US" w:eastAsia="zh-CN" w:bidi="ar-SA"/>
              </w:rPr>
              <w:t>应编制环境影响评价报告</w:t>
            </w:r>
            <w:r>
              <w:rPr>
                <w:rFonts w:hint="default" w:ascii="Times New Roman" w:hAnsi="Times New Roman" w:cs="Times New Roman"/>
                <w:b w:val="0"/>
                <w:bCs/>
                <w:kern w:val="28"/>
                <w:sz w:val="24"/>
                <w:szCs w:val="40"/>
                <w:u w:val="none"/>
                <w:lang w:val="en-US" w:eastAsia="zh-CN" w:bidi="ar-SA"/>
              </w:rPr>
              <w:t>书</w:t>
            </w:r>
            <w:r>
              <w:rPr>
                <w:rFonts w:hint="default" w:ascii="Times New Roman" w:hAnsi="Times New Roman" w:eastAsia="宋体" w:cs="Times New Roman"/>
                <w:b w:val="0"/>
                <w:bCs/>
                <w:kern w:val="28"/>
                <w:sz w:val="24"/>
                <w:szCs w:val="40"/>
                <w:u w:val="none"/>
                <w:lang w:val="en-US" w:eastAsia="zh-CN" w:bidi="ar-SA"/>
              </w:rPr>
              <w:t>，</w:t>
            </w:r>
            <w:r>
              <w:rPr>
                <w:rFonts w:hint="default" w:ascii="Times New Roman" w:hAnsi="Times New Roman" w:eastAsia="宋体" w:cs="Times New Roman"/>
                <w:sz w:val="24"/>
                <w:szCs w:val="24"/>
              </w:rPr>
              <w:t>其他（单纯混合、分装的除外）</w:t>
            </w:r>
            <w:r>
              <w:rPr>
                <w:rFonts w:hint="default" w:ascii="Times New Roman" w:hAnsi="Times New Roman" w:eastAsia="宋体" w:cs="Times New Roman"/>
                <w:sz w:val="24"/>
                <w:szCs w:val="24"/>
                <w:lang w:val="en-US" w:eastAsia="zh-CN"/>
              </w:rPr>
              <w:t>类</w:t>
            </w:r>
            <w:r>
              <w:rPr>
                <w:rFonts w:hint="default" w:ascii="Times New Roman" w:hAnsi="Times New Roman" w:eastAsia="宋体" w:cs="Times New Roman"/>
                <w:b w:val="0"/>
                <w:bCs/>
                <w:kern w:val="28"/>
                <w:sz w:val="24"/>
                <w:szCs w:val="40"/>
                <w:u w:val="none"/>
                <w:lang w:val="en-US" w:eastAsia="zh-CN" w:bidi="ar-SA"/>
              </w:rPr>
              <w:t>应编制环境影响评价报告</w:t>
            </w:r>
            <w:r>
              <w:rPr>
                <w:rFonts w:hint="default" w:ascii="Times New Roman" w:hAnsi="Times New Roman" w:cs="Times New Roman"/>
                <w:b w:val="0"/>
                <w:bCs/>
                <w:kern w:val="28"/>
                <w:sz w:val="24"/>
                <w:szCs w:val="40"/>
                <w:u w:val="none"/>
                <w:lang w:val="en-US" w:eastAsia="zh-CN" w:bidi="ar-SA"/>
              </w:rPr>
              <w:t>表，本项目</w:t>
            </w:r>
            <w:r>
              <w:rPr>
                <w:rFonts w:hint="default" w:ascii="Times New Roman" w:hAnsi="Times New Roman" w:eastAsia="宋体" w:cs="Times New Roman"/>
                <w:b w:val="0"/>
                <w:bCs/>
                <w:kern w:val="28"/>
                <w:sz w:val="24"/>
                <w:szCs w:val="40"/>
                <w:u w:val="none"/>
                <w:lang w:val="en-US" w:eastAsia="zh-CN" w:bidi="ar-SA"/>
              </w:rPr>
              <w:t>利用</w:t>
            </w:r>
            <w:r>
              <w:rPr>
                <w:rFonts w:hint="eastAsia" w:ascii="Times New Roman" w:hAnsi="Times New Roman" w:cs="Times New Roman"/>
                <w:b w:val="0"/>
                <w:bCs/>
                <w:kern w:val="28"/>
                <w:sz w:val="24"/>
                <w:szCs w:val="40"/>
                <w:u w:val="none"/>
                <w:lang w:val="en-US" w:eastAsia="zh-CN" w:bidi="ar-SA"/>
              </w:rPr>
              <w:t>牛骨、</w:t>
            </w:r>
            <w:r>
              <w:rPr>
                <w:rFonts w:hint="default" w:ascii="Times New Roman" w:hAnsi="Times New Roman" w:cs="Times New Roman"/>
                <w:b w:val="0"/>
                <w:bCs/>
                <w:kern w:val="28"/>
                <w:sz w:val="24"/>
                <w:szCs w:val="40"/>
                <w:u w:val="none"/>
                <w:lang w:val="en-US" w:eastAsia="zh-CN" w:bidi="ar-SA"/>
              </w:rPr>
              <w:t>辣椒</w:t>
            </w:r>
            <w:r>
              <w:rPr>
                <w:rFonts w:hint="default" w:ascii="Times New Roman" w:hAnsi="Times New Roman" w:eastAsia="宋体" w:cs="Times New Roman"/>
                <w:b w:val="0"/>
                <w:bCs/>
                <w:kern w:val="28"/>
                <w:sz w:val="24"/>
                <w:szCs w:val="40"/>
                <w:u w:val="none"/>
                <w:lang w:val="en-US" w:eastAsia="zh-CN" w:bidi="ar-SA"/>
              </w:rPr>
              <w:t>为</w:t>
            </w:r>
            <w:r>
              <w:rPr>
                <w:rFonts w:hint="eastAsia" w:cs="Times New Roman"/>
                <w:b w:val="0"/>
                <w:bCs/>
                <w:kern w:val="28"/>
                <w:sz w:val="24"/>
                <w:szCs w:val="40"/>
                <w:u w:val="none"/>
                <w:lang w:val="en-US" w:eastAsia="zh-CN" w:bidi="ar-SA"/>
              </w:rPr>
              <w:t>主要</w:t>
            </w:r>
            <w:r>
              <w:rPr>
                <w:rFonts w:hint="default" w:ascii="Times New Roman" w:hAnsi="Times New Roman" w:eastAsia="宋体" w:cs="Times New Roman"/>
                <w:b w:val="0"/>
                <w:bCs/>
                <w:kern w:val="28"/>
                <w:sz w:val="24"/>
                <w:szCs w:val="40"/>
                <w:u w:val="none"/>
                <w:lang w:val="en-US" w:eastAsia="zh-CN" w:bidi="ar-SA"/>
              </w:rPr>
              <w:t>原料生产</w:t>
            </w:r>
            <w:r>
              <w:rPr>
                <w:rFonts w:hint="default" w:ascii="Times New Roman" w:hAnsi="Times New Roman" w:cs="Times New Roman"/>
                <w:b w:val="0"/>
                <w:bCs/>
                <w:kern w:val="28"/>
                <w:sz w:val="24"/>
                <w:szCs w:val="40"/>
                <w:u w:val="none"/>
                <w:lang w:val="en-US" w:eastAsia="zh-CN" w:bidi="ar-SA"/>
              </w:rPr>
              <w:t>辣椒酱及调味品</w:t>
            </w:r>
            <w:r>
              <w:rPr>
                <w:rFonts w:hint="default" w:ascii="Times New Roman" w:hAnsi="Times New Roman" w:eastAsia="宋体" w:cs="Times New Roman"/>
                <w:b w:val="0"/>
                <w:bCs/>
                <w:kern w:val="28"/>
                <w:sz w:val="24"/>
                <w:szCs w:val="40"/>
                <w:u w:val="none"/>
                <w:lang w:val="en-US" w:eastAsia="zh-CN" w:bidi="ar-SA"/>
              </w:rPr>
              <w:t>，</w:t>
            </w:r>
            <w:r>
              <w:rPr>
                <w:rFonts w:hint="default" w:ascii="Times New Roman" w:hAnsi="Times New Roman" w:cs="Times New Roman"/>
                <w:b w:val="0"/>
                <w:bCs/>
                <w:kern w:val="28"/>
                <w:sz w:val="24"/>
                <w:szCs w:val="40"/>
                <w:u w:val="none"/>
                <w:lang w:val="en-US" w:eastAsia="zh-CN" w:bidi="ar-SA"/>
              </w:rPr>
              <w:t>不涉及发酵工艺，</w:t>
            </w:r>
            <w:r>
              <w:rPr>
                <w:rFonts w:hint="default" w:ascii="Times New Roman" w:hAnsi="Times New Roman" w:eastAsia="宋体" w:cs="Times New Roman"/>
                <w:b w:val="0"/>
                <w:bCs/>
                <w:kern w:val="28"/>
                <w:sz w:val="24"/>
                <w:szCs w:val="40"/>
                <w:u w:val="none"/>
                <w:lang w:val="en-US" w:eastAsia="zh-CN" w:bidi="ar-SA"/>
              </w:rPr>
              <w:t>因此本项目应编制环境影响评价报告表。</w:t>
            </w:r>
          </w:p>
          <w:p w14:paraId="0C51BCB7">
            <w:pPr>
              <w:keepNext w:val="0"/>
              <w:keepLines w:val="0"/>
              <w:pageBreakBefore w:val="0"/>
              <w:widowControl/>
              <w:kinsoku/>
              <w:wordWrap/>
              <w:overflowPunct/>
              <w:topLinePunct w:val="0"/>
              <w:bidi w:val="0"/>
              <w:adjustRightInd/>
              <w:snapToGrid/>
              <w:spacing w:line="500" w:lineRule="exact"/>
              <w:ind w:firstLine="482" w:firstLineChars="200"/>
              <w:jc w:val="left"/>
              <w:textAlignment w:val="auto"/>
              <w:rPr>
                <w:rFonts w:hint="default" w:ascii="Times New Roman" w:hAnsi="Times New Roman" w:cs="Times New Roman"/>
                <w:b/>
                <w:sz w:val="24"/>
              </w:rPr>
            </w:pPr>
            <w:r>
              <w:rPr>
                <w:rFonts w:hint="default" w:ascii="Times New Roman" w:hAnsi="Times New Roman" w:cs="Times New Roman"/>
                <w:b/>
                <w:sz w:val="24"/>
                <w:lang w:val="en-US" w:eastAsia="zh-CN"/>
              </w:rPr>
              <w:t>2</w:t>
            </w:r>
            <w:r>
              <w:rPr>
                <w:rFonts w:hint="default" w:ascii="Times New Roman" w:hAnsi="Times New Roman" w:cs="Times New Roman"/>
                <w:b/>
                <w:sz w:val="24"/>
              </w:rPr>
              <w:t>、产业政策</w:t>
            </w:r>
            <w:r>
              <w:rPr>
                <w:rFonts w:hint="default" w:ascii="Times New Roman" w:hAnsi="Times New Roman" w:cs="Times New Roman"/>
                <w:b/>
                <w:sz w:val="24"/>
                <w:lang w:val="en-US" w:eastAsia="zh-CN"/>
              </w:rPr>
              <w:t>相符</w:t>
            </w:r>
            <w:r>
              <w:rPr>
                <w:rFonts w:hint="default" w:ascii="Times New Roman" w:hAnsi="Times New Roman" w:cs="Times New Roman"/>
                <w:b/>
                <w:sz w:val="24"/>
              </w:rPr>
              <w:t>性分析</w:t>
            </w:r>
          </w:p>
          <w:p w14:paraId="216C3530">
            <w:pPr>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cs="Times New Roman"/>
                <w:sz w:val="24"/>
                <w:szCs w:val="24"/>
                <w:lang w:val="en-US" w:eastAsia="zh-CN"/>
              </w:rPr>
              <w:t>主要利用辣椒、牛骨为</w:t>
            </w:r>
            <w:r>
              <w:rPr>
                <w:rFonts w:hint="eastAsia" w:cs="Times New Roman"/>
                <w:sz w:val="24"/>
                <w:szCs w:val="24"/>
                <w:lang w:val="en-US" w:eastAsia="zh-CN"/>
              </w:rPr>
              <w:t>主要</w:t>
            </w:r>
            <w:r>
              <w:rPr>
                <w:rFonts w:hint="default" w:ascii="Times New Roman" w:hAnsi="Times New Roman" w:cs="Times New Roman"/>
                <w:sz w:val="24"/>
                <w:szCs w:val="24"/>
                <w:lang w:val="en-US" w:eastAsia="zh-CN"/>
              </w:rPr>
              <w:t>原料来</w:t>
            </w:r>
            <w:r>
              <w:rPr>
                <w:rFonts w:hint="default" w:ascii="Times New Roman" w:hAnsi="Times New Roman" w:eastAsia="宋体" w:cs="Times New Roman"/>
                <w:sz w:val="24"/>
                <w:szCs w:val="24"/>
                <w:lang w:val="en-US" w:eastAsia="zh-CN"/>
              </w:rPr>
              <w:t>生产</w:t>
            </w:r>
            <w:r>
              <w:rPr>
                <w:rFonts w:hint="default" w:ascii="Times New Roman" w:hAnsi="Times New Roman" w:cs="Times New Roman"/>
                <w:sz w:val="24"/>
                <w:szCs w:val="24"/>
                <w:lang w:val="en-US" w:eastAsia="zh-CN"/>
              </w:rPr>
              <w:t>调味品</w:t>
            </w:r>
            <w:r>
              <w:rPr>
                <w:rFonts w:hint="eastAsia" w:cs="Times New Roman"/>
                <w:sz w:val="24"/>
                <w:szCs w:val="24"/>
                <w:lang w:val="en-US" w:eastAsia="zh-CN"/>
              </w:rPr>
              <w:t>和辣椒酱</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zh-CN"/>
              </w:rPr>
              <w:t>查阅《产业结构调整指导目录（20</w:t>
            </w:r>
            <w:r>
              <w:rPr>
                <w:rFonts w:hint="default" w:ascii="Times New Roman" w:hAnsi="Times New Roman" w:cs="Times New Roman"/>
                <w:sz w:val="24"/>
                <w:szCs w:val="24"/>
                <w:lang w:val="en-US" w:eastAsia="zh-CN"/>
              </w:rPr>
              <w:t>24</w:t>
            </w:r>
            <w:r>
              <w:rPr>
                <w:rFonts w:hint="default" w:ascii="Times New Roman" w:hAnsi="Times New Roman" w:eastAsia="宋体" w:cs="Times New Roman"/>
                <w:sz w:val="24"/>
                <w:szCs w:val="24"/>
                <w:lang w:val="zh-CN"/>
              </w:rPr>
              <w:t>年本）》，</w:t>
            </w:r>
            <w:r>
              <w:rPr>
                <w:rFonts w:hint="default"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zh-CN"/>
              </w:rPr>
              <w:t>项目</w:t>
            </w:r>
            <w:r>
              <w:rPr>
                <w:rFonts w:hint="default" w:ascii="Times New Roman" w:hAnsi="Times New Roman" w:eastAsia="宋体" w:cs="Times New Roman"/>
                <w:sz w:val="24"/>
                <w:szCs w:val="24"/>
              </w:rPr>
              <w:t>不属于“限制类”和“淘汰类”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zh-CN"/>
              </w:rPr>
              <w:t>属于</w:t>
            </w:r>
            <w:r>
              <w:rPr>
                <w:rFonts w:hint="default" w:ascii="Times New Roman" w:hAnsi="Times New Roman" w:eastAsia="宋体" w:cs="Times New Roman"/>
                <w:sz w:val="24"/>
                <w:szCs w:val="24"/>
                <w:lang w:val="en-US" w:eastAsia="zh-CN"/>
              </w:rPr>
              <w:t>鼓励类</w:t>
            </w:r>
            <w:r>
              <w:rPr>
                <w:rFonts w:hint="default" w:ascii="Times New Roman" w:hAnsi="Times New Roman" w:eastAsia="宋体" w:cs="Times New Roman"/>
                <w:sz w:val="24"/>
                <w:szCs w:val="24"/>
                <w:lang w:eastAsia="zh-CN"/>
              </w:rPr>
              <w:t>第一款第</w:t>
            </w:r>
            <w:r>
              <w:rPr>
                <w:rFonts w:hint="default" w:ascii="Times New Roman" w:hAnsi="Times New Roman" w:cs="Times New Roman"/>
                <w:sz w:val="24"/>
                <w:szCs w:val="24"/>
                <w:lang w:val="en-US" w:eastAsia="zh-CN"/>
              </w:rPr>
              <w:t>8</w:t>
            </w:r>
            <w:r>
              <w:rPr>
                <w:rFonts w:hint="default" w:ascii="Times New Roman" w:hAnsi="Times New Roman" w:eastAsia="宋体" w:cs="Times New Roman"/>
                <w:sz w:val="24"/>
                <w:szCs w:val="24"/>
                <w:lang w:eastAsia="zh-CN"/>
              </w:rPr>
              <w:t>条</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农产品仓储运输：农林牧渔产品储运、保鲜、加工与综合利用。</w:t>
            </w:r>
            <w:r>
              <w:rPr>
                <w:rFonts w:hint="default" w:ascii="Times New Roman" w:hAnsi="Times New Roman" w:eastAsia="宋体" w:cs="Times New Roman"/>
                <w:sz w:val="24"/>
                <w:szCs w:val="24"/>
              </w:rPr>
              <w:t>符合国家的产业政策</w:t>
            </w:r>
            <w:r>
              <w:rPr>
                <w:rFonts w:hint="default" w:ascii="Times New Roman" w:hAnsi="Times New Roman" w:eastAsia="宋体" w:cs="Times New Roman"/>
                <w:sz w:val="24"/>
                <w:szCs w:val="24"/>
                <w:lang w:val="zh-CN"/>
              </w:rPr>
              <w:t>；且项目已在</w:t>
            </w:r>
            <w:r>
              <w:rPr>
                <w:rFonts w:hint="default" w:ascii="Times New Roman" w:hAnsi="Times New Roman" w:cs="Times New Roman"/>
                <w:sz w:val="24"/>
                <w:szCs w:val="24"/>
                <w:highlight w:val="none"/>
                <w:lang w:val="zh-CN"/>
              </w:rPr>
              <w:t>叶县发展和改革委员会</w:t>
            </w:r>
            <w:r>
              <w:rPr>
                <w:rFonts w:hint="default" w:ascii="Times New Roman" w:hAnsi="Times New Roman" w:eastAsia="宋体" w:cs="Times New Roman"/>
                <w:sz w:val="24"/>
                <w:szCs w:val="24"/>
                <w:lang w:val="zh-CN"/>
              </w:rPr>
              <w:t>备案，项目代码：</w:t>
            </w:r>
            <w:r>
              <w:rPr>
                <w:rFonts w:hint="default" w:ascii="Times New Roman" w:hAnsi="Times New Roman" w:cs="Times New Roman"/>
                <w:sz w:val="24"/>
                <w:szCs w:val="24"/>
                <w:lang w:val="en-US" w:eastAsia="zh-CN"/>
              </w:rPr>
              <w:t>2302-410422-04-01-487454</w:t>
            </w:r>
            <w:r>
              <w:rPr>
                <w:rFonts w:hint="default" w:ascii="Times New Roman" w:hAnsi="Times New Roman" w:eastAsia="宋体" w:cs="Times New Roman"/>
                <w:sz w:val="24"/>
                <w:szCs w:val="24"/>
              </w:rPr>
              <w:t>，故本项目符合国家当前产业政策。</w:t>
            </w:r>
          </w:p>
          <w:p w14:paraId="75818B93">
            <w:pPr>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cs="Times New Roman"/>
                <w:b/>
                <w:bCs/>
                <w:color w:val="000000"/>
                <w:kern w:val="0"/>
                <w:sz w:val="24"/>
              </w:rPr>
            </w:pPr>
            <w:r>
              <w:rPr>
                <w:rFonts w:hint="default" w:ascii="Times New Roman" w:hAnsi="Times New Roman" w:cs="Times New Roman"/>
                <w:b/>
                <w:bCs/>
                <w:color w:val="000000"/>
                <w:kern w:val="0"/>
                <w:sz w:val="24"/>
                <w:lang w:val="en-US" w:eastAsia="zh-CN"/>
              </w:rPr>
              <w:t>3</w:t>
            </w:r>
            <w:r>
              <w:rPr>
                <w:rFonts w:hint="default" w:ascii="Times New Roman" w:hAnsi="Times New Roman" w:cs="Times New Roman"/>
                <w:b/>
                <w:bCs/>
                <w:color w:val="000000"/>
                <w:kern w:val="0"/>
                <w:sz w:val="24"/>
              </w:rPr>
              <w:t>、备案相符性分析</w:t>
            </w:r>
          </w:p>
          <w:p w14:paraId="0D746B56">
            <w:pPr>
              <w:pStyle w:val="2"/>
              <w:pageBreakBefore w:val="0"/>
              <w:widowControl w:val="0"/>
              <w:kinsoku/>
              <w:wordWrap/>
              <w:overflowPunct/>
              <w:topLinePunct w:val="0"/>
              <w:bidi w:val="0"/>
              <w:spacing w:before="0" w:after="0" w:line="500" w:lineRule="exact"/>
              <w:ind w:firstLine="480" w:firstLineChars="200"/>
              <w:textAlignment w:val="auto"/>
              <w:rPr>
                <w:rFonts w:hint="default" w:ascii="Times New Roman" w:hAnsi="Times New Roman" w:cs="Times New Roman"/>
                <w:b w:val="0"/>
                <w:bCs/>
                <w:lang w:val="en-US" w:eastAsia="zh-CN"/>
              </w:rPr>
            </w:pPr>
            <w:r>
              <w:rPr>
                <w:rFonts w:hint="default" w:ascii="Times New Roman" w:hAnsi="Times New Roman" w:cs="Times New Roman"/>
                <w:b w:val="0"/>
                <w:bCs/>
                <w:color w:val="000000"/>
                <w:kern w:val="0"/>
                <w:sz w:val="24"/>
                <w:lang w:val="zh-CN"/>
              </w:rPr>
              <w:t>本项目拟</w:t>
            </w:r>
            <w:r>
              <w:rPr>
                <w:rFonts w:hint="default" w:ascii="Times New Roman" w:hAnsi="Times New Roman" w:cs="Times New Roman"/>
                <w:b w:val="0"/>
                <w:bCs/>
                <w:color w:val="000000"/>
                <w:kern w:val="0"/>
                <w:sz w:val="24"/>
                <w:lang w:val="en-US" w:eastAsia="zh-CN"/>
              </w:rPr>
              <w:t>实际</w:t>
            </w:r>
            <w:r>
              <w:rPr>
                <w:rFonts w:hint="default" w:ascii="Times New Roman" w:hAnsi="Times New Roman" w:cs="Times New Roman"/>
                <w:b w:val="0"/>
                <w:bCs/>
                <w:color w:val="000000"/>
                <w:kern w:val="0"/>
                <w:sz w:val="24"/>
                <w:lang w:val="zh-CN"/>
              </w:rPr>
              <w:t>建</w:t>
            </w:r>
            <w:r>
              <w:rPr>
                <w:rFonts w:hint="default" w:ascii="Times New Roman" w:hAnsi="Times New Roman" w:cs="Times New Roman"/>
                <w:b w:val="0"/>
                <w:bCs/>
                <w:color w:val="000000"/>
                <w:kern w:val="0"/>
                <w:sz w:val="24"/>
                <w:lang w:val="en-US" w:eastAsia="zh-CN"/>
              </w:rPr>
              <w:t>设</w:t>
            </w:r>
            <w:r>
              <w:rPr>
                <w:rFonts w:hint="default" w:ascii="Times New Roman" w:hAnsi="Times New Roman" w:cs="Times New Roman"/>
                <w:b w:val="0"/>
                <w:bCs/>
                <w:color w:val="000000"/>
                <w:kern w:val="0"/>
                <w:sz w:val="24"/>
                <w:lang w:val="zh-CN"/>
              </w:rPr>
              <w:t>内容与备案相符性分析见下表。</w:t>
            </w:r>
          </w:p>
          <w:p w14:paraId="3C2B476C">
            <w:pPr>
              <w:pStyle w:val="9"/>
              <w:keepNext w:val="0"/>
              <w:keepLines w:val="0"/>
              <w:pageBreakBefore w:val="0"/>
              <w:widowControl w:val="0"/>
              <w:kinsoku/>
              <w:wordWrap/>
              <w:overflowPunct/>
              <w:topLinePunct w:val="0"/>
              <w:autoSpaceDE/>
              <w:autoSpaceDN/>
              <w:bidi w:val="0"/>
              <w:spacing w:line="500" w:lineRule="exact"/>
              <w:ind w:left="0" w:leftChars="0"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sz w:val="24"/>
                <w:szCs w:val="24"/>
                <w:lang w:val="en-US" w:eastAsia="zh-CN"/>
              </w:rPr>
              <w:t>表1-</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lang w:val="en-US" w:eastAsia="zh-CN"/>
              </w:rPr>
              <w:t xml:space="preserve"> 项目拟实际建设内容与备案相符性分析一览表</w:t>
            </w:r>
          </w:p>
          <w:tbl>
            <w:tblPr>
              <w:tblStyle w:val="21"/>
              <w:tblW w:w="7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99"/>
              <w:gridCol w:w="2737"/>
              <w:gridCol w:w="2819"/>
              <w:gridCol w:w="943"/>
            </w:tblGrid>
            <w:tr w14:paraId="03C6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5" w:hRule="atLeast"/>
                <w:jc w:val="center"/>
              </w:trPr>
              <w:tc>
                <w:tcPr>
                  <w:tcW w:w="899" w:type="dxa"/>
                  <w:tcBorders>
                    <w:tl2br w:val="nil"/>
                    <w:tr2bl w:val="nil"/>
                  </w:tcBorders>
                  <w:vAlign w:val="center"/>
                </w:tcPr>
                <w:p w14:paraId="416611F9">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项目</w:t>
                  </w:r>
                </w:p>
              </w:tc>
              <w:tc>
                <w:tcPr>
                  <w:tcW w:w="2737" w:type="dxa"/>
                  <w:tcBorders>
                    <w:tl2br w:val="nil"/>
                    <w:tr2bl w:val="nil"/>
                  </w:tcBorders>
                  <w:vAlign w:val="center"/>
                </w:tcPr>
                <w:p w14:paraId="30369375">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备案内容</w:t>
                  </w:r>
                </w:p>
              </w:tc>
              <w:tc>
                <w:tcPr>
                  <w:tcW w:w="2819" w:type="dxa"/>
                  <w:tcBorders>
                    <w:tl2br w:val="nil"/>
                    <w:tr2bl w:val="nil"/>
                  </w:tcBorders>
                  <w:vAlign w:val="center"/>
                </w:tcPr>
                <w:p w14:paraId="4AF1DF87">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b/>
                      <w:bCs/>
                    </w:rPr>
                  </w:pPr>
                  <w:r>
                    <w:rPr>
                      <w:rFonts w:hint="eastAsia" w:ascii="Times New Roman" w:hAnsi="Times New Roman" w:cs="Times New Roman"/>
                      <w:b/>
                      <w:bCs/>
                      <w:lang w:val="en-US" w:eastAsia="zh-CN"/>
                    </w:rPr>
                    <w:t>拟实际</w:t>
                  </w:r>
                  <w:r>
                    <w:rPr>
                      <w:rFonts w:hint="default" w:ascii="Times New Roman" w:hAnsi="Times New Roman" w:eastAsia="宋体" w:cs="Times New Roman"/>
                      <w:b/>
                      <w:bCs/>
                    </w:rPr>
                    <w:t>建设内容</w:t>
                  </w:r>
                </w:p>
              </w:tc>
              <w:tc>
                <w:tcPr>
                  <w:tcW w:w="943" w:type="dxa"/>
                  <w:tcBorders>
                    <w:tl2br w:val="nil"/>
                    <w:tr2bl w:val="nil"/>
                  </w:tcBorders>
                  <w:vAlign w:val="center"/>
                </w:tcPr>
                <w:p w14:paraId="0512D1C0">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是否</w:t>
                  </w:r>
                </w:p>
                <w:p w14:paraId="08508CC2">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符合</w:t>
                  </w:r>
                </w:p>
              </w:tc>
            </w:tr>
            <w:tr w14:paraId="693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3" w:hRule="atLeast"/>
                <w:jc w:val="center"/>
              </w:trPr>
              <w:tc>
                <w:tcPr>
                  <w:tcW w:w="899" w:type="dxa"/>
                  <w:tcBorders>
                    <w:tl2br w:val="nil"/>
                    <w:tr2bl w:val="nil"/>
                  </w:tcBorders>
                  <w:vAlign w:val="center"/>
                </w:tcPr>
                <w:p w14:paraId="4BD7ABB7">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建设</w:t>
                  </w:r>
                </w:p>
                <w:p w14:paraId="2302C2B0">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单位</w:t>
                  </w:r>
                </w:p>
              </w:tc>
              <w:tc>
                <w:tcPr>
                  <w:tcW w:w="2737" w:type="dxa"/>
                  <w:tcBorders>
                    <w:tl2br w:val="nil"/>
                    <w:tr2bl w:val="nil"/>
                  </w:tcBorders>
                  <w:vAlign w:val="center"/>
                </w:tcPr>
                <w:p w14:paraId="22DE2980">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叶县嘉航食品有限公司</w:t>
                  </w:r>
                </w:p>
              </w:tc>
              <w:tc>
                <w:tcPr>
                  <w:tcW w:w="2819" w:type="dxa"/>
                  <w:tcBorders>
                    <w:tl2br w:val="nil"/>
                    <w:tr2bl w:val="nil"/>
                  </w:tcBorders>
                  <w:vAlign w:val="center"/>
                </w:tcPr>
                <w:p w14:paraId="3AFA7DE2">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叶县嘉航食品有限公司</w:t>
                  </w:r>
                </w:p>
              </w:tc>
              <w:tc>
                <w:tcPr>
                  <w:tcW w:w="943" w:type="dxa"/>
                  <w:tcBorders>
                    <w:tl2br w:val="nil"/>
                    <w:tr2bl w:val="nil"/>
                  </w:tcBorders>
                  <w:vAlign w:val="center"/>
                </w:tcPr>
                <w:p w14:paraId="1A041D94">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符合</w:t>
                  </w:r>
                </w:p>
              </w:tc>
            </w:tr>
            <w:tr w14:paraId="2650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70" w:hRule="atLeast"/>
                <w:jc w:val="center"/>
              </w:trPr>
              <w:tc>
                <w:tcPr>
                  <w:tcW w:w="899" w:type="dxa"/>
                  <w:tcBorders>
                    <w:tl2br w:val="nil"/>
                    <w:tr2bl w:val="nil"/>
                  </w:tcBorders>
                  <w:vAlign w:val="center"/>
                </w:tcPr>
                <w:p w14:paraId="74526AE7">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项目名称</w:t>
                  </w:r>
                </w:p>
              </w:tc>
              <w:tc>
                <w:tcPr>
                  <w:tcW w:w="2737" w:type="dxa"/>
                  <w:tcBorders>
                    <w:tl2br w:val="nil"/>
                    <w:tr2bl w:val="nil"/>
                  </w:tcBorders>
                  <w:vAlign w:val="center"/>
                </w:tcPr>
                <w:p w14:paraId="72343F8C">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kern w:val="2"/>
                      <w:sz w:val="21"/>
                      <w:u w:val="single"/>
                      <w:lang w:val="en-US" w:eastAsia="zh-CN" w:bidi="ar-SA"/>
                    </w:rPr>
                  </w:pPr>
                  <w:r>
                    <w:rPr>
                      <w:rFonts w:hint="default" w:ascii="Times New Roman" w:hAnsi="Times New Roman" w:eastAsia="宋体" w:cs="Times New Roman"/>
                      <w:kern w:val="2"/>
                      <w:sz w:val="21"/>
                      <w:lang w:val="en-US" w:eastAsia="zh-CN" w:bidi="ar-SA"/>
                    </w:rPr>
                    <w:t>叶县廉村镇沙渡口清真牛骨高汤系列、辣椒酱系列（复合调味料）加工项目</w:t>
                  </w:r>
                </w:p>
              </w:tc>
              <w:tc>
                <w:tcPr>
                  <w:tcW w:w="2819" w:type="dxa"/>
                  <w:tcBorders>
                    <w:tl2br w:val="nil"/>
                    <w:tr2bl w:val="nil"/>
                  </w:tcBorders>
                  <w:vAlign w:val="center"/>
                </w:tcPr>
                <w:p w14:paraId="2D93DAFB">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kern w:val="2"/>
                      <w:sz w:val="21"/>
                      <w:u w:val="single"/>
                      <w:lang w:val="en-US" w:eastAsia="zh-CN" w:bidi="ar-SA"/>
                    </w:rPr>
                  </w:pPr>
                  <w:r>
                    <w:rPr>
                      <w:rFonts w:hint="default" w:ascii="Times New Roman" w:hAnsi="Times New Roman" w:eastAsia="宋体" w:cs="Times New Roman"/>
                      <w:kern w:val="2"/>
                      <w:sz w:val="21"/>
                      <w:lang w:val="en-US" w:eastAsia="zh-CN" w:bidi="ar-SA"/>
                    </w:rPr>
                    <w:t>叶县廉村镇沙渡口清真牛骨高汤系列、辣椒酱系列（复合调味料）加工项目</w:t>
                  </w:r>
                </w:p>
              </w:tc>
              <w:tc>
                <w:tcPr>
                  <w:tcW w:w="943" w:type="dxa"/>
                  <w:tcBorders>
                    <w:tl2br w:val="nil"/>
                    <w:tr2bl w:val="nil"/>
                  </w:tcBorders>
                  <w:vAlign w:val="center"/>
                </w:tcPr>
                <w:p w14:paraId="12DE96F2">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符合</w:t>
                  </w:r>
                </w:p>
              </w:tc>
            </w:tr>
            <w:tr w14:paraId="6618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4" w:hRule="atLeast"/>
                <w:jc w:val="center"/>
              </w:trPr>
              <w:tc>
                <w:tcPr>
                  <w:tcW w:w="899" w:type="dxa"/>
                  <w:tcBorders>
                    <w:tl2br w:val="nil"/>
                    <w:tr2bl w:val="nil"/>
                  </w:tcBorders>
                  <w:vAlign w:val="center"/>
                </w:tcPr>
                <w:p w14:paraId="40F184B7">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建设</w:t>
                  </w:r>
                </w:p>
                <w:p w14:paraId="6E126169">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地点</w:t>
                  </w:r>
                </w:p>
              </w:tc>
              <w:tc>
                <w:tcPr>
                  <w:tcW w:w="2737" w:type="dxa"/>
                  <w:tcBorders>
                    <w:tl2br w:val="nil"/>
                    <w:tr2bl w:val="nil"/>
                  </w:tcBorders>
                  <w:vAlign w:val="center"/>
                </w:tcPr>
                <w:p w14:paraId="394AEE5A">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kern w:val="2"/>
                      <w:sz w:val="21"/>
                      <w:lang w:val="en-US" w:eastAsia="zh-CN" w:bidi="ar-SA"/>
                    </w:rPr>
                    <w:t>平顶山市叶县廉村镇沙渡口村二组1号</w:t>
                  </w:r>
                </w:p>
              </w:tc>
              <w:tc>
                <w:tcPr>
                  <w:tcW w:w="2819" w:type="dxa"/>
                  <w:tcBorders>
                    <w:tl2br w:val="nil"/>
                    <w:tr2bl w:val="nil"/>
                  </w:tcBorders>
                  <w:vAlign w:val="center"/>
                </w:tcPr>
                <w:p w14:paraId="4C948E64">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kern w:val="2"/>
                      <w:sz w:val="21"/>
                      <w:lang w:val="en-US" w:eastAsia="zh-CN" w:bidi="ar-SA"/>
                    </w:rPr>
                    <w:t>平顶山市叶县廉村镇沙渡口村二组1号</w:t>
                  </w:r>
                </w:p>
              </w:tc>
              <w:tc>
                <w:tcPr>
                  <w:tcW w:w="943" w:type="dxa"/>
                  <w:tcBorders>
                    <w:tl2br w:val="nil"/>
                    <w:tr2bl w:val="nil"/>
                  </w:tcBorders>
                  <w:vAlign w:val="center"/>
                </w:tcPr>
                <w:p w14:paraId="054EA6CC">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符合</w:t>
                  </w:r>
                </w:p>
              </w:tc>
            </w:tr>
            <w:tr w14:paraId="6729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6" w:hRule="atLeast"/>
                <w:jc w:val="center"/>
              </w:trPr>
              <w:tc>
                <w:tcPr>
                  <w:tcW w:w="899" w:type="dxa"/>
                  <w:tcBorders>
                    <w:tl2br w:val="nil"/>
                    <w:tr2bl w:val="nil"/>
                  </w:tcBorders>
                  <w:vAlign w:val="center"/>
                </w:tcPr>
                <w:p w14:paraId="418BFFBD">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建设</w:t>
                  </w:r>
                </w:p>
                <w:p w14:paraId="132EBC1F">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性质</w:t>
                  </w:r>
                </w:p>
              </w:tc>
              <w:tc>
                <w:tcPr>
                  <w:tcW w:w="2737" w:type="dxa"/>
                  <w:tcBorders>
                    <w:tl2br w:val="nil"/>
                    <w:tr2bl w:val="nil"/>
                  </w:tcBorders>
                  <w:vAlign w:val="center"/>
                </w:tcPr>
                <w:p w14:paraId="4A522194">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新建</w:t>
                  </w:r>
                </w:p>
              </w:tc>
              <w:tc>
                <w:tcPr>
                  <w:tcW w:w="2819" w:type="dxa"/>
                  <w:tcBorders>
                    <w:tl2br w:val="nil"/>
                    <w:tr2bl w:val="nil"/>
                  </w:tcBorders>
                  <w:vAlign w:val="center"/>
                </w:tcPr>
                <w:p w14:paraId="3AFACA0C">
                  <w:pPr>
                    <w:pStyle w:val="10"/>
                    <w:keepNext w:val="0"/>
                    <w:keepLines w:val="0"/>
                    <w:pageBreakBefore w:val="0"/>
                    <w:widowControl w:val="0"/>
                    <w:kinsoku/>
                    <w:wordWrap/>
                    <w:overflowPunct/>
                    <w:topLinePunct w:val="0"/>
                    <w:autoSpaceDE/>
                    <w:autoSpaceDN/>
                    <w:bidi w:val="0"/>
                    <w:adjustRightInd/>
                    <w:snapToGrid/>
                    <w:spacing w:after="0"/>
                    <w:ind w:right="0" w:right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新建</w:t>
                  </w:r>
                </w:p>
              </w:tc>
              <w:tc>
                <w:tcPr>
                  <w:tcW w:w="943" w:type="dxa"/>
                  <w:tcBorders>
                    <w:tl2br w:val="nil"/>
                    <w:tr2bl w:val="nil"/>
                  </w:tcBorders>
                  <w:vAlign w:val="center"/>
                </w:tcPr>
                <w:p w14:paraId="33A6CAD6">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符合</w:t>
                  </w:r>
                </w:p>
              </w:tc>
            </w:tr>
            <w:tr w14:paraId="471E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46" w:hRule="atLeast"/>
                <w:jc w:val="center"/>
              </w:trPr>
              <w:tc>
                <w:tcPr>
                  <w:tcW w:w="899" w:type="dxa"/>
                  <w:tcBorders>
                    <w:tl2br w:val="nil"/>
                    <w:tr2bl w:val="nil"/>
                  </w:tcBorders>
                  <w:vAlign w:val="center"/>
                </w:tcPr>
                <w:p w14:paraId="2612784C">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建设规模及内容</w:t>
                  </w:r>
                </w:p>
              </w:tc>
              <w:tc>
                <w:tcPr>
                  <w:tcW w:w="2737" w:type="dxa"/>
                  <w:tcBorders>
                    <w:tl2br w:val="nil"/>
                    <w:tr2bl w:val="nil"/>
                  </w:tcBorders>
                  <w:vAlign w:val="center"/>
                </w:tcPr>
                <w:p w14:paraId="04DD0D4A">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占地</w:t>
                  </w:r>
                  <w:r>
                    <w:rPr>
                      <w:rFonts w:hint="default" w:ascii="Times New Roman" w:hAnsi="Times New Roman" w:eastAsia="宋体" w:cs="Times New Roman"/>
                      <w:highlight w:val="none"/>
                      <w:lang w:val="en-US" w:eastAsia="zh-CN"/>
                    </w:rPr>
                    <w:t>面积</w:t>
                  </w:r>
                  <w:r>
                    <w:rPr>
                      <w:rFonts w:hint="eastAsia" w:ascii="Times New Roman" w:hAnsi="Times New Roman" w:cs="Times New Roman"/>
                      <w:highlight w:val="none"/>
                      <w:lang w:val="en-US" w:eastAsia="zh-CN"/>
                    </w:rPr>
                    <w:t>1</w:t>
                  </w:r>
                  <w:r>
                    <w:rPr>
                      <w:rFonts w:hint="eastAsia" w:cs="Times New Roman"/>
                      <w:highlight w:val="none"/>
                      <w:lang w:val="en-US" w:eastAsia="zh-CN"/>
                    </w:rPr>
                    <w:t>3874</w:t>
                  </w:r>
                  <w:r>
                    <w:rPr>
                      <w:rFonts w:hint="eastAsia" w:ascii="Times New Roman" w:hAnsi="Times New Roman" w:cs="Times New Roman"/>
                      <w:highlight w:val="none"/>
                      <w:lang w:val="en-US" w:eastAsia="zh-CN"/>
                    </w:rPr>
                    <w:t>平方米</w:t>
                  </w:r>
                  <w:r>
                    <w:rPr>
                      <w:rFonts w:hint="default" w:ascii="Times New Roman" w:hAnsi="Times New Roman" w:eastAsia="宋体" w:cs="Times New Roman"/>
                      <w:highlight w:val="none"/>
                      <w:lang w:val="en-US" w:eastAsia="zh-CN"/>
                    </w:rPr>
                    <w:t>，总投资20</w:t>
                  </w:r>
                  <w:r>
                    <w:rPr>
                      <w:rFonts w:hint="eastAsia" w:cs="Times New Roman"/>
                      <w:highlight w:val="none"/>
                      <w:lang w:val="en-US" w:eastAsia="zh-CN"/>
                    </w:rPr>
                    <w:t>00</w:t>
                  </w:r>
                  <w:r>
                    <w:rPr>
                      <w:rFonts w:hint="default" w:ascii="Times New Roman" w:hAnsi="Times New Roman" w:eastAsia="宋体" w:cs="Times New Roman"/>
                      <w:highlight w:val="none"/>
                      <w:lang w:val="en-US" w:eastAsia="zh-CN"/>
                    </w:rPr>
                    <w:t>万元</w:t>
                  </w:r>
                </w:p>
              </w:tc>
              <w:tc>
                <w:tcPr>
                  <w:tcW w:w="2819" w:type="dxa"/>
                  <w:tcBorders>
                    <w:tl2br w:val="nil"/>
                    <w:tr2bl w:val="nil"/>
                  </w:tcBorders>
                  <w:vAlign w:val="center"/>
                </w:tcPr>
                <w:p w14:paraId="6EE05A5F">
                  <w:pPr>
                    <w:pStyle w:val="10"/>
                    <w:keepNext w:val="0"/>
                    <w:keepLines w:val="0"/>
                    <w:pageBreakBefore w:val="0"/>
                    <w:widowControl w:val="0"/>
                    <w:kinsoku/>
                    <w:wordWrap/>
                    <w:overflowPunct/>
                    <w:topLinePunct w:val="0"/>
                    <w:autoSpaceDE/>
                    <w:autoSpaceDN/>
                    <w:bidi w:val="0"/>
                    <w:adjustRightInd/>
                    <w:snapToGrid/>
                    <w:spacing w:after="0"/>
                    <w:ind w:right="0" w:right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占地</w:t>
                  </w:r>
                  <w:r>
                    <w:rPr>
                      <w:rFonts w:hint="default" w:ascii="Times New Roman" w:hAnsi="Times New Roman" w:eastAsia="宋体" w:cs="Times New Roman"/>
                      <w:highlight w:val="none"/>
                      <w:lang w:val="en-US" w:eastAsia="zh-CN"/>
                    </w:rPr>
                    <w:t>面积</w:t>
                  </w:r>
                  <w:r>
                    <w:rPr>
                      <w:rFonts w:hint="eastAsia" w:ascii="Times New Roman" w:hAnsi="Times New Roman" w:cs="Times New Roman"/>
                      <w:highlight w:val="none"/>
                      <w:lang w:val="en-US" w:eastAsia="zh-CN"/>
                    </w:rPr>
                    <w:t>1</w:t>
                  </w:r>
                  <w:r>
                    <w:rPr>
                      <w:rFonts w:hint="eastAsia" w:cs="Times New Roman"/>
                      <w:highlight w:val="none"/>
                      <w:lang w:val="en-US" w:eastAsia="zh-CN"/>
                    </w:rPr>
                    <w:t>3874</w:t>
                  </w:r>
                  <w:r>
                    <w:rPr>
                      <w:rFonts w:hint="eastAsia" w:ascii="Times New Roman" w:hAnsi="Times New Roman" w:cs="Times New Roman"/>
                      <w:highlight w:val="none"/>
                      <w:lang w:val="en-US" w:eastAsia="zh-CN"/>
                    </w:rPr>
                    <w:t>平方米，建筑面积</w:t>
                  </w:r>
                  <w:r>
                    <w:rPr>
                      <w:rFonts w:hint="eastAsia" w:cs="Times New Roman"/>
                      <w:highlight w:val="none"/>
                      <w:lang w:val="en-US" w:eastAsia="zh-CN"/>
                    </w:rPr>
                    <w:t>约6000</w:t>
                  </w:r>
                  <w:r>
                    <w:rPr>
                      <w:rFonts w:hint="eastAsia" w:ascii="Times New Roman" w:hAnsi="Times New Roman" w:cs="Times New Roman"/>
                      <w:highlight w:val="none"/>
                      <w:lang w:val="en-US" w:eastAsia="zh-CN"/>
                    </w:rPr>
                    <w:t>平方米</w:t>
                  </w:r>
                  <w:r>
                    <w:rPr>
                      <w:rFonts w:hint="default" w:ascii="Times New Roman" w:hAnsi="Times New Roman" w:eastAsia="宋体" w:cs="Times New Roman"/>
                      <w:highlight w:val="none"/>
                      <w:lang w:val="en-US" w:eastAsia="zh-CN"/>
                    </w:rPr>
                    <w:t>，总投资20</w:t>
                  </w:r>
                  <w:r>
                    <w:rPr>
                      <w:rFonts w:hint="eastAsia" w:cs="Times New Roman"/>
                      <w:highlight w:val="none"/>
                      <w:lang w:val="en-US" w:eastAsia="zh-CN"/>
                    </w:rPr>
                    <w:t>00</w:t>
                  </w:r>
                  <w:r>
                    <w:rPr>
                      <w:rFonts w:hint="default" w:ascii="Times New Roman" w:hAnsi="Times New Roman" w:eastAsia="宋体" w:cs="Times New Roman"/>
                      <w:highlight w:val="none"/>
                      <w:lang w:val="en-US" w:eastAsia="zh-CN"/>
                    </w:rPr>
                    <w:t>万元</w:t>
                  </w:r>
                </w:p>
              </w:tc>
              <w:tc>
                <w:tcPr>
                  <w:tcW w:w="943" w:type="dxa"/>
                  <w:tcBorders>
                    <w:tl2br w:val="nil"/>
                    <w:tr2bl w:val="nil"/>
                  </w:tcBorders>
                  <w:vAlign w:val="center"/>
                </w:tcPr>
                <w:p w14:paraId="21DDC86A">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符合</w:t>
                  </w:r>
                </w:p>
              </w:tc>
            </w:tr>
            <w:tr w14:paraId="6DAD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899" w:type="dxa"/>
                  <w:tcBorders>
                    <w:tl2br w:val="nil"/>
                    <w:tr2bl w:val="nil"/>
                  </w:tcBorders>
                  <w:vAlign w:val="center"/>
                </w:tcPr>
                <w:p w14:paraId="0D9A5433">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生产</w:t>
                  </w:r>
                </w:p>
                <w:p w14:paraId="730C48A9">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规模</w:t>
                  </w:r>
                </w:p>
              </w:tc>
              <w:tc>
                <w:tcPr>
                  <w:tcW w:w="2737" w:type="dxa"/>
                  <w:tcBorders>
                    <w:tl2br w:val="nil"/>
                    <w:tr2bl w:val="nil"/>
                  </w:tcBorders>
                  <w:vAlign w:val="center"/>
                </w:tcPr>
                <w:p w14:paraId="7F86E6D0">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lang w:val="en-US" w:eastAsia="zh-CN"/>
                    </w:rPr>
                  </w:pPr>
                  <w:r>
                    <w:rPr>
                      <w:rFonts w:hint="eastAsia" w:cs="Times New Roman"/>
                      <w:highlight w:val="none"/>
                      <w:lang w:val="en-US" w:eastAsia="zh-CN"/>
                    </w:rPr>
                    <w:t>生产牛骨高汤、辣椒酱、油辣椒以及鲜辣椒产品</w:t>
                  </w:r>
                </w:p>
              </w:tc>
              <w:tc>
                <w:tcPr>
                  <w:tcW w:w="2819" w:type="dxa"/>
                  <w:tcBorders>
                    <w:tl2br w:val="nil"/>
                    <w:tr2bl w:val="nil"/>
                  </w:tcBorders>
                  <w:vAlign w:val="center"/>
                </w:tcPr>
                <w:p w14:paraId="4839281C">
                  <w:pPr>
                    <w:pStyle w:val="10"/>
                    <w:keepNext w:val="0"/>
                    <w:keepLines w:val="0"/>
                    <w:pageBreakBefore w:val="0"/>
                    <w:widowControl w:val="0"/>
                    <w:kinsoku/>
                    <w:wordWrap/>
                    <w:overflowPunct/>
                    <w:topLinePunct w:val="0"/>
                    <w:autoSpaceDE/>
                    <w:autoSpaceDN/>
                    <w:bidi w:val="0"/>
                    <w:adjustRightInd/>
                    <w:snapToGrid/>
                    <w:spacing w:after="0"/>
                    <w:ind w:right="0" w:rightChars="0"/>
                    <w:jc w:val="center"/>
                    <w:textAlignment w:val="auto"/>
                    <w:rPr>
                      <w:rFonts w:hint="default" w:ascii="Times New Roman" w:hAnsi="Times New Roman" w:eastAsia="宋体" w:cs="Times New Roman"/>
                      <w:highlight w:val="none"/>
                      <w:lang w:val="en-US" w:eastAsia="zh-CN"/>
                    </w:rPr>
                  </w:pPr>
                  <w:r>
                    <w:rPr>
                      <w:rFonts w:hint="eastAsia" w:cs="Times New Roman"/>
                      <w:highlight w:val="none"/>
                      <w:lang w:val="en-US" w:eastAsia="zh-CN"/>
                    </w:rPr>
                    <w:t>生产牛骨高汤、辣椒酱、油辣椒以及鲜辣椒产品</w:t>
                  </w:r>
                </w:p>
              </w:tc>
              <w:tc>
                <w:tcPr>
                  <w:tcW w:w="943" w:type="dxa"/>
                  <w:tcBorders>
                    <w:tl2br w:val="nil"/>
                    <w:tr2bl w:val="nil"/>
                  </w:tcBorders>
                  <w:vAlign w:val="center"/>
                </w:tcPr>
                <w:p w14:paraId="1C6E6CEC">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rPr>
                    <w:t>符合</w:t>
                  </w:r>
                </w:p>
              </w:tc>
            </w:tr>
            <w:tr w14:paraId="7D78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35" w:hRule="atLeast"/>
                <w:jc w:val="center"/>
              </w:trPr>
              <w:tc>
                <w:tcPr>
                  <w:tcW w:w="899" w:type="dxa"/>
                  <w:tcBorders>
                    <w:tl2br w:val="nil"/>
                    <w:tr2bl w:val="nil"/>
                  </w:tcBorders>
                  <w:vAlign w:val="center"/>
                </w:tcPr>
                <w:p w14:paraId="2D352F35">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主要</w:t>
                  </w:r>
                </w:p>
                <w:p w14:paraId="163800F2">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设备</w:t>
                  </w:r>
                </w:p>
              </w:tc>
              <w:tc>
                <w:tcPr>
                  <w:tcW w:w="2737" w:type="dxa"/>
                  <w:tcBorders>
                    <w:tl2br w:val="nil"/>
                    <w:tr2bl w:val="nil"/>
                  </w:tcBorders>
                  <w:vAlign w:val="center"/>
                </w:tcPr>
                <w:p w14:paraId="0657EAEC">
                  <w:pPr>
                    <w:pStyle w:val="10"/>
                    <w:keepNext w:val="0"/>
                    <w:keepLines w:val="0"/>
                    <w:pageBreakBefore w:val="0"/>
                    <w:widowControl w:val="0"/>
                    <w:kinsoku/>
                    <w:wordWrap/>
                    <w:overflowPunct/>
                    <w:topLinePunct w:val="0"/>
                    <w:autoSpaceDE/>
                    <w:autoSpaceDN/>
                    <w:bidi w:val="0"/>
                    <w:adjustRightInd/>
                    <w:snapToGrid/>
                    <w:spacing w:after="0"/>
                    <w:ind w:right="0" w:right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粉碎机、蒸煮锅、浓缩锅、调配罐、炒锅、灭菌锅、真空包装机及其他生产设备；共4条生产线</w:t>
                  </w:r>
                </w:p>
              </w:tc>
              <w:tc>
                <w:tcPr>
                  <w:tcW w:w="2819" w:type="dxa"/>
                  <w:tcBorders>
                    <w:tl2br w:val="nil"/>
                    <w:tr2bl w:val="nil"/>
                  </w:tcBorders>
                  <w:vAlign w:val="center"/>
                </w:tcPr>
                <w:p w14:paraId="4FA1C067">
                  <w:pPr>
                    <w:pStyle w:val="10"/>
                    <w:keepNext w:val="0"/>
                    <w:keepLines w:val="0"/>
                    <w:pageBreakBefore w:val="0"/>
                    <w:widowControl w:val="0"/>
                    <w:kinsoku/>
                    <w:wordWrap/>
                    <w:overflowPunct/>
                    <w:topLinePunct w:val="0"/>
                    <w:autoSpaceDE/>
                    <w:autoSpaceDN/>
                    <w:bidi w:val="0"/>
                    <w:adjustRightInd/>
                    <w:snapToGrid/>
                    <w:spacing w:after="0"/>
                    <w:ind w:right="0" w:right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粉碎机、蒸煮锅、浓缩锅、调配罐、</w:t>
                  </w:r>
                  <w:r>
                    <w:rPr>
                      <w:rFonts w:hint="eastAsia" w:cs="Times New Roman"/>
                      <w:highlight w:val="none"/>
                      <w:lang w:val="en-US" w:eastAsia="zh-CN"/>
                    </w:rPr>
                    <w:t>静置罐、腌制罐、</w:t>
                  </w:r>
                  <w:r>
                    <w:rPr>
                      <w:rFonts w:hint="default" w:ascii="Times New Roman" w:hAnsi="Times New Roman" w:eastAsia="宋体" w:cs="Times New Roman"/>
                      <w:highlight w:val="none"/>
                      <w:lang w:val="en-US" w:eastAsia="zh-CN"/>
                    </w:rPr>
                    <w:t>炒锅、</w:t>
                  </w:r>
                  <w:r>
                    <w:rPr>
                      <w:rFonts w:hint="eastAsia" w:cs="Times New Roman"/>
                      <w:highlight w:val="none"/>
                      <w:lang w:val="en-US" w:eastAsia="zh-CN"/>
                    </w:rPr>
                    <w:t>打包机</w:t>
                  </w:r>
                  <w:r>
                    <w:rPr>
                      <w:rFonts w:hint="default" w:ascii="Times New Roman" w:hAnsi="Times New Roman" w:eastAsia="宋体" w:cs="Times New Roman"/>
                      <w:highlight w:val="none"/>
                      <w:lang w:val="en-US" w:eastAsia="zh-CN"/>
                    </w:rPr>
                    <w:t>、真空包装机</w:t>
                  </w:r>
                  <w:r>
                    <w:rPr>
                      <w:rFonts w:hint="eastAsia" w:cs="Times New Roman"/>
                      <w:highlight w:val="none"/>
                      <w:lang w:val="en-US" w:eastAsia="zh-CN"/>
                    </w:rPr>
                    <w:t>、搅拌锅、电子称重器</w:t>
                  </w:r>
                  <w:r>
                    <w:rPr>
                      <w:rFonts w:hint="default" w:ascii="Times New Roman" w:hAnsi="Times New Roman" w:eastAsia="宋体" w:cs="Times New Roman"/>
                      <w:highlight w:val="none"/>
                      <w:lang w:val="en-US" w:eastAsia="zh-CN"/>
                    </w:rPr>
                    <w:t>及其他生产设备；共4条生产线</w:t>
                  </w:r>
                </w:p>
              </w:tc>
              <w:tc>
                <w:tcPr>
                  <w:tcW w:w="943" w:type="dxa"/>
                  <w:tcBorders>
                    <w:tl2br w:val="nil"/>
                    <w:tr2bl w:val="nil"/>
                  </w:tcBorders>
                  <w:vAlign w:val="center"/>
                </w:tcPr>
                <w:p w14:paraId="046B4B54">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eastAsia" w:cs="Times New Roman"/>
                      <w:sz w:val="21"/>
                      <w:szCs w:val="21"/>
                      <w:lang w:val="en-US" w:eastAsia="zh-CN"/>
                    </w:rPr>
                    <w:t>基本</w:t>
                  </w:r>
                  <w:r>
                    <w:rPr>
                      <w:rFonts w:hint="default" w:ascii="Times New Roman" w:hAnsi="Times New Roman" w:eastAsia="宋体" w:cs="Times New Roman"/>
                      <w:sz w:val="21"/>
                      <w:szCs w:val="21"/>
                      <w:lang w:eastAsia="zh-CN"/>
                    </w:rPr>
                    <w:t>相符</w:t>
                  </w:r>
                  <w:r>
                    <w:rPr>
                      <w:rFonts w:hint="eastAsia" w:cs="Times New Roman"/>
                      <w:sz w:val="21"/>
                      <w:szCs w:val="21"/>
                      <w:lang w:eastAsia="zh-CN"/>
                    </w:rPr>
                    <w:t>，</w:t>
                  </w:r>
                  <w:r>
                    <w:rPr>
                      <w:rFonts w:hint="eastAsia" w:cs="Times New Roman"/>
                      <w:sz w:val="21"/>
                      <w:szCs w:val="21"/>
                      <w:lang w:val="en-US" w:eastAsia="zh-CN"/>
                    </w:rPr>
                    <w:t>拟实际建设内容写的更具体更细化</w:t>
                  </w:r>
                </w:p>
              </w:tc>
            </w:tr>
            <w:tr w14:paraId="5FAF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899" w:type="dxa"/>
                  <w:tcBorders>
                    <w:tl2br w:val="nil"/>
                    <w:tr2bl w:val="nil"/>
                  </w:tcBorders>
                  <w:vAlign w:val="center"/>
                </w:tcPr>
                <w:p w14:paraId="1DB64882">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p w14:paraId="70D66BF9">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rPr>
                  </w:pPr>
                  <w:r>
                    <w:rPr>
                      <w:rFonts w:hint="default" w:ascii="Times New Roman" w:hAnsi="Times New Roman" w:eastAsia="宋体" w:cs="Times New Roman"/>
                    </w:rPr>
                    <w:t>工艺</w:t>
                  </w:r>
                </w:p>
              </w:tc>
              <w:tc>
                <w:tcPr>
                  <w:tcW w:w="2737" w:type="dxa"/>
                  <w:tcBorders>
                    <w:tl2br w:val="nil"/>
                    <w:tr2bl w:val="nil"/>
                  </w:tcBorders>
                  <w:vAlign w:val="center"/>
                </w:tcPr>
                <w:p w14:paraId="1A77A7C3">
                  <w:pPr>
                    <w:pStyle w:val="10"/>
                    <w:keepNext w:val="0"/>
                    <w:keepLines w:val="0"/>
                    <w:pageBreakBefore w:val="0"/>
                    <w:widowControl w:val="0"/>
                    <w:kinsoku/>
                    <w:wordWrap/>
                    <w:overflowPunct/>
                    <w:topLinePunct w:val="0"/>
                    <w:autoSpaceDE/>
                    <w:autoSpaceDN/>
                    <w:bidi w:val="0"/>
                    <w:adjustRightInd/>
                    <w:snapToGrid/>
                    <w:spacing w:after="0"/>
                    <w:ind w:right="0" w:rightChars="0"/>
                    <w:jc w:val="both"/>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牛骨高汤生产工艺：清洗、投料—第一次焖蒸—第二次焖蒸—浓缩—第一次均质—反应—第二次均质—检验—灌装—杀菌。辣椒酱生产工艺：外袋清洗（已腌制）—挑选—搅拌—包装—成品。鲜辣椒生产工艺：精选红辣椒—去把—清洗—切料—调配装袋—腌制—检验—包装—成品。半固态复合调味料（油辣椒炒制）生产工艺：原料</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前处理（清洗、破碎）</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配料</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炒制</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灌装杀菌</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包装</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成品</w:t>
                  </w:r>
                </w:p>
              </w:tc>
              <w:tc>
                <w:tcPr>
                  <w:tcW w:w="2819" w:type="dxa"/>
                  <w:tcBorders>
                    <w:tl2br w:val="nil"/>
                    <w:tr2bl w:val="nil"/>
                  </w:tcBorders>
                  <w:vAlign w:val="center"/>
                </w:tcPr>
                <w:p w14:paraId="67F0386D">
                  <w:pPr>
                    <w:pStyle w:val="10"/>
                    <w:keepNext w:val="0"/>
                    <w:keepLines w:val="0"/>
                    <w:pageBreakBefore w:val="0"/>
                    <w:widowControl w:val="0"/>
                    <w:kinsoku/>
                    <w:wordWrap/>
                    <w:overflowPunct/>
                    <w:topLinePunct w:val="0"/>
                    <w:autoSpaceDE/>
                    <w:autoSpaceDN/>
                    <w:bidi w:val="0"/>
                    <w:adjustRightInd/>
                    <w:snapToGrid/>
                    <w:spacing w:after="0"/>
                    <w:ind w:right="0" w:rightChars="0"/>
                    <w:jc w:val="both"/>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牛骨高汤生产工艺：清洗、投料—第一次焖蒸—第二次焖蒸—浓缩—第一次均质—反应—第二次均质—检验—灌装—杀菌。辣椒酱生产工艺：</w:t>
                  </w:r>
                  <w:r>
                    <w:rPr>
                      <w:rFonts w:hint="eastAsia" w:cs="Times New Roman"/>
                      <w:u w:val="none"/>
                      <w:lang w:val="en-US" w:eastAsia="zh-CN"/>
                    </w:rPr>
                    <w:t>鲜辣椒腌制—</w:t>
                  </w:r>
                  <w:r>
                    <w:rPr>
                      <w:rFonts w:hint="default" w:ascii="Times New Roman" w:hAnsi="Times New Roman" w:cs="Times New Roman"/>
                      <w:u w:val="none"/>
                      <w:lang w:val="en-US" w:eastAsia="zh-CN"/>
                    </w:rPr>
                    <w:t>外袋清洗—挑选—搅拌—包装—成品。鲜辣椒生产工艺：精选红辣椒—去把—清洗—切料—调配装袋—检验—包装—成品。半固态复合调味料（油辣椒炒制）生产工艺：</w:t>
                  </w:r>
                  <w:r>
                    <w:rPr>
                      <w:rFonts w:hint="eastAsia" w:cs="Times New Roman"/>
                      <w:u w:val="none"/>
                      <w:lang w:val="en-US" w:eastAsia="zh-CN"/>
                    </w:rPr>
                    <w:t>鲜辣椒</w:t>
                  </w:r>
                  <w:r>
                    <w:rPr>
                      <w:rFonts w:hint="default" w:ascii="Times New Roman" w:hAnsi="Times New Roman" w:cs="Times New Roman"/>
                      <w:u w:val="none"/>
                      <w:lang w:val="en-US" w:eastAsia="zh-CN"/>
                    </w:rPr>
                    <w:t>原料</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配料</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炒制</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灌装包装</w:t>
                  </w:r>
                  <w:r>
                    <w:rPr>
                      <w:rFonts w:hint="eastAsia" w:ascii="Times New Roman" w:hAnsi="Times New Roman" w:cs="Times New Roman"/>
                      <w:u w:val="none"/>
                      <w:lang w:val="en-US" w:eastAsia="zh-CN"/>
                    </w:rPr>
                    <w:t>—</w:t>
                  </w:r>
                  <w:r>
                    <w:rPr>
                      <w:rFonts w:hint="default" w:ascii="Times New Roman" w:hAnsi="Times New Roman" w:cs="Times New Roman"/>
                      <w:u w:val="none"/>
                      <w:lang w:val="en-US" w:eastAsia="zh-CN"/>
                    </w:rPr>
                    <w:t>成品</w:t>
                  </w:r>
                </w:p>
              </w:tc>
              <w:tc>
                <w:tcPr>
                  <w:tcW w:w="943" w:type="dxa"/>
                  <w:tcBorders>
                    <w:tl2br w:val="nil"/>
                    <w:tr2bl w:val="nil"/>
                  </w:tcBorders>
                  <w:vAlign w:val="center"/>
                </w:tcPr>
                <w:p w14:paraId="6BA4DCFA">
                  <w:pPr>
                    <w:pStyle w:val="10"/>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hint="default" w:ascii="Times New Roman" w:hAnsi="Times New Roman" w:eastAsia="宋体" w:cs="Times New Roman"/>
                      <w:lang w:eastAsia="zh-CN"/>
                    </w:rPr>
                  </w:pPr>
                  <w:r>
                    <w:rPr>
                      <w:rFonts w:hint="eastAsia" w:cs="Times New Roman"/>
                      <w:sz w:val="21"/>
                      <w:szCs w:val="21"/>
                      <w:lang w:val="en-US" w:eastAsia="zh-CN"/>
                    </w:rPr>
                    <w:t>基本</w:t>
                  </w:r>
                  <w:r>
                    <w:rPr>
                      <w:rFonts w:hint="default" w:ascii="Times New Roman" w:hAnsi="Times New Roman" w:eastAsia="宋体" w:cs="Times New Roman"/>
                      <w:sz w:val="21"/>
                      <w:szCs w:val="21"/>
                      <w:lang w:eastAsia="zh-CN"/>
                    </w:rPr>
                    <w:t>相符</w:t>
                  </w:r>
                  <w:r>
                    <w:rPr>
                      <w:rFonts w:hint="eastAsia" w:cs="Times New Roman"/>
                      <w:sz w:val="21"/>
                      <w:szCs w:val="21"/>
                      <w:lang w:eastAsia="zh-CN"/>
                    </w:rPr>
                    <w:t>，</w:t>
                  </w:r>
                  <w:r>
                    <w:rPr>
                      <w:rFonts w:hint="eastAsia" w:cs="Times New Roman"/>
                      <w:sz w:val="21"/>
                      <w:szCs w:val="21"/>
                      <w:lang w:val="en-US" w:eastAsia="zh-CN"/>
                    </w:rPr>
                    <w:t>拟实际建设内容写的更与实际相符</w:t>
                  </w:r>
                </w:p>
              </w:tc>
            </w:tr>
          </w:tbl>
          <w:p w14:paraId="3687FEBD">
            <w:pPr>
              <w:pStyle w:val="9"/>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color w:val="auto"/>
                <w:sz w:val="24"/>
                <w:szCs w:val="24"/>
                <w:u w:val="none"/>
                <w:lang w:val="en-US" w:eastAsia="zh-CN"/>
              </w:rPr>
              <w:t>由上表可知，本项目建设单位、建设名称、建设地点、建设性质、</w:t>
            </w:r>
            <w:r>
              <w:rPr>
                <w:rFonts w:hint="default" w:ascii="Times New Roman" w:hAnsi="Times New Roman" w:cs="Times New Roman"/>
                <w:b w:val="0"/>
                <w:bCs w:val="0"/>
                <w:color w:val="auto"/>
                <w:sz w:val="24"/>
                <w:szCs w:val="24"/>
                <w:u w:val="none"/>
              </w:rPr>
              <w:t>建设规模及内容</w:t>
            </w:r>
            <w:r>
              <w:rPr>
                <w:rFonts w:hint="default" w:ascii="Times New Roman" w:hAnsi="Times New Roman" w:cs="Times New Roman"/>
                <w:b w:val="0"/>
                <w:bCs w:val="0"/>
                <w:color w:val="auto"/>
                <w:sz w:val="24"/>
                <w:szCs w:val="24"/>
                <w:u w:val="none"/>
                <w:lang w:eastAsia="zh-CN"/>
              </w:rPr>
              <w:t>和</w:t>
            </w:r>
            <w:r>
              <w:rPr>
                <w:rFonts w:hint="default" w:ascii="Times New Roman" w:hAnsi="Times New Roman" w:cs="Times New Roman"/>
                <w:b w:val="0"/>
                <w:bCs w:val="0"/>
                <w:color w:val="auto"/>
                <w:sz w:val="24"/>
                <w:szCs w:val="24"/>
                <w:u w:val="none"/>
              </w:rPr>
              <w:t>主要设备</w:t>
            </w:r>
            <w:r>
              <w:rPr>
                <w:rFonts w:hint="default" w:ascii="Times New Roman" w:hAnsi="Times New Roman" w:cs="Times New Roman"/>
                <w:b w:val="0"/>
                <w:bCs w:val="0"/>
                <w:color w:val="auto"/>
                <w:sz w:val="24"/>
                <w:szCs w:val="24"/>
                <w:u w:val="none"/>
                <w:lang w:eastAsia="zh-CN"/>
              </w:rPr>
              <w:t>与备案相符，因此本项目与备案内容</w:t>
            </w:r>
            <w:r>
              <w:rPr>
                <w:rFonts w:hint="eastAsia" w:cs="Times New Roman"/>
                <w:b w:val="0"/>
                <w:bCs w:val="0"/>
                <w:color w:val="auto"/>
                <w:sz w:val="24"/>
                <w:szCs w:val="24"/>
                <w:u w:val="none"/>
                <w:lang w:val="en-US" w:eastAsia="zh-CN"/>
              </w:rPr>
              <w:t>基本</w:t>
            </w:r>
            <w:r>
              <w:rPr>
                <w:rFonts w:hint="default" w:ascii="Times New Roman" w:hAnsi="Times New Roman" w:cs="Times New Roman"/>
                <w:b w:val="0"/>
                <w:bCs w:val="0"/>
                <w:color w:val="auto"/>
                <w:sz w:val="24"/>
                <w:szCs w:val="24"/>
                <w:u w:val="none"/>
                <w:lang w:eastAsia="zh-CN"/>
              </w:rPr>
              <w:t>相符。</w:t>
            </w:r>
          </w:p>
          <w:p w14:paraId="44E394B4">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、土地利用及规划相符性</w:t>
            </w:r>
            <w:r>
              <w:rPr>
                <w:rFonts w:hint="default" w:ascii="Times New Roman" w:hAnsi="Times New Roman" w:cs="Times New Roman"/>
                <w:b/>
                <w:bCs/>
                <w:color w:val="auto"/>
                <w:sz w:val="24"/>
                <w:lang w:val="en-US" w:eastAsia="zh-CN"/>
              </w:rPr>
              <w:t>分析</w:t>
            </w:r>
          </w:p>
          <w:p w14:paraId="67E592D8">
            <w:pPr>
              <w:adjustRightInd w:val="0"/>
              <w:snapToGrid w:val="0"/>
              <w:spacing w:line="520" w:lineRule="exact"/>
              <w:ind w:firstLine="480" w:firstLineChars="200"/>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b w:val="0"/>
                <w:bCs/>
                <w:kern w:val="2"/>
                <w:sz w:val="24"/>
                <w:szCs w:val="24"/>
                <w:highlight w:val="none"/>
                <w:u w:val="none"/>
                <w:lang w:val="en-US" w:eastAsia="zh-CN" w:bidi="ar-SA"/>
              </w:rPr>
              <w:t>本项目位于河南省</w:t>
            </w:r>
            <w:r>
              <w:rPr>
                <w:rFonts w:hint="default" w:ascii="Times New Roman" w:hAnsi="Times New Roman" w:eastAsia="宋体" w:cs="Times New Roman"/>
                <w:b w:val="0"/>
                <w:bCs/>
                <w:color w:val="auto"/>
                <w:sz w:val="24"/>
                <w:szCs w:val="24"/>
                <w:highlight w:val="none"/>
                <w:u w:val="none"/>
                <w:lang w:val="en-US" w:eastAsia="zh-CN"/>
              </w:rPr>
              <w:t>平顶山市叶县廉村镇</w:t>
            </w:r>
            <w:r>
              <w:rPr>
                <w:rFonts w:hint="eastAsia" w:ascii="Times New Roman" w:hAnsi="Times New Roman" w:cs="Times New Roman"/>
                <w:b w:val="0"/>
                <w:bCs/>
                <w:color w:val="auto"/>
                <w:sz w:val="24"/>
                <w:szCs w:val="24"/>
                <w:highlight w:val="none"/>
                <w:u w:val="none"/>
                <w:lang w:val="en-US" w:eastAsia="zh-CN"/>
              </w:rPr>
              <w:t>沙渡口村二组1号，</w:t>
            </w:r>
            <w:r>
              <w:rPr>
                <w:rFonts w:hint="default" w:ascii="Times New Roman" w:hAnsi="Times New Roman" w:cs="Times New Roman"/>
                <w:b w:val="0"/>
                <w:bCs/>
                <w:color w:val="auto"/>
                <w:sz w:val="24"/>
                <w:szCs w:val="24"/>
                <w:highlight w:val="none"/>
                <w:u w:val="none"/>
                <w:lang w:val="en-US" w:eastAsia="zh-CN"/>
              </w:rPr>
              <w:t>项目为新建，</w:t>
            </w:r>
            <w:r>
              <w:rPr>
                <w:rFonts w:hint="default" w:ascii="Times New Roman" w:hAnsi="Times New Roman" w:eastAsia="宋体" w:cs="Times New Roman"/>
                <w:b w:val="0"/>
                <w:bCs/>
                <w:color w:val="auto"/>
                <w:sz w:val="24"/>
                <w:szCs w:val="24"/>
                <w:highlight w:val="none"/>
                <w:u w:val="none"/>
                <w:lang w:val="en-US" w:eastAsia="zh-CN"/>
              </w:rPr>
              <w:t>占地面积</w:t>
            </w:r>
            <w:r>
              <w:rPr>
                <w:rFonts w:hint="eastAsia" w:ascii="Times New Roman" w:hAnsi="Times New Roman" w:cs="Times New Roman"/>
                <w:b w:val="0"/>
                <w:bCs/>
                <w:color w:val="auto"/>
                <w:sz w:val="24"/>
                <w:szCs w:val="24"/>
                <w:highlight w:val="none"/>
                <w:u w:val="none"/>
                <w:lang w:val="en-US" w:eastAsia="zh-CN"/>
              </w:rPr>
              <w:t>13874</w:t>
            </w:r>
            <w:r>
              <w:rPr>
                <w:rFonts w:hint="default" w:ascii="Times New Roman" w:hAnsi="Times New Roman" w:eastAsia="宋体" w:cs="Times New Roman"/>
                <w:b w:val="0"/>
                <w:bCs/>
                <w:color w:val="auto"/>
                <w:sz w:val="24"/>
                <w:szCs w:val="24"/>
                <w:highlight w:val="none"/>
                <w:u w:val="none"/>
                <w:lang w:val="en-US" w:eastAsia="zh-CN"/>
              </w:rPr>
              <w:t>平方米，该项目已获得叶县</w:t>
            </w:r>
            <w:r>
              <w:rPr>
                <w:rFonts w:hint="eastAsia" w:ascii="Times New Roman" w:hAnsi="Times New Roman" w:cs="Times New Roman"/>
                <w:b w:val="0"/>
                <w:bCs/>
                <w:color w:val="auto"/>
                <w:sz w:val="24"/>
                <w:szCs w:val="24"/>
                <w:highlight w:val="none"/>
                <w:u w:val="none"/>
                <w:lang w:val="en-US" w:eastAsia="zh-CN"/>
              </w:rPr>
              <w:t>自然资源局对土地</w:t>
            </w:r>
            <w:r>
              <w:rPr>
                <w:rFonts w:hint="default" w:ascii="Times New Roman" w:hAnsi="Times New Roman" w:eastAsia="宋体" w:cs="Times New Roman"/>
                <w:b w:val="0"/>
                <w:bCs/>
                <w:color w:val="auto"/>
                <w:sz w:val="24"/>
                <w:szCs w:val="24"/>
                <w:highlight w:val="none"/>
                <w:u w:val="none"/>
                <w:lang w:val="en-US" w:eastAsia="zh-CN"/>
              </w:rPr>
              <w:t>办理相关规划选址、用地</w:t>
            </w:r>
            <w:r>
              <w:rPr>
                <w:rFonts w:hint="eastAsia" w:ascii="Times New Roman" w:hAnsi="Times New Roman" w:cs="Times New Roman"/>
                <w:b w:val="0"/>
                <w:bCs/>
                <w:color w:val="auto"/>
                <w:sz w:val="24"/>
                <w:szCs w:val="24"/>
                <w:highlight w:val="none"/>
                <w:u w:val="none"/>
                <w:lang w:val="en-US" w:eastAsia="zh-CN"/>
              </w:rPr>
              <w:t>的证明</w:t>
            </w:r>
            <w:r>
              <w:rPr>
                <w:rFonts w:hint="default" w:ascii="Times New Roman" w:hAnsi="Times New Roman" w:eastAsia="宋体" w:cs="Times New Roman"/>
                <w:b w:val="0"/>
                <w:bCs/>
                <w:color w:val="auto"/>
                <w:sz w:val="24"/>
                <w:szCs w:val="24"/>
                <w:highlight w:val="none"/>
                <w:u w:val="none"/>
                <w:lang w:val="en-US" w:eastAsia="zh-CN"/>
              </w:rPr>
              <w:t>（见附件</w:t>
            </w:r>
            <w:r>
              <w:rPr>
                <w:rFonts w:hint="default" w:ascii="Times New Roman" w:hAnsi="Times New Roman" w:cs="Times New Roman"/>
                <w:b w:val="0"/>
                <w:bCs/>
                <w:color w:val="auto"/>
                <w:sz w:val="24"/>
                <w:szCs w:val="24"/>
                <w:highlight w:val="none"/>
                <w:u w:val="none"/>
                <w:lang w:val="en-US" w:eastAsia="zh-CN"/>
              </w:rPr>
              <w:t>3</w:t>
            </w:r>
            <w:r>
              <w:rPr>
                <w:rFonts w:hint="default" w:ascii="Times New Roman" w:hAnsi="Times New Roman" w:eastAsia="宋体" w:cs="Times New Roman"/>
                <w:b w:val="0"/>
                <w:bCs/>
                <w:color w:val="auto"/>
                <w:sz w:val="24"/>
                <w:szCs w:val="24"/>
                <w:highlight w:val="none"/>
                <w:u w:val="none"/>
                <w:lang w:val="en-US" w:eastAsia="zh-CN"/>
              </w:rPr>
              <w:t>），在</w:t>
            </w:r>
            <w:r>
              <w:rPr>
                <w:rFonts w:hint="eastAsia" w:ascii="Times New Roman" w:hAnsi="Times New Roman" w:cs="Times New Roman"/>
                <w:b w:val="0"/>
                <w:bCs/>
                <w:color w:val="auto"/>
                <w:sz w:val="24"/>
                <w:szCs w:val="24"/>
                <w:highlight w:val="none"/>
                <w:u w:val="none"/>
                <w:lang w:val="en-US" w:eastAsia="zh-CN"/>
              </w:rPr>
              <w:t>批准</w:t>
            </w:r>
            <w:r>
              <w:rPr>
                <w:rFonts w:hint="default" w:ascii="Times New Roman" w:hAnsi="Times New Roman" w:eastAsia="宋体" w:cs="Times New Roman"/>
                <w:b w:val="0"/>
                <w:bCs/>
                <w:color w:val="auto"/>
                <w:sz w:val="24"/>
                <w:szCs w:val="24"/>
                <w:highlight w:val="none"/>
                <w:u w:val="none"/>
                <w:lang w:val="en-US" w:eastAsia="zh-CN"/>
              </w:rPr>
              <w:t>用地范围内</w:t>
            </w:r>
            <w:r>
              <w:rPr>
                <w:rFonts w:hint="eastAsia" w:ascii="Times New Roman" w:hAnsi="Times New Roman" w:cs="Times New Roman"/>
                <w:b w:val="0"/>
                <w:bCs/>
                <w:color w:val="auto"/>
                <w:sz w:val="24"/>
                <w:szCs w:val="24"/>
                <w:highlight w:val="none"/>
                <w:u w:val="none"/>
                <w:lang w:val="en-US" w:eastAsia="zh-CN"/>
              </w:rPr>
              <w:t>可</w:t>
            </w:r>
            <w:r>
              <w:rPr>
                <w:rFonts w:hint="default" w:ascii="Times New Roman" w:hAnsi="Times New Roman" w:eastAsia="宋体" w:cs="Times New Roman"/>
                <w:b w:val="0"/>
                <w:bCs/>
                <w:color w:val="auto"/>
                <w:sz w:val="24"/>
                <w:highlight w:val="none"/>
              </w:rPr>
              <w:t>进行建设生产。</w:t>
            </w:r>
            <w:r>
              <w:rPr>
                <w:rFonts w:hint="default" w:ascii="Times New Roman" w:hAnsi="Times New Roman" w:eastAsia="宋体" w:cs="Times New Roman"/>
                <w:b w:val="0"/>
                <w:bCs/>
                <w:color w:val="auto"/>
                <w:sz w:val="24"/>
                <w:highlight w:val="none"/>
                <w:lang w:val="en-US" w:eastAsia="zh-CN"/>
              </w:rPr>
              <w:t>因此，本项目建设</w:t>
            </w:r>
            <w:r>
              <w:rPr>
                <w:rFonts w:hint="default" w:ascii="Times New Roman" w:hAnsi="Times New Roman" w:cs="Times New Roman"/>
                <w:b w:val="0"/>
                <w:bCs/>
                <w:color w:val="auto"/>
                <w:sz w:val="24"/>
                <w:highlight w:val="none"/>
                <w:lang w:val="en-US" w:eastAsia="zh-CN"/>
              </w:rPr>
              <w:t>是</w:t>
            </w:r>
            <w:r>
              <w:rPr>
                <w:rFonts w:hint="default" w:ascii="Times New Roman" w:hAnsi="Times New Roman" w:eastAsia="宋体" w:cs="Times New Roman"/>
                <w:b w:val="0"/>
                <w:bCs/>
                <w:color w:val="auto"/>
                <w:sz w:val="24"/>
                <w:highlight w:val="none"/>
                <w:lang w:val="en-US" w:eastAsia="zh-CN"/>
              </w:rPr>
              <w:t>可行</w:t>
            </w:r>
            <w:r>
              <w:rPr>
                <w:rFonts w:hint="default" w:ascii="Times New Roman" w:hAnsi="Times New Roman" w:eastAsia="宋体" w:cs="Times New Roman"/>
                <w:b w:val="0"/>
                <w:bCs/>
                <w:color w:val="auto"/>
                <w:sz w:val="24"/>
                <w:highlight w:val="none"/>
              </w:rPr>
              <w:t>。</w:t>
            </w:r>
          </w:p>
          <w:p w14:paraId="6EAA58E5">
            <w:pPr>
              <w:pStyle w:val="28"/>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default" w:ascii="Times New Roman" w:hAnsi="Times New Roman" w:eastAsia="宋体" w:cs="Times New Roman"/>
                <w:b/>
                <w:bCs w:val="0"/>
                <w:color w:val="auto"/>
                <w:kern w:val="28"/>
                <w:sz w:val="24"/>
                <w:szCs w:val="40"/>
                <w:highlight w:val="none"/>
                <w:lang w:val="en-US" w:eastAsia="zh-CN" w:bidi="ar-SA"/>
              </w:rPr>
            </w:pPr>
            <w:r>
              <w:rPr>
                <w:rFonts w:hint="default" w:ascii="Times New Roman" w:hAnsi="Times New Roman" w:cs="Times New Roman"/>
                <w:b/>
                <w:bCs w:val="0"/>
                <w:color w:val="auto"/>
                <w:kern w:val="28"/>
                <w:sz w:val="24"/>
                <w:szCs w:val="40"/>
                <w:highlight w:val="none"/>
                <w:lang w:val="en-US" w:eastAsia="zh-CN" w:bidi="ar-SA"/>
              </w:rPr>
              <w:t>5</w:t>
            </w:r>
            <w:r>
              <w:rPr>
                <w:rFonts w:hint="default" w:ascii="Times New Roman" w:hAnsi="Times New Roman" w:eastAsia="宋体" w:cs="Times New Roman"/>
                <w:b/>
                <w:bCs w:val="0"/>
                <w:color w:val="auto"/>
                <w:kern w:val="28"/>
                <w:sz w:val="24"/>
                <w:szCs w:val="40"/>
                <w:highlight w:val="none"/>
                <w:lang w:val="en-US" w:eastAsia="zh-CN" w:bidi="ar-SA"/>
              </w:rPr>
              <w:t>、建设项目选址合理性分析</w:t>
            </w:r>
          </w:p>
          <w:p w14:paraId="75C56659">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项目厂址位于</w:t>
            </w:r>
            <w:r>
              <w:rPr>
                <w:rFonts w:hint="default" w:ascii="Times New Roman" w:hAnsi="Times New Roman" w:eastAsia="宋体" w:cs="Times New Roman"/>
                <w:b w:val="0"/>
                <w:bCs/>
                <w:kern w:val="2"/>
                <w:sz w:val="24"/>
                <w:szCs w:val="24"/>
                <w:highlight w:val="none"/>
                <w:u w:val="none"/>
                <w:lang w:val="en-US" w:eastAsia="zh-CN" w:bidi="ar-SA"/>
              </w:rPr>
              <w:t>河南省</w:t>
            </w:r>
            <w:r>
              <w:rPr>
                <w:rFonts w:hint="default" w:ascii="Times New Roman" w:hAnsi="Times New Roman" w:eastAsia="宋体" w:cs="Times New Roman"/>
                <w:b w:val="0"/>
                <w:bCs/>
                <w:color w:val="auto"/>
                <w:sz w:val="24"/>
                <w:szCs w:val="24"/>
                <w:highlight w:val="none"/>
                <w:u w:val="none"/>
                <w:lang w:val="en-US" w:eastAsia="zh-CN"/>
              </w:rPr>
              <w:t>平顶山市叶县廉村镇</w:t>
            </w:r>
            <w:r>
              <w:rPr>
                <w:rFonts w:hint="eastAsia" w:ascii="Times New Roman" w:hAnsi="Times New Roman" w:cs="Times New Roman"/>
                <w:b w:val="0"/>
                <w:bCs/>
                <w:color w:val="auto"/>
                <w:sz w:val="24"/>
                <w:szCs w:val="24"/>
                <w:highlight w:val="none"/>
                <w:u w:val="none"/>
                <w:lang w:val="en-US" w:eastAsia="zh-CN"/>
              </w:rPr>
              <w:t>沙渡口村二组1号</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szCs w:val="24"/>
                <w:highlight w:val="none"/>
                <w:u w:val="none"/>
                <w:lang w:val="en-US" w:eastAsia="zh-CN"/>
              </w:rPr>
              <w:t>项目</w:t>
            </w:r>
            <w:r>
              <w:rPr>
                <w:rFonts w:hint="default" w:ascii="Times New Roman" w:hAnsi="Times New Roman" w:cs="Times New Roman"/>
                <w:b w:val="0"/>
                <w:bCs/>
                <w:color w:val="auto"/>
                <w:sz w:val="24"/>
                <w:szCs w:val="24"/>
                <w:highlight w:val="none"/>
                <w:u w:val="none"/>
                <w:lang w:val="en-US" w:eastAsia="zh-CN"/>
              </w:rPr>
              <w:t>用地</w:t>
            </w:r>
            <w:r>
              <w:rPr>
                <w:rFonts w:hint="default" w:ascii="Times New Roman" w:hAnsi="Times New Roman" w:eastAsia="宋体" w:cs="Times New Roman"/>
                <w:b w:val="0"/>
                <w:bCs/>
                <w:color w:val="auto"/>
                <w:sz w:val="24"/>
                <w:szCs w:val="24"/>
                <w:highlight w:val="none"/>
                <w:u w:val="none"/>
                <w:lang w:val="en-US" w:eastAsia="zh-CN"/>
              </w:rPr>
              <w:t>已获得叶县</w:t>
            </w:r>
            <w:r>
              <w:rPr>
                <w:rFonts w:hint="eastAsia" w:cs="Times New Roman"/>
                <w:b w:val="0"/>
                <w:bCs/>
                <w:color w:val="auto"/>
                <w:sz w:val="24"/>
                <w:szCs w:val="24"/>
                <w:highlight w:val="none"/>
                <w:u w:val="none"/>
                <w:lang w:val="en-US" w:eastAsia="zh-CN"/>
              </w:rPr>
              <w:t>自然资源局</w:t>
            </w:r>
            <w:r>
              <w:rPr>
                <w:rFonts w:hint="default" w:ascii="Times New Roman" w:hAnsi="Times New Roman" w:eastAsia="宋体" w:cs="Times New Roman"/>
                <w:b w:val="0"/>
                <w:bCs/>
                <w:color w:val="auto"/>
                <w:sz w:val="24"/>
                <w:szCs w:val="24"/>
                <w:highlight w:val="none"/>
                <w:u w:val="none"/>
                <w:lang w:val="en-US" w:eastAsia="zh-CN"/>
              </w:rPr>
              <w:t>关于</w:t>
            </w:r>
            <w:r>
              <w:rPr>
                <w:rFonts w:hint="eastAsia" w:cs="Times New Roman"/>
                <w:b w:val="0"/>
                <w:bCs/>
                <w:color w:val="auto"/>
                <w:sz w:val="24"/>
                <w:szCs w:val="24"/>
                <w:highlight w:val="none"/>
                <w:u w:val="none"/>
                <w:lang w:val="en-US" w:eastAsia="zh-CN"/>
              </w:rPr>
              <w:t>叶县嘉航食品有限公司对该</w:t>
            </w:r>
            <w:r>
              <w:rPr>
                <w:rFonts w:hint="default" w:ascii="Times New Roman" w:hAnsi="Times New Roman" w:eastAsia="宋体" w:cs="Times New Roman"/>
                <w:b w:val="0"/>
                <w:bCs/>
                <w:color w:val="auto"/>
                <w:sz w:val="24"/>
                <w:szCs w:val="24"/>
                <w:highlight w:val="none"/>
                <w:u w:val="none"/>
                <w:lang w:val="en-US" w:eastAsia="zh-CN"/>
              </w:rPr>
              <w:t>地块控制性详细规划的</w:t>
            </w:r>
            <w:r>
              <w:rPr>
                <w:rFonts w:hint="eastAsia" w:cs="Times New Roman"/>
                <w:b w:val="0"/>
                <w:bCs/>
                <w:color w:val="auto"/>
                <w:sz w:val="24"/>
                <w:szCs w:val="24"/>
                <w:highlight w:val="none"/>
                <w:u w:val="none"/>
                <w:lang w:val="en-US" w:eastAsia="zh-CN"/>
              </w:rPr>
              <w:t>证明</w:t>
            </w:r>
            <w:r>
              <w:rPr>
                <w:rFonts w:hint="default" w:ascii="Times New Roman" w:hAnsi="Times New Roman" w:eastAsia="宋体" w:cs="Times New Roman"/>
                <w:b w:val="0"/>
                <w:bCs/>
                <w:color w:val="auto"/>
                <w:sz w:val="24"/>
                <w:highlight w:val="none"/>
              </w:rPr>
              <w:t>进行建设生产</w:t>
            </w:r>
            <w:r>
              <w:rPr>
                <w:rFonts w:hint="default" w:ascii="Times New Roman" w:hAnsi="Times New Roman" w:cs="Times New Roman"/>
                <w:b w:val="0"/>
                <w:bCs/>
                <w:color w:val="auto"/>
                <w:sz w:val="24"/>
                <w:highlight w:val="none"/>
                <w:lang w:eastAsia="zh-CN"/>
              </w:rPr>
              <w:t>，</w:t>
            </w:r>
            <w:r>
              <w:rPr>
                <w:rFonts w:hint="default" w:ascii="Times New Roman" w:hAnsi="Times New Roman" w:eastAsia="宋体" w:cs="Times New Roman"/>
                <w:snapToGrid w:val="0"/>
                <w:color w:val="auto"/>
                <w:kern w:val="0"/>
                <w:sz w:val="24"/>
                <w:szCs w:val="24"/>
              </w:rPr>
              <w:t>项目选址符合</w:t>
            </w:r>
            <w:r>
              <w:rPr>
                <w:rFonts w:hint="default" w:ascii="Times New Roman" w:hAnsi="Times New Roman" w:cs="Times New Roman"/>
                <w:snapToGrid w:val="0"/>
                <w:color w:val="auto"/>
                <w:kern w:val="0"/>
                <w:sz w:val="24"/>
                <w:szCs w:val="24"/>
                <w:lang w:val="en-US" w:eastAsia="zh-CN"/>
              </w:rPr>
              <w:t>平顶山市叶县的</w:t>
            </w:r>
            <w:r>
              <w:rPr>
                <w:rFonts w:hint="default" w:ascii="Times New Roman" w:hAnsi="Times New Roman" w:eastAsia="宋体" w:cs="Times New Roman"/>
                <w:snapToGrid w:val="0"/>
                <w:color w:val="auto"/>
                <w:kern w:val="0"/>
                <w:sz w:val="24"/>
                <w:szCs w:val="24"/>
              </w:rPr>
              <w:t>规划</w:t>
            </w:r>
            <w:r>
              <w:rPr>
                <w:rFonts w:hint="default" w:ascii="Times New Roman" w:hAnsi="Times New Roman" w:cs="Times New Roman"/>
                <w:snapToGrid w:val="0"/>
                <w:color w:val="auto"/>
                <w:kern w:val="0"/>
                <w:sz w:val="24"/>
                <w:szCs w:val="24"/>
                <w:lang w:eastAsia="zh-CN"/>
              </w:rPr>
              <w:t>。</w:t>
            </w:r>
          </w:p>
          <w:p w14:paraId="1136A5F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kern w:val="0"/>
                <w:sz w:val="24"/>
                <w:lang w:eastAsia="zh-CN"/>
              </w:rPr>
            </w:pPr>
            <w:r>
              <w:rPr>
                <w:rFonts w:hint="default" w:ascii="Times New Roman" w:hAnsi="Times New Roman" w:eastAsia="宋体" w:cs="Times New Roman"/>
                <w:snapToGrid w:val="0"/>
                <w:color w:val="auto"/>
                <w:kern w:val="0"/>
                <w:sz w:val="24"/>
                <w:lang w:eastAsia="zh-CN"/>
              </w:rPr>
              <w:t>项目厂址不在饮用水源保护区、风景名胜区、生态保护区等需要特殊保护区域内；项目所在区域供电、交通等基础设施完善。</w:t>
            </w:r>
          </w:p>
          <w:p w14:paraId="04C806D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u w:val="none"/>
              </w:rPr>
            </w:pPr>
            <w:r>
              <w:rPr>
                <w:rFonts w:hint="default" w:ascii="Times New Roman" w:hAnsi="Times New Roman" w:eastAsia="宋体" w:cs="Times New Roman"/>
                <w:snapToGrid w:val="0"/>
                <w:color w:val="auto"/>
                <w:kern w:val="0"/>
                <w:sz w:val="24"/>
                <w:lang w:eastAsia="zh-CN"/>
              </w:rPr>
              <w:t>项目厂址周边</w:t>
            </w:r>
            <w:r>
              <w:rPr>
                <w:rFonts w:hint="default" w:ascii="Times New Roman" w:hAnsi="Times New Roman" w:eastAsia="宋体" w:cs="Times New Roman"/>
                <w:snapToGrid w:val="0"/>
                <w:color w:val="auto"/>
                <w:kern w:val="0"/>
                <w:sz w:val="24"/>
                <w:lang w:val="en-US" w:eastAsia="zh-CN"/>
              </w:rPr>
              <w:t>主要包括</w:t>
            </w:r>
            <w:r>
              <w:rPr>
                <w:rFonts w:hint="default" w:ascii="Times New Roman" w:hAnsi="Times New Roman" w:eastAsia="宋体" w:cs="Times New Roman"/>
                <w:color w:val="auto"/>
                <w:sz w:val="24"/>
                <w:lang w:val="en-US" w:eastAsia="zh-CN"/>
              </w:rPr>
              <w:t>东侧</w:t>
            </w:r>
            <w:r>
              <w:rPr>
                <w:rFonts w:hint="default" w:ascii="Times New Roman" w:hAnsi="Times New Roman" w:cs="Times New Roman"/>
                <w:color w:val="auto"/>
                <w:sz w:val="24"/>
                <w:lang w:val="en-US" w:eastAsia="zh-CN"/>
              </w:rPr>
              <w:t>为</w:t>
            </w:r>
            <w:r>
              <w:rPr>
                <w:rFonts w:hint="eastAsia" w:cs="Times New Roman"/>
                <w:color w:val="auto"/>
                <w:sz w:val="24"/>
                <w:lang w:val="en-US" w:eastAsia="zh-CN"/>
              </w:rPr>
              <w:t>霍姚村</w:t>
            </w:r>
            <w:r>
              <w:rPr>
                <w:rFonts w:hint="default" w:ascii="Times New Roman" w:hAnsi="Times New Roman" w:eastAsia="宋体" w:cs="Times New Roman"/>
                <w:color w:val="auto"/>
                <w:sz w:val="24"/>
                <w:lang w:val="en-US" w:eastAsia="zh-CN"/>
              </w:rPr>
              <w:t>、南侧为</w:t>
            </w:r>
            <w:r>
              <w:rPr>
                <w:rFonts w:hint="eastAsia" w:cs="Times New Roman"/>
                <w:color w:val="auto"/>
                <w:sz w:val="24"/>
                <w:lang w:val="en-US" w:eastAsia="zh-CN"/>
              </w:rPr>
              <w:t>耕田和王博儒村</w:t>
            </w:r>
            <w:r>
              <w:rPr>
                <w:rFonts w:hint="default" w:ascii="Times New Roman" w:hAnsi="Times New Roman" w:eastAsia="宋体" w:cs="Times New Roman"/>
                <w:color w:val="auto"/>
                <w:sz w:val="24"/>
                <w:lang w:val="en-US" w:eastAsia="zh-CN"/>
              </w:rPr>
              <w:t>、西侧为</w:t>
            </w:r>
            <w:r>
              <w:rPr>
                <w:rFonts w:hint="eastAsia" w:cs="Times New Roman"/>
                <w:color w:val="auto"/>
                <w:sz w:val="24"/>
                <w:lang w:val="en-US" w:eastAsia="zh-CN"/>
              </w:rPr>
              <w:t>公路、耕田以及沙渡口村</w:t>
            </w:r>
            <w:r>
              <w:rPr>
                <w:rFonts w:hint="default" w:ascii="Times New Roman" w:hAnsi="Times New Roman" w:eastAsia="宋体" w:cs="Times New Roman"/>
                <w:color w:val="auto"/>
                <w:sz w:val="24"/>
                <w:lang w:val="en-US" w:eastAsia="zh-CN"/>
              </w:rPr>
              <w:t>、北侧为</w:t>
            </w:r>
            <w:r>
              <w:rPr>
                <w:rFonts w:hint="eastAsia" w:cs="Times New Roman"/>
                <w:color w:val="auto"/>
                <w:sz w:val="24"/>
                <w:lang w:val="en-US" w:eastAsia="zh-CN"/>
              </w:rPr>
              <w:t>耕</w:t>
            </w:r>
            <w:r>
              <w:rPr>
                <w:rFonts w:hint="default" w:ascii="Times New Roman" w:hAnsi="Times New Roman" w:cs="Times New Roman"/>
                <w:color w:val="auto"/>
                <w:sz w:val="24"/>
                <w:lang w:val="en-US" w:eastAsia="zh-CN"/>
              </w:rPr>
              <w:t>田</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snapToGrid w:val="0"/>
                <w:color w:val="auto"/>
                <w:kern w:val="0"/>
                <w:sz w:val="24"/>
                <w:lang w:eastAsia="zh-CN"/>
              </w:rPr>
              <w:t>项目厂址周边</w:t>
            </w:r>
            <w:r>
              <w:rPr>
                <w:rFonts w:hint="default" w:ascii="Times New Roman" w:hAnsi="Times New Roman" w:eastAsia="宋体" w:cs="Times New Roman"/>
                <w:snapToGrid w:val="0"/>
                <w:color w:val="auto"/>
                <w:kern w:val="0"/>
                <w:sz w:val="24"/>
                <w:lang w:val="en-US" w:eastAsia="zh-CN"/>
              </w:rPr>
              <w:t>500m范围内</w:t>
            </w:r>
            <w:r>
              <w:rPr>
                <w:rFonts w:hint="default" w:ascii="Times New Roman" w:hAnsi="Times New Roman" w:eastAsia="宋体" w:cs="Times New Roman"/>
                <w:snapToGrid w:val="0"/>
                <w:color w:val="auto"/>
                <w:kern w:val="0"/>
                <w:sz w:val="24"/>
                <w:lang w:eastAsia="zh-CN"/>
              </w:rPr>
              <w:t>敏感点</w:t>
            </w:r>
            <w:r>
              <w:rPr>
                <w:rFonts w:hint="default" w:ascii="Times New Roman" w:hAnsi="Times New Roman" w:cs="Times New Roman"/>
                <w:b w:val="0"/>
                <w:bCs w:val="0"/>
                <w:color w:val="auto"/>
                <w:sz w:val="24"/>
                <w:szCs w:val="24"/>
                <w:highlight w:val="none"/>
                <w:u w:val="none"/>
                <w:lang w:val="en-US" w:eastAsia="zh-CN"/>
              </w:rPr>
              <w:t>主要为项目</w:t>
            </w:r>
            <w:r>
              <w:rPr>
                <w:rFonts w:hint="eastAsia" w:cs="Times New Roman"/>
                <w:b w:val="0"/>
                <w:bCs w:val="0"/>
                <w:color w:val="auto"/>
                <w:sz w:val="24"/>
                <w:szCs w:val="24"/>
                <w:highlight w:val="none"/>
                <w:u w:val="none"/>
                <w:lang w:val="en-US" w:eastAsia="zh-CN"/>
              </w:rPr>
              <w:t>东</w:t>
            </w:r>
            <w:r>
              <w:rPr>
                <w:rFonts w:hint="default" w:ascii="Times New Roman" w:hAnsi="Times New Roman" w:eastAsia="宋体" w:cs="Times New Roman"/>
                <w:color w:val="auto"/>
                <w:kern w:val="2"/>
                <w:sz w:val="24"/>
                <w:szCs w:val="24"/>
                <w:highlight w:val="none"/>
                <w:u w:val="none"/>
                <w:lang w:val="zh-CN" w:eastAsia="zh-CN" w:bidi="ar-SA"/>
              </w:rPr>
              <w:t>侧</w:t>
            </w:r>
            <w:r>
              <w:rPr>
                <w:rFonts w:hint="default" w:ascii="Times New Roman" w:hAnsi="Times New Roman" w:cs="Times New Roman"/>
                <w:color w:val="auto"/>
                <w:kern w:val="2"/>
                <w:sz w:val="24"/>
                <w:szCs w:val="24"/>
                <w:highlight w:val="none"/>
                <w:u w:val="none"/>
                <w:lang w:val="en-US" w:eastAsia="zh-CN" w:bidi="ar-SA"/>
              </w:rPr>
              <w:t>直线距离</w:t>
            </w:r>
            <w:r>
              <w:rPr>
                <w:rFonts w:hint="eastAsia" w:cs="Times New Roman"/>
                <w:color w:val="auto"/>
                <w:kern w:val="2"/>
                <w:sz w:val="24"/>
                <w:szCs w:val="24"/>
                <w:highlight w:val="none"/>
                <w:u w:val="none"/>
                <w:lang w:val="en-US" w:eastAsia="zh-CN" w:bidi="ar-SA"/>
              </w:rPr>
              <w:t>386</w:t>
            </w:r>
            <w:r>
              <w:rPr>
                <w:rFonts w:hint="default" w:ascii="Times New Roman" w:hAnsi="Times New Roman" w:eastAsia="宋体" w:cs="Times New Roman"/>
                <w:color w:val="auto"/>
                <w:kern w:val="2"/>
                <w:sz w:val="24"/>
                <w:szCs w:val="24"/>
                <w:highlight w:val="none"/>
                <w:u w:val="none"/>
                <w:lang w:val="zh-CN" w:eastAsia="zh-CN" w:bidi="ar-SA"/>
              </w:rPr>
              <w:t>m处为</w:t>
            </w:r>
            <w:r>
              <w:rPr>
                <w:rFonts w:hint="eastAsia" w:cs="Times New Roman"/>
                <w:color w:val="auto"/>
                <w:sz w:val="24"/>
                <w:lang w:val="en-US" w:eastAsia="zh-CN"/>
              </w:rPr>
              <w:t>霍姚村</w:t>
            </w:r>
            <w:r>
              <w:rPr>
                <w:rFonts w:hint="default" w:ascii="Times New Roman" w:hAnsi="Times New Roman" w:eastAsia="宋体" w:cs="Times New Roman"/>
                <w:snapToGrid w:val="0"/>
                <w:color w:val="auto"/>
                <w:kern w:val="0"/>
                <w:sz w:val="24"/>
                <w:lang w:eastAsia="zh-CN"/>
              </w:rPr>
              <w:t>，</w:t>
            </w:r>
            <w:r>
              <w:rPr>
                <w:rFonts w:hint="eastAsia" w:cs="Times New Roman"/>
                <w:snapToGrid w:val="0"/>
                <w:color w:val="auto"/>
                <w:kern w:val="0"/>
                <w:sz w:val="24"/>
                <w:lang w:val="en-US" w:eastAsia="zh-CN"/>
              </w:rPr>
              <w:t>南</w:t>
            </w:r>
            <w:r>
              <w:rPr>
                <w:rFonts w:hint="default" w:ascii="Times New Roman" w:hAnsi="Times New Roman" w:eastAsia="宋体" w:cs="Times New Roman"/>
                <w:color w:val="auto"/>
                <w:kern w:val="2"/>
                <w:sz w:val="24"/>
                <w:szCs w:val="24"/>
                <w:highlight w:val="none"/>
                <w:u w:val="none"/>
                <w:lang w:val="zh-CN" w:eastAsia="zh-CN" w:bidi="ar-SA"/>
              </w:rPr>
              <w:t>侧</w:t>
            </w:r>
            <w:r>
              <w:rPr>
                <w:rFonts w:hint="default" w:ascii="Times New Roman" w:hAnsi="Times New Roman" w:cs="Times New Roman"/>
                <w:color w:val="auto"/>
                <w:kern w:val="2"/>
                <w:sz w:val="24"/>
                <w:szCs w:val="24"/>
                <w:highlight w:val="none"/>
                <w:u w:val="none"/>
                <w:lang w:val="en-US" w:eastAsia="zh-CN" w:bidi="ar-SA"/>
              </w:rPr>
              <w:t>直线距离</w:t>
            </w:r>
            <w:r>
              <w:rPr>
                <w:rFonts w:hint="eastAsia" w:cs="Times New Roman"/>
                <w:color w:val="auto"/>
                <w:kern w:val="2"/>
                <w:sz w:val="24"/>
                <w:szCs w:val="24"/>
                <w:highlight w:val="none"/>
                <w:u w:val="none"/>
                <w:lang w:val="en-US" w:eastAsia="zh-CN" w:bidi="ar-SA"/>
              </w:rPr>
              <w:t>395</w:t>
            </w:r>
            <w:r>
              <w:rPr>
                <w:rFonts w:hint="default" w:ascii="Times New Roman" w:hAnsi="Times New Roman" w:eastAsia="宋体" w:cs="Times New Roman"/>
                <w:color w:val="auto"/>
                <w:kern w:val="2"/>
                <w:sz w:val="24"/>
                <w:szCs w:val="24"/>
                <w:highlight w:val="none"/>
                <w:u w:val="none"/>
                <w:lang w:val="zh-CN" w:eastAsia="zh-CN" w:bidi="ar-SA"/>
              </w:rPr>
              <w:t>m处为</w:t>
            </w:r>
            <w:r>
              <w:rPr>
                <w:rFonts w:hint="eastAsia" w:cs="Times New Roman"/>
                <w:color w:val="auto"/>
                <w:kern w:val="2"/>
                <w:sz w:val="24"/>
                <w:szCs w:val="24"/>
                <w:highlight w:val="none"/>
                <w:u w:val="none"/>
                <w:lang w:val="en-US" w:eastAsia="zh-CN" w:bidi="ar-SA"/>
              </w:rPr>
              <w:t>王博儒</w:t>
            </w:r>
            <w:r>
              <w:rPr>
                <w:rFonts w:hint="eastAsia" w:cs="Times New Roman"/>
                <w:color w:val="auto"/>
                <w:sz w:val="24"/>
                <w:lang w:val="en-US" w:eastAsia="zh-CN"/>
              </w:rPr>
              <w:t>村，</w:t>
            </w:r>
            <w:r>
              <w:rPr>
                <w:rFonts w:hint="default" w:ascii="Times New Roman" w:hAnsi="Times New Roman" w:eastAsia="宋体" w:cs="Times New Roman"/>
                <w:color w:val="auto"/>
                <w:kern w:val="0"/>
                <w:sz w:val="24"/>
                <w:szCs w:val="24"/>
                <w:lang w:val="en-US" w:eastAsia="zh-CN" w:bidi="ar"/>
              </w:rPr>
              <w:t>故项目性质与</w:t>
            </w:r>
            <w:r>
              <w:rPr>
                <w:rFonts w:hint="default" w:ascii="Times New Roman" w:hAnsi="Times New Roman" w:cs="Times New Roman"/>
                <w:color w:val="auto"/>
                <w:kern w:val="0"/>
                <w:sz w:val="24"/>
                <w:szCs w:val="24"/>
                <w:lang w:val="en-US" w:eastAsia="zh-CN" w:bidi="ar"/>
              </w:rPr>
              <w:t>周围环境相容</w:t>
            </w:r>
            <w:r>
              <w:rPr>
                <w:rFonts w:hint="default" w:ascii="Times New Roman" w:hAnsi="Times New Roman" w:eastAsia="宋体" w:cs="Times New Roman"/>
                <w:color w:val="auto"/>
                <w:kern w:val="0"/>
                <w:sz w:val="24"/>
                <w:szCs w:val="24"/>
                <w:lang w:val="en-US" w:eastAsia="zh-CN" w:bidi="ar"/>
              </w:rPr>
              <w:t>不冲突，</w:t>
            </w:r>
            <w:r>
              <w:rPr>
                <w:rFonts w:hint="default" w:ascii="Times New Roman" w:hAnsi="Times New Roman" w:eastAsia="宋体" w:cs="Times New Roman"/>
                <w:color w:val="auto"/>
                <w:kern w:val="0"/>
                <w:sz w:val="24"/>
                <w:szCs w:val="24"/>
                <w:highlight w:val="none"/>
                <w:lang w:val="en-US" w:eastAsia="zh-CN" w:bidi="ar"/>
              </w:rPr>
              <w:t>具体见附图</w:t>
            </w:r>
            <w:r>
              <w:rPr>
                <w:rFonts w:hint="default" w:ascii="Times New Roman" w:hAnsi="Times New Roman" w:cs="Times New Roman"/>
                <w:color w:val="auto"/>
                <w:kern w:val="0"/>
                <w:sz w:val="24"/>
                <w:szCs w:val="24"/>
                <w:highlight w:val="none"/>
                <w:lang w:val="en-US" w:eastAsia="zh-CN" w:bidi="ar"/>
              </w:rPr>
              <w:t>二</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2"/>
                <w:sz w:val="24"/>
                <w:szCs w:val="24"/>
                <w:highlight w:val="none"/>
                <w:u w:val="none"/>
                <w:lang w:val="en-US" w:eastAsia="zh-CN" w:bidi="ar-SA"/>
              </w:rPr>
              <w:t>项目运营过程中</w:t>
            </w:r>
            <w:r>
              <w:rPr>
                <w:rFonts w:hint="eastAsia" w:ascii="Times New Roman" w:hAnsi="Times New Roman" w:eastAsia="宋体" w:cs="Times New Roman"/>
                <w:color w:val="auto"/>
                <w:kern w:val="2"/>
                <w:sz w:val="24"/>
                <w:szCs w:val="24"/>
                <w:highlight w:val="none"/>
                <w:u w:val="none"/>
                <w:lang w:val="en-US" w:eastAsia="zh-CN" w:bidi="ar-SA"/>
              </w:rPr>
              <w:t>废气有油烟、锅炉燃烧</w:t>
            </w:r>
            <w:r>
              <w:rPr>
                <w:rFonts w:hint="eastAsia" w:cs="Times New Roman"/>
                <w:color w:val="auto"/>
                <w:kern w:val="2"/>
                <w:sz w:val="24"/>
                <w:szCs w:val="24"/>
                <w:highlight w:val="none"/>
                <w:u w:val="none"/>
                <w:lang w:val="en-US" w:eastAsia="zh-CN" w:bidi="ar-SA"/>
              </w:rPr>
              <w:t>、臭气</w:t>
            </w:r>
            <w:r>
              <w:rPr>
                <w:rFonts w:hint="eastAsia" w:ascii="Times New Roman" w:hAnsi="Times New Roman" w:eastAsia="宋体" w:cs="Times New Roman"/>
                <w:color w:val="auto"/>
                <w:kern w:val="2"/>
                <w:sz w:val="24"/>
                <w:szCs w:val="24"/>
                <w:highlight w:val="none"/>
                <w:u w:val="none"/>
                <w:lang w:val="en-US" w:eastAsia="zh-CN" w:bidi="ar-SA"/>
              </w:rPr>
              <w:t>废气经过环保设备处理后达标排放；</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cs="Times New Roman"/>
                <w:color w:val="auto"/>
                <w:kern w:val="2"/>
                <w:sz w:val="24"/>
                <w:szCs w:val="24"/>
                <w:highlight w:val="none"/>
                <w:u w:val="none"/>
                <w:lang w:val="en-US" w:eastAsia="zh-CN" w:bidi="ar-SA"/>
              </w:rPr>
              <w:t>后排入市政污水管网；</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w:t>
            </w:r>
            <w:r>
              <w:rPr>
                <w:rFonts w:hint="eastAsia" w:cs="Times New Roman"/>
                <w:color w:val="auto"/>
                <w:kern w:val="2"/>
                <w:sz w:val="24"/>
                <w:szCs w:val="24"/>
                <w:highlight w:val="none"/>
                <w:u w:val="none"/>
                <w:lang w:val="en-US" w:eastAsia="zh-CN" w:bidi="ar-SA"/>
              </w:rPr>
              <w:t>生产时产品冷却废水循环使用</w:t>
            </w:r>
            <w:r>
              <w:rPr>
                <w:rFonts w:hint="default" w:ascii="Times New Roman" w:hAnsi="Times New Roman" w:eastAsia="宋体" w:cs="Times New Roman"/>
                <w:color w:val="auto"/>
                <w:kern w:val="2"/>
                <w:sz w:val="24"/>
                <w:szCs w:val="24"/>
                <w:highlight w:val="none"/>
                <w:u w:val="none"/>
                <w:lang w:val="en-US" w:eastAsia="zh-CN" w:bidi="ar-SA"/>
              </w:rPr>
              <w:t>，不外排</w:t>
            </w:r>
            <w:r>
              <w:rPr>
                <w:rFonts w:hint="eastAsia" w:ascii="Times New Roman" w:hAnsi="Times New Roman" w:eastAsia="宋体" w:cs="Times New Roman"/>
                <w:color w:val="auto"/>
                <w:kern w:val="2"/>
                <w:sz w:val="24"/>
                <w:szCs w:val="24"/>
                <w:highlight w:val="none"/>
                <w:u w:val="none"/>
                <w:lang w:val="en-US" w:eastAsia="zh-CN" w:bidi="ar-SA"/>
              </w:rPr>
              <w:t>；生产噪声通过减震措施以及厂房隔声进行隔声消声处理。</w:t>
            </w:r>
            <w:r>
              <w:rPr>
                <w:rFonts w:hint="default" w:ascii="Times New Roman" w:hAnsi="Times New Roman" w:eastAsia="宋体" w:cs="Times New Roman"/>
                <w:snapToGrid w:val="0"/>
                <w:color w:val="auto"/>
                <w:kern w:val="0"/>
                <w:sz w:val="24"/>
                <w:szCs w:val="24"/>
                <w:highlight w:val="none"/>
                <w:u w:val="none"/>
              </w:rPr>
              <w:t>综上所述，</w:t>
            </w:r>
            <w:r>
              <w:rPr>
                <w:rFonts w:hint="eastAsia" w:cs="Times New Roman"/>
                <w:snapToGrid w:val="0"/>
                <w:color w:val="auto"/>
                <w:kern w:val="0"/>
                <w:sz w:val="24"/>
                <w:szCs w:val="24"/>
                <w:highlight w:val="none"/>
                <w:u w:val="none"/>
                <w:lang w:val="en-US" w:eastAsia="zh-CN"/>
              </w:rPr>
              <w:t>产</w:t>
            </w:r>
            <w:r>
              <w:rPr>
                <w:rFonts w:hint="eastAsia" w:cs="Times New Roman"/>
                <w:snapToGrid w:val="0"/>
                <w:color w:val="auto"/>
                <w:kern w:val="0"/>
                <w:sz w:val="24"/>
                <w:szCs w:val="24"/>
                <w:u w:val="none"/>
                <w:lang w:val="en-US" w:eastAsia="zh-CN"/>
              </w:rPr>
              <w:t>生的污染对周围环境影响较小，</w:t>
            </w:r>
            <w:r>
              <w:rPr>
                <w:rFonts w:hint="default" w:ascii="Times New Roman" w:hAnsi="Times New Roman" w:eastAsia="宋体" w:cs="Times New Roman"/>
                <w:snapToGrid w:val="0"/>
                <w:color w:val="auto"/>
                <w:kern w:val="0"/>
                <w:sz w:val="24"/>
                <w:szCs w:val="24"/>
                <w:u w:val="none"/>
              </w:rPr>
              <w:t>评价认为本项目厂址选择可行</w:t>
            </w:r>
            <w:r>
              <w:rPr>
                <w:rFonts w:hint="default" w:ascii="Times New Roman" w:hAnsi="Times New Roman" w:eastAsia="宋体" w:cs="Times New Roman"/>
                <w:snapToGrid w:val="0"/>
                <w:color w:val="auto"/>
                <w:kern w:val="0"/>
                <w:sz w:val="24"/>
                <w:szCs w:val="24"/>
                <w:u w:val="none"/>
                <w:lang w:eastAsia="zh-CN"/>
              </w:rPr>
              <w:t>。</w:t>
            </w:r>
          </w:p>
          <w:p w14:paraId="66BE5A3A">
            <w:pPr>
              <w:keepNext w:val="0"/>
              <w:keepLines w:val="0"/>
              <w:pageBreakBefore w:val="0"/>
              <w:widowControl/>
              <w:kinsoku/>
              <w:bidi w:val="0"/>
              <w:spacing w:line="500" w:lineRule="exact"/>
              <w:ind w:firstLine="482" w:firstLineChars="200"/>
              <w:jc w:val="left"/>
              <w:textAlignment w:val="auto"/>
              <w:rPr>
                <w:rFonts w:hint="default" w:ascii="Times New Roman" w:hAnsi="Times New Roman" w:cs="Times New Roman"/>
                <w:b/>
                <w:sz w:val="24"/>
                <w:u w:val="none"/>
              </w:rPr>
            </w:pPr>
            <w:r>
              <w:rPr>
                <w:rFonts w:hint="default" w:ascii="Times New Roman" w:hAnsi="Times New Roman" w:cs="Times New Roman"/>
                <w:b/>
                <w:sz w:val="24"/>
                <w:u w:val="none"/>
                <w:lang w:val="en-US" w:eastAsia="zh-CN"/>
              </w:rPr>
              <w:t>6</w:t>
            </w:r>
            <w:r>
              <w:rPr>
                <w:rFonts w:hint="default" w:ascii="Times New Roman" w:hAnsi="Times New Roman" w:cs="Times New Roman"/>
                <w:b/>
                <w:sz w:val="24"/>
                <w:u w:val="none"/>
              </w:rPr>
              <w:t>、与叶县“三线一单”符合性分析</w:t>
            </w:r>
          </w:p>
          <w:p w14:paraId="4DD76436">
            <w:pPr>
              <w:keepNext w:val="0"/>
              <w:keepLines w:val="0"/>
              <w:pageBreakBefore w:val="0"/>
              <w:widowControl/>
              <w:kinsoku/>
              <w:bidi w:val="0"/>
              <w:spacing w:line="50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（1）生态保护红线</w:t>
            </w:r>
          </w:p>
          <w:p w14:paraId="10E2F0B6">
            <w:pPr>
              <w:keepNext w:val="0"/>
              <w:keepLines w:val="0"/>
              <w:pageBreakBefore w:val="0"/>
              <w:widowControl w:val="0"/>
              <w:kinsoku/>
              <w:wordWrap/>
              <w:bidi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sz w:val="24"/>
                <w:szCs w:val="24"/>
                <w:lang w:val="en-US" w:eastAsia="zh-CN"/>
              </w:rPr>
              <w:t>《关于公布河南省“三线一单”生态环境分区管控更新成果（2023年版）的通知》（河南省生态环境厅公告2024年2号）</w:t>
            </w:r>
            <w:r>
              <w:rPr>
                <w:rFonts w:hint="default" w:ascii="Times New Roman" w:hAnsi="Times New Roman" w:cs="Times New Roman"/>
                <w:color w:val="auto"/>
                <w:sz w:val="24"/>
              </w:rPr>
              <w:t>，全市国土空间按优先保护单元、重点管控单元、一般管控单元三大类共分为65个生态环境管控单元。其中，优先保护单元23个，面积占比34.63%；重点管控单元35个，面积占比32.13%；一般管控单元7个，面积占比33.24%。</w:t>
            </w:r>
          </w:p>
          <w:p w14:paraId="53FB5580">
            <w:pPr>
              <w:keepNext w:val="0"/>
              <w:keepLines w:val="0"/>
              <w:pageBreakBefore w:val="0"/>
              <w:widowControl w:val="0"/>
              <w:kinsoku/>
              <w:wordWrap/>
              <w:bidi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14:paraId="7367F474">
            <w:pPr>
              <w:keepNext w:val="0"/>
              <w:keepLines w:val="0"/>
              <w:pageBreakBefore w:val="0"/>
              <w:widowControl w:val="0"/>
              <w:kinsoku/>
              <w:wordWrap/>
              <w:bidi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14:paraId="374DC920">
            <w:pPr>
              <w:keepNext w:val="0"/>
              <w:keepLines w:val="0"/>
              <w:pageBreakBefore w:val="0"/>
              <w:widowControl w:val="0"/>
              <w:kinsoku/>
              <w:wordWrap/>
              <w:bidi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一般管控单元指除优先保护单元和重点管控单元之外的其他区域。主要落实生态环境保护的基本要求，生态环境状况得到保持或优化。</w:t>
            </w:r>
          </w:p>
          <w:p w14:paraId="562875EA">
            <w:pPr>
              <w:keepNext w:val="0"/>
              <w:keepLines w:val="0"/>
              <w:pageBreakBefore w:val="0"/>
              <w:widowControl/>
              <w:kinsoku/>
              <w:bidi w:val="0"/>
              <w:spacing w:line="500" w:lineRule="exact"/>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sz w:val="24"/>
              </w:rPr>
              <w:t>本项目选址位于</w:t>
            </w:r>
            <w:r>
              <w:rPr>
                <w:rFonts w:hint="default" w:ascii="Times New Roman" w:hAnsi="Times New Roman" w:eastAsia="宋体" w:cs="Times New Roman"/>
                <w:b w:val="0"/>
                <w:bCs/>
                <w:kern w:val="2"/>
                <w:sz w:val="24"/>
                <w:szCs w:val="24"/>
                <w:highlight w:val="none"/>
                <w:u w:val="none"/>
                <w:lang w:val="en-US" w:eastAsia="zh-CN" w:bidi="ar-SA"/>
              </w:rPr>
              <w:t>河南省</w:t>
            </w:r>
            <w:r>
              <w:rPr>
                <w:rFonts w:hint="default" w:ascii="Times New Roman" w:hAnsi="Times New Roman" w:eastAsia="宋体" w:cs="Times New Roman"/>
                <w:b w:val="0"/>
                <w:bCs/>
                <w:color w:val="auto"/>
                <w:sz w:val="24"/>
                <w:szCs w:val="24"/>
                <w:highlight w:val="none"/>
                <w:u w:val="none"/>
                <w:lang w:val="en-US" w:eastAsia="zh-CN"/>
              </w:rPr>
              <w:t>平顶山市叶县廉村镇</w:t>
            </w:r>
            <w:r>
              <w:rPr>
                <w:rFonts w:hint="eastAsia" w:ascii="Times New Roman" w:hAnsi="Times New Roman" w:cs="Times New Roman"/>
                <w:b w:val="0"/>
                <w:bCs/>
                <w:color w:val="auto"/>
                <w:sz w:val="24"/>
                <w:szCs w:val="24"/>
                <w:highlight w:val="none"/>
                <w:u w:val="none"/>
                <w:lang w:val="en-US" w:eastAsia="zh-CN"/>
              </w:rPr>
              <w:t>沙渡口村二组1号</w:t>
            </w:r>
            <w:r>
              <w:rPr>
                <w:rFonts w:hint="default" w:ascii="Times New Roman" w:hAnsi="Times New Roman" w:cs="Times New Roman"/>
                <w:kern w:val="0"/>
                <w:sz w:val="24"/>
              </w:rPr>
              <w:t>，</w:t>
            </w:r>
            <w:r>
              <w:rPr>
                <w:rFonts w:hint="default" w:ascii="Times New Roman" w:hAnsi="Times New Roman" w:cs="Times New Roman"/>
                <w:color w:val="auto"/>
                <w:sz w:val="24"/>
              </w:rPr>
              <w:t>所在区域属于重点管控单元，单元名称：</w:t>
            </w:r>
            <w:r>
              <w:rPr>
                <w:rFonts w:hint="default" w:ascii="Times New Roman" w:hAnsi="Times New Roman" w:cs="Times New Roman"/>
                <w:color w:val="auto"/>
                <w:sz w:val="24"/>
                <w:lang w:val="en-US" w:eastAsia="zh-CN"/>
              </w:rPr>
              <w:t>叶县大气重点单元</w:t>
            </w:r>
            <w:r>
              <w:rPr>
                <w:rFonts w:hint="default" w:ascii="Times New Roman" w:hAnsi="Times New Roman" w:cs="Times New Roman"/>
                <w:color w:val="auto"/>
                <w:sz w:val="24"/>
              </w:rPr>
              <w:t>，单元编码：ZH4104</w:t>
            </w:r>
            <w:r>
              <w:rPr>
                <w:rFonts w:hint="default" w:ascii="Times New Roman" w:hAnsi="Times New Roman" w:cs="Times New Roman"/>
                <w:color w:val="auto"/>
                <w:sz w:val="24"/>
                <w:lang w:val="en-US" w:eastAsia="zh-CN"/>
              </w:rPr>
              <w:t>2220005</w:t>
            </w:r>
            <w:r>
              <w:rPr>
                <w:rFonts w:hint="default" w:ascii="Times New Roman" w:hAnsi="Times New Roman" w:cs="Times New Roman"/>
                <w:color w:val="auto"/>
                <w:sz w:val="24"/>
              </w:rPr>
              <w:t>。</w:t>
            </w:r>
            <w:r>
              <w:rPr>
                <w:rFonts w:hint="default" w:ascii="Times New Roman" w:hAnsi="Times New Roman" w:cs="Times New Roman"/>
                <w:kern w:val="0"/>
                <w:sz w:val="24"/>
              </w:rPr>
              <w:t>周边无自然保护区、风景名胜区、世界文化和自然遗产地，饮用水源保护区等环境敏感区，不在叶县划定的生态红线保护区范围内，本项目符合当地生态保护红线要求。</w:t>
            </w:r>
          </w:p>
          <w:p w14:paraId="10306922">
            <w:pPr>
              <w:keepNext w:val="0"/>
              <w:keepLines w:val="0"/>
              <w:pageBreakBefore w:val="0"/>
              <w:widowControl/>
              <w:kinsoku/>
              <w:bidi w:val="0"/>
              <w:spacing w:line="50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（2）资源利用上线</w:t>
            </w:r>
          </w:p>
          <w:p w14:paraId="14818421">
            <w:pPr>
              <w:keepNext w:val="0"/>
              <w:keepLines w:val="0"/>
              <w:pageBreakBefore w:val="0"/>
              <w:widowControl/>
              <w:kinsoku/>
              <w:bidi w:val="0"/>
              <w:spacing w:line="50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eastAsia="zh-CN"/>
              </w:rPr>
              <w:t>用水来自于</w:t>
            </w:r>
            <w:r>
              <w:rPr>
                <w:rFonts w:hint="eastAsia" w:cs="Times New Roman"/>
                <w:sz w:val="24"/>
                <w:lang w:val="en-US" w:eastAsia="zh-CN"/>
              </w:rPr>
              <w:t>厂</w:t>
            </w:r>
            <w:r>
              <w:rPr>
                <w:rFonts w:hint="eastAsia" w:cs="Times New Roman"/>
                <w:sz w:val="24"/>
                <w:highlight w:val="none"/>
                <w:lang w:val="en-US" w:eastAsia="zh-CN"/>
              </w:rPr>
              <w:t>区自备水井供给</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用</w:t>
            </w:r>
            <w:r>
              <w:rPr>
                <w:rFonts w:hint="default" w:ascii="Times New Roman" w:hAnsi="Times New Roman" w:cs="Times New Roman"/>
                <w:sz w:val="24"/>
                <w:lang w:val="en-US" w:eastAsia="zh-CN"/>
              </w:rPr>
              <w:t>电来自于叶县</w:t>
            </w:r>
            <w:r>
              <w:rPr>
                <w:rFonts w:hint="eastAsia" w:cs="Times New Roman"/>
                <w:sz w:val="24"/>
                <w:lang w:val="en-US" w:eastAsia="zh-CN"/>
              </w:rPr>
              <w:t>廉村镇</w:t>
            </w:r>
            <w:r>
              <w:rPr>
                <w:rFonts w:hint="default" w:ascii="Times New Roman" w:hAnsi="Times New Roman" w:cs="Times New Roman"/>
                <w:sz w:val="24"/>
                <w:lang w:val="en-US" w:eastAsia="zh-CN"/>
              </w:rPr>
              <w:t>供电电网，</w:t>
            </w:r>
            <w:r>
              <w:rPr>
                <w:rFonts w:hint="eastAsia" w:cs="Times New Roman"/>
                <w:sz w:val="24"/>
                <w:lang w:val="en-US" w:eastAsia="zh-CN"/>
              </w:rPr>
              <w:t>锅炉加热使用天然气为燃料由</w:t>
            </w:r>
            <w:r>
              <w:rPr>
                <w:rFonts w:hint="eastAsia" w:ascii="Times New Roman" w:hAnsi="Times New Roman" w:eastAsia="宋体" w:cs="Times New Roman"/>
                <w:bCs/>
                <w:color w:val="auto"/>
                <w:kern w:val="0"/>
                <w:sz w:val="24"/>
                <w:szCs w:val="24"/>
                <w:lang w:val="en-US" w:eastAsia="zh-CN"/>
              </w:rPr>
              <w:t>叶县豫天新能源有限公司提供，管道运输，不涉及储存，</w:t>
            </w:r>
            <w:r>
              <w:rPr>
                <w:rFonts w:hint="default" w:ascii="Times New Roman" w:hAnsi="Times New Roman" w:cs="Times New Roman"/>
                <w:sz w:val="24"/>
                <w:lang w:val="en-US" w:eastAsia="zh-CN"/>
              </w:rPr>
              <w:t>无其他自然能源消耗，项目生产所用</w:t>
            </w:r>
            <w:r>
              <w:rPr>
                <w:rFonts w:hint="eastAsia" w:cs="Times New Roman"/>
                <w:sz w:val="24"/>
                <w:lang w:val="en-US" w:eastAsia="zh-CN"/>
              </w:rPr>
              <w:t>主要辣椒、牛骨、香辛料等等</w:t>
            </w:r>
            <w:r>
              <w:rPr>
                <w:rFonts w:hint="default" w:ascii="Times New Roman" w:hAnsi="Times New Roman" w:cs="Times New Roman"/>
                <w:sz w:val="24"/>
                <w:lang w:val="en-US" w:eastAsia="zh-CN"/>
              </w:rPr>
              <w:t>原料是从</w:t>
            </w:r>
            <w:r>
              <w:rPr>
                <w:rFonts w:hint="eastAsia" w:cs="Times New Roman"/>
                <w:sz w:val="24"/>
                <w:lang w:val="en-US" w:eastAsia="zh-CN"/>
              </w:rPr>
              <w:t>相应供应商</w:t>
            </w:r>
            <w:r>
              <w:rPr>
                <w:rFonts w:hint="default" w:ascii="Times New Roman" w:hAnsi="Times New Roman" w:cs="Times New Roman"/>
                <w:sz w:val="24"/>
                <w:lang w:val="en-US" w:eastAsia="zh-CN"/>
              </w:rPr>
              <w:t>采购得来，</w:t>
            </w:r>
            <w:r>
              <w:rPr>
                <w:rFonts w:hint="default" w:ascii="Times New Roman" w:hAnsi="Times New Roman" w:cs="Times New Roman"/>
                <w:color w:val="auto"/>
                <w:sz w:val="24"/>
              </w:rPr>
              <w:t>项目资源消耗量相对区域资源总量较少</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各项资源利用均在区域可承载能力范围内，</w:t>
            </w:r>
            <w:r>
              <w:rPr>
                <w:rFonts w:hint="default" w:ascii="Times New Roman" w:hAnsi="Times New Roman" w:cs="Times New Roman"/>
                <w:sz w:val="24"/>
              </w:rPr>
              <w:t>由此可知，本项目符合资源利用上线要求。</w:t>
            </w:r>
          </w:p>
          <w:p w14:paraId="335CB912">
            <w:pPr>
              <w:keepNext w:val="0"/>
              <w:keepLines w:val="0"/>
              <w:pageBreakBefore w:val="0"/>
              <w:widowControl/>
              <w:kinsoku/>
              <w:bidi w:val="0"/>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rPr>
              <w:t>（3）环境质量底线</w:t>
            </w:r>
          </w:p>
          <w:p w14:paraId="6DB7E942">
            <w:pPr>
              <w:keepNext w:val="0"/>
              <w:keepLines w:val="0"/>
              <w:pageBreakBefore w:val="0"/>
              <w:widowControl w:val="0"/>
              <w:suppressLineNumbers w:val="0"/>
              <w:kinsoku/>
              <w:wordWrap w:val="0"/>
              <w:overflowPunct/>
              <w:topLinePunct w:val="0"/>
              <w:autoSpaceDE w:val="0"/>
              <w:autoSpaceDN w:val="0"/>
              <w:bidi w:val="0"/>
              <w:adjustRightInd w:val="0"/>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cs="Times New Roman"/>
                <w:sz w:val="24"/>
                <w:highlight w:val="none"/>
              </w:rPr>
              <w:t>该区域纳污河流灰河（本项目</w:t>
            </w:r>
            <w:r>
              <w:rPr>
                <w:rFonts w:hint="eastAsia" w:cs="Times New Roman"/>
                <w:sz w:val="24"/>
                <w:highlight w:val="none"/>
                <w:lang w:val="en-US" w:eastAsia="zh-CN"/>
              </w:rPr>
              <w:t>西</w:t>
            </w:r>
            <w:r>
              <w:rPr>
                <w:rFonts w:hint="default" w:ascii="Times New Roman" w:hAnsi="Times New Roman" w:cs="Times New Roman"/>
                <w:sz w:val="24"/>
                <w:highlight w:val="none"/>
                <w:lang w:val="en-US" w:eastAsia="zh-CN"/>
              </w:rPr>
              <w:t>北</w:t>
            </w:r>
            <w:r>
              <w:rPr>
                <w:rFonts w:hint="default" w:ascii="Times New Roman" w:hAnsi="Times New Roman" w:cs="Times New Roman"/>
                <w:sz w:val="24"/>
                <w:highlight w:val="none"/>
              </w:rPr>
              <w:t>侧</w:t>
            </w:r>
            <w:r>
              <w:rPr>
                <w:rFonts w:hint="default" w:ascii="Times New Roman" w:hAnsi="Times New Roman" w:cs="Times New Roman"/>
                <w:sz w:val="24"/>
                <w:highlight w:val="none"/>
                <w:lang w:val="en-US" w:eastAsia="zh-CN"/>
              </w:rPr>
              <w:t>直线距离</w:t>
            </w:r>
            <w:r>
              <w:rPr>
                <w:rFonts w:hint="eastAsia" w:cs="Times New Roman"/>
                <w:sz w:val="24"/>
                <w:highlight w:val="none"/>
                <w:lang w:val="en-US" w:eastAsia="zh-CN"/>
              </w:rPr>
              <w:t>730</w:t>
            </w:r>
            <w:r>
              <w:rPr>
                <w:rFonts w:hint="default" w:ascii="Times New Roman" w:hAnsi="Times New Roman" w:cs="Times New Roman"/>
                <w:sz w:val="24"/>
                <w:highlight w:val="none"/>
              </w:rPr>
              <w:t>m</w:t>
            </w:r>
            <w:r>
              <w:rPr>
                <w:rFonts w:hint="default" w:ascii="Times New Roman" w:hAnsi="Times New Roman" w:cs="Times New Roman"/>
                <w:sz w:val="24"/>
                <w:highlight w:val="none"/>
                <w:lang w:val="en-US" w:eastAsia="zh-CN"/>
              </w:rPr>
              <w:t>处</w:t>
            </w:r>
            <w:r>
              <w:rPr>
                <w:rFonts w:hint="default" w:ascii="Times New Roman" w:hAnsi="Times New Roman" w:cs="Times New Roman"/>
                <w:sz w:val="24"/>
                <w:highlight w:val="none"/>
              </w:rPr>
              <w:t>）执行《地表水环境质量标准》（GB3838-2002）IV类标准</w:t>
            </w:r>
            <w:r>
              <w:rPr>
                <w:rFonts w:hint="eastAsia" w:cs="Times New Roman"/>
                <w:sz w:val="24"/>
                <w:highlight w:val="none"/>
                <w:lang w:eastAsia="zh-CN"/>
              </w:rPr>
              <w:t>，</w:t>
            </w:r>
            <w:r>
              <w:rPr>
                <w:rFonts w:hint="default" w:ascii="Times New Roman" w:hAnsi="Times New Roman" w:cs="Times New Roman"/>
                <w:color w:val="auto"/>
                <w:sz w:val="24"/>
                <w:highlight w:val="none"/>
                <w:u w:val="none"/>
                <w:lang w:val="en-US" w:eastAsia="zh-CN"/>
              </w:rPr>
              <w:t>根据2022年平顶</w:t>
            </w:r>
            <w:r>
              <w:rPr>
                <w:rFonts w:hint="default" w:ascii="Times New Roman" w:hAnsi="Times New Roman" w:cs="Times New Roman"/>
                <w:color w:val="auto"/>
                <w:sz w:val="24"/>
                <w:u w:val="none"/>
                <w:lang w:val="en-US" w:eastAsia="zh-CN"/>
              </w:rPr>
              <w:t>山对灰河</w:t>
            </w:r>
            <w:r>
              <w:rPr>
                <w:rFonts w:hint="default" w:ascii="Times New Roman" w:hAnsi="Times New Roman" w:cs="Times New Roman"/>
                <w:sz w:val="24"/>
                <w:szCs w:val="24"/>
                <w:lang w:val="en-US" w:eastAsia="zh-CN"/>
              </w:rPr>
              <w:t>水寨</w:t>
            </w:r>
            <w:r>
              <w:rPr>
                <w:rFonts w:hint="default" w:ascii="Times New Roman" w:hAnsi="Times New Roman" w:cs="Times New Roman"/>
                <w:sz w:val="24"/>
                <w:szCs w:val="24"/>
              </w:rPr>
              <w:t>屈庄断面</w:t>
            </w:r>
            <w:r>
              <w:rPr>
                <w:rFonts w:hint="default" w:ascii="Times New Roman" w:hAnsi="Times New Roman" w:cs="Times New Roman"/>
                <w:color w:val="auto"/>
                <w:sz w:val="24"/>
                <w:szCs w:val="24"/>
                <w:u w:val="none"/>
                <w:lang w:val="en-US" w:eastAsia="zh-CN"/>
              </w:rPr>
              <w:t>的监</w:t>
            </w:r>
            <w:r>
              <w:rPr>
                <w:rFonts w:hint="default" w:ascii="Times New Roman" w:hAnsi="Times New Roman" w:cs="Times New Roman"/>
                <w:color w:val="auto"/>
                <w:sz w:val="24"/>
                <w:u w:val="none"/>
                <w:lang w:val="en-US" w:eastAsia="zh-CN"/>
              </w:rPr>
              <w:t>测数据可知，项目所在区域地表水环境质量</w:t>
            </w:r>
            <w:r>
              <w:rPr>
                <w:rFonts w:hint="default" w:ascii="Times New Roman" w:hAnsi="Times New Roman" w:eastAsia="宋体" w:cs="Times New Roman"/>
                <w:color w:val="auto"/>
                <w:sz w:val="24"/>
                <w:szCs w:val="24"/>
                <w:highlight w:val="none"/>
                <w:lang w:val="en-US" w:eastAsia="zh-CN"/>
              </w:rPr>
              <w:t>监测因子均满足</w:t>
            </w:r>
            <w:r>
              <w:rPr>
                <w:rFonts w:hint="default" w:ascii="Times New Roman" w:hAnsi="Times New Roman" w:cs="Times New Roman"/>
                <w:color w:val="auto"/>
                <w:sz w:val="24"/>
                <w:u w:val="none"/>
              </w:rPr>
              <w:t>《地表水环境质量标准》（GB3838-2002）</w:t>
            </w:r>
            <w:r>
              <w:rPr>
                <w:rFonts w:hint="default" w:ascii="Times New Roman" w:hAnsi="Times New Roman" w:cs="Times New Roman"/>
                <w:sz w:val="24"/>
              </w:rPr>
              <w:t>IV</w:t>
            </w:r>
            <w:r>
              <w:rPr>
                <w:rFonts w:hint="default" w:ascii="Times New Roman" w:hAnsi="Times New Roman" w:cs="Times New Roman"/>
                <w:color w:val="auto"/>
                <w:sz w:val="24"/>
                <w:u w:val="none"/>
              </w:rPr>
              <w:t>类标准</w:t>
            </w:r>
            <w:r>
              <w:rPr>
                <w:rFonts w:hint="default" w:ascii="Times New Roman" w:hAnsi="Times New Roman" w:eastAsia="宋体" w:cs="Times New Roman"/>
                <w:color w:val="auto"/>
                <w:kern w:val="2"/>
                <w:sz w:val="24"/>
                <w:szCs w:val="24"/>
                <w:u w:val="none"/>
                <w:lang w:val="en-US" w:eastAsia="zh-CN" w:bidi="ar-SA"/>
              </w:rPr>
              <w:t>。</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cs="Times New Roman"/>
                <w:color w:val="auto"/>
                <w:kern w:val="2"/>
                <w:sz w:val="24"/>
                <w:szCs w:val="24"/>
                <w:highlight w:val="none"/>
                <w:u w:val="none"/>
                <w:lang w:val="en-US" w:eastAsia="zh-CN" w:bidi="ar-SA"/>
              </w:rPr>
              <w:t>；生产时产生的冷却废水循环使用</w:t>
            </w:r>
            <w:r>
              <w:rPr>
                <w:rFonts w:hint="default" w:ascii="Times New Roman" w:hAnsi="Times New Roman" w:eastAsia="宋体" w:cs="Times New Roman"/>
                <w:color w:val="auto"/>
                <w:kern w:val="2"/>
                <w:sz w:val="24"/>
                <w:szCs w:val="24"/>
                <w:highlight w:val="none"/>
                <w:u w:val="none"/>
                <w:lang w:val="en-US" w:eastAsia="zh-CN" w:bidi="ar-SA"/>
              </w:rPr>
              <w:t>，不外排</w:t>
            </w:r>
            <w:r>
              <w:rPr>
                <w:rFonts w:hint="eastAsia" w:cs="Times New Roman"/>
                <w:color w:val="auto"/>
                <w:kern w:val="2"/>
                <w:sz w:val="24"/>
                <w:szCs w:val="24"/>
                <w:highlight w:val="none"/>
                <w:u w:val="none"/>
                <w:lang w:val="en-US" w:eastAsia="zh-CN" w:bidi="ar-SA"/>
              </w:rPr>
              <w:t>。</w:t>
            </w:r>
            <w:r>
              <w:rPr>
                <w:rFonts w:hint="default" w:ascii="Times New Roman" w:hAnsi="Times New Roman" w:eastAsia="宋体" w:cs="Times New Roman"/>
                <w:color w:val="auto"/>
                <w:kern w:val="2"/>
                <w:sz w:val="24"/>
                <w:szCs w:val="24"/>
                <w:highlight w:val="none"/>
                <w:u w:val="none"/>
                <w:lang w:val="en-US" w:eastAsia="zh-CN" w:bidi="ar-SA"/>
              </w:rPr>
              <w:t>通过</w:t>
            </w:r>
            <w:r>
              <w:rPr>
                <w:rFonts w:hint="default" w:ascii="Times New Roman" w:hAnsi="Times New Roman" w:eastAsia="宋体" w:cs="Times New Roman"/>
                <w:color w:val="auto"/>
                <w:sz w:val="24"/>
                <w:szCs w:val="24"/>
                <w:highlight w:val="none"/>
              </w:rPr>
              <w:t>《平顶山市202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碧水保卫战实施方案</w:t>
            </w:r>
            <w:r>
              <w:rPr>
                <w:rFonts w:hint="default" w:ascii="Times New Roman" w:hAnsi="Times New Roman" w:eastAsia="宋体" w:cs="Times New Roman"/>
                <w:color w:val="auto"/>
                <w:sz w:val="24"/>
                <w:szCs w:val="24"/>
              </w:rPr>
              <w:t>》的实施</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通过</w:t>
            </w:r>
            <w:r>
              <w:rPr>
                <w:rFonts w:hint="default" w:ascii="Times New Roman" w:hAnsi="Times New Roman" w:eastAsia="宋体" w:cs="Times New Roman"/>
                <w:color w:val="auto"/>
                <w:sz w:val="24"/>
                <w:szCs w:val="24"/>
              </w:rPr>
              <w:t>开展城市黑臭水体排查整治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加快推进城镇生活污水基础设施建设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加快城镇生活污水处理厂污泥安全处置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按照城镇污泥处置减量化、稳定化、无害化、资源化要求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推动城市排水系统溢流污染控制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鼓励有条件的县，结合本地实际，开展排水系统溢流污染控制试点</w:t>
            </w:r>
            <w:r>
              <w:rPr>
                <w:rFonts w:hint="default" w:ascii="Times New Roman" w:hAnsi="Times New Roman" w:eastAsia="宋体" w:cs="Times New Roman"/>
                <w:color w:val="auto"/>
                <w:sz w:val="24"/>
                <w:szCs w:val="24"/>
                <w:lang w:val="en-US" w:eastAsia="zh-CN"/>
              </w:rPr>
              <w:t>等措施。</w:t>
            </w:r>
            <w:r>
              <w:rPr>
                <w:rFonts w:hint="default" w:ascii="Times New Roman" w:hAnsi="Times New Roman" w:eastAsia="宋体" w:cs="Times New Roman"/>
                <w:color w:val="auto"/>
                <w:sz w:val="24"/>
                <w:szCs w:val="24"/>
              </w:rPr>
              <w:t>改善当地环境质量，使</w:t>
            </w:r>
            <w:r>
              <w:rPr>
                <w:rFonts w:hint="default" w:ascii="Times New Roman" w:hAnsi="Times New Roman" w:eastAsia="宋体" w:cs="Times New Roman"/>
                <w:color w:val="auto"/>
                <w:sz w:val="24"/>
                <w:szCs w:val="24"/>
                <w:lang w:val="en-US" w:eastAsia="zh-CN"/>
              </w:rPr>
              <w:t>水环境</w:t>
            </w:r>
            <w:r>
              <w:rPr>
                <w:rFonts w:hint="default" w:ascii="Times New Roman" w:hAnsi="Times New Roman" w:eastAsia="宋体" w:cs="Times New Roman"/>
                <w:color w:val="auto"/>
                <w:sz w:val="24"/>
                <w:szCs w:val="24"/>
              </w:rPr>
              <w:t>质量将逐渐转好。</w:t>
            </w:r>
          </w:p>
          <w:p w14:paraId="6A0048D4">
            <w:pPr>
              <w:keepNext w:val="0"/>
              <w:keepLines w:val="0"/>
              <w:pageBreakBefore w:val="0"/>
              <w:widowControl w:val="0"/>
              <w:kinsoku/>
              <w:wordWrap/>
              <w:overflowPunct w:val="0"/>
              <w:topLinePunct/>
              <w:bidi w:val="0"/>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u w:val="none"/>
                <w:lang w:val="en-US" w:eastAsia="zh-CN" w:bidi="ar-SA"/>
              </w:rPr>
              <w:t>本项目区域环境空气执行《环境空气质量标准》（GB3095-2012）中二级标准，根据202</w:t>
            </w:r>
            <w:r>
              <w:rPr>
                <w:rFonts w:hint="eastAsia" w:cs="Times New Roman"/>
                <w:color w:val="auto"/>
                <w:kern w:val="2"/>
                <w:sz w:val="24"/>
                <w:szCs w:val="24"/>
                <w:highlight w:val="none"/>
                <w:u w:val="none"/>
                <w:lang w:val="en-US" w:eastAsia="zh-CN" w:bidi="ar-SA"/>
              </w:rPr>
              <w:t>3</w:t>
            </w:r>
            <w:r>
              <w:rPr>
                <w:rFonts w:hint="default" w:ascii="Times New Roman" w:hAnsi="Times New Roman" w:eastAsia="宋体" w:cs="Times New Roman"/>
                <w:color w:val="auto"/>
                <w:kern w:val="2"/>
                <w:sz w:val="24"/>
                <w:szCs w:val="24"/>
                <w:highlight w:val="none"/>
                <w:u w:val="none"/>
                <w:lang w:val="en-US" w:eastAsia="zh-CN" w:bidi="ar-SA"/>
              </w:rPr>
              <w:t>年度环境空气质量现状调查，项目区域环境空气</w:t>
            </w:r>
            <w:r>
              <w:rPr>
                <w:rFonts w:hint="default" w:ascii="Times New Roman" w:hAnsi="Times New Roman" w:cs="Times New Roman"/>
                <w:sz w:val="24"/>
                <w:szCs w:val="24"/>
                <w:highlight w:val="none"/>
              </w:rPr>
              <w:t>SO</w:t>
            </w:r>
            <w:r>
              <w:rPr>
                <w:rFonts w:hint="default" w:ascii="Times New Roman" w:hAnsi="Times New Roman" w:cs="Times New Roman"/>
                <w:sz w:val="24"/>
                <w:szCs w:val="24"/>
                <w:highlight w:val="none"/>
                <w:vertAlign w:val="subscript"/>
              </w:rPr>
              <w:t>2</w:t>
            </w:r>
            <w:r>
              <w:rPr>
                <w:rFonts w:hint="default" w:ascii="Times New Roman" w:hAnsi="Times New Roman" w:cs="Times New Roman"/>
                <w:sz w:val="24"/>
                <w:szCs w:val="24"/>
                <w:highlight w:val="none"/>
              </w:rPr>
              <w:t>、NO</w:t>
            </w:r>
            <w:r>
              <w:rPr>
                <w:rFonts w:hint="default" w:ascii="Times New Roman" w:hAnsi="Times New Roman" w:cs="Times New Roman"/>
                <w:sz w:val="24"/>
                <w:szCs w:val="24"/>
                <w:highlight w:val="none"/>
                <w:vertAlign w:val="subscript"/>
              </w:rPr>
              <w:t>2</w:t>
            </w:r>
            <w:r>
              <w:rPr>
                <w:rFonts w:hint="default" w:ascii="Times New Roman" w:hAnsi="Times New Roman" w:cs="Times New Roman"/>
                <w:sz w:val="24"/>
                <w:szCs w:val="24"/>
                <w:highlight w:val="none"/>
              </w:rPr>
              <w:t>、PM</w:t>
            </w:r>
            <w:r>
              <w:rPr>
                <w:rFonts w:hint="default" w:ascii="Times New Roman" w:hAnsi="Times New Roman" w:cs="Times New Roman"/>
                <w:sz w:val="24"/>
                <w:szCs w:val="24"/>
                <w:highlight w:val="none"/>
                <w:vertAlign w:val="subscript"/>
              </w:rPr>
              <w:t>10</w:t>
            </w:r>
            <w:r>
              <w:rPr>
                <w:rFonts w:hint="default" w:ascii="Times New Roman" w:hAnsi="Times New Roman" w:cs="Times New Roman"/>
                <w:sz w:val="24"/>
                <w:szCs w:val="24"/>
                <w:highlight w:val="none"/>
              </w:rPr>
              <w:t>、PM</w:t>
            </w:r>
            <w:r>
              <w:rPr>
                <w:rFonts w:hint="default" w:ascii="Times New Roman" w:hAnsi="Times New Roman" w:cs="Times New Roman"/>
                <w:sz w:val="24"/>
                <w:szCs w:val="24"/>
                <w:highlight w:val="none"/>
                <w:vertAlign w:val="subscript"/>
              </w:rPr>
              <w:t>2.5</w:t>
            </w:r>
            <w:r>
              <w:rPr>
                <w:rFonts w:hint="default" w:ascii="Times New Roman" w:hAnsi="Times New Roman" w:cs="Times New Roman"/>
                <w:sz w:val="24"/>
                <w:szCs w:val="24"/>
                <w:highlight w:val="none"/>
              </w:rPr>
              <w:t>、CO和O</w:t>
            </w:r>
            <w:r>
              <w:rPr>
                <w:rFonts w:hint="default" w:ascii="Times New Roman" w:hAnsi="Times New Roman" w:cs="Times New Roman"/>
                <w:sz w:val="24"/>
                <w:szCs w:val="24"/>
                <w:highlight w:val="none"/>
                <w:vertAlign w:val="subscript"/>
              </w:rPr>
              <w:t>3</w:t>
            </w:r>
            <w:r>
              <w:rPr>
                <w:rFonts w:hint="default" w:ascii="Times New Roman" w:hAnsi="Times New Roman" w:eastAsia="宋体" w:cs="Times New Roman"/>
                <w:color w:val="auto"/>
                <w:kern w:val="2"/>
                <w:sz w:val="24"/>
                <w:szCs w:val="24"/>
                <w:highlight w:val="none"/>
                <w:u w:val="none"/>
                <w:lang w:val="en-US" w:eastAsia="zh-CN" w:bidi="ar-SA"/>
              </w:rPr>
              <w:t>因子均满足《环境空气质量标准》（GB3095-2012）中二级标准的要求。本项目营运后在各个产污工序环节都设置了环保处理设施，经过处理后</w:t>
            </w:r>
            <w:r>
              <w:rPr>
                <w:rFonts w:hint="default" w:ascii="Times New Roman" w:hAnsi="Times New Roman" w:cs="Times New Roman"/>
                <w:color w:val="auto"/>
                <w:kern w:val="2"/>
                <w:sz w:val="24"/>
                <w:szCs w:val="24"/>
                <w:highlight w:val="none"/>
                <w:u w:val="none"/>
                <w:lang w:val="en-US" w:eastAsia="zh-CN" w:bidi="ar-SA"/>
              </w:rPr>
              <w:t>再</w:t>
            </w:r>
            <w:r>
              <w:rPr>
                <w:rFonts w:hint="default" w:ascii="Times New Roman" w:hAnsi="Times New Roman" w:eastAsia="宋体" w:cs="Times New Roman"/>
                <w:color w:val="auto"/>
                <w:kern w:val="2"/>
                <w:sz w:val="24"/>
                <w:szCs w:val="24"/>
                <w:highlight w:val="none"/>
                <w:u w:val="none"/>
                <w:lang w:val="en-US" w:eastAsia="zh-CN" w:bidi="ar-SA"/>
              </w:rPr>
              <w:t>达标排放</w:t>
            </w:r>
            <w:r>
              <w:rPr>
                <w:rFonts w:hint="default" w:ascii="Times New Roman" w:hAnsi="Times New Roman" w:cs="Times New Roman"/>
                <w:color w:val="auto"/>
                <w:kern w:val="2"/>
                <w:sz w:val="24"/>
                <w:szCs w:val="24"/>
                <w:highlight w:val="none"/>
                <w:u w:val="none"/>
                <w:lang w:val="en-US" w:eastAsia="zh-CN" w:bidi="ar-SA"/>
              </w:rPr>
              <w:t>。</w:t>
            </w:r>
            <w:r>
              <w:rPr>
                <w:rFonts w:hint="default" w:ascii="Times New Roman" w:hAnsi="Times New Roman" w:eastAsia="宋体" w:cs="Times New Roman"/>
                <w:color w:val="auto"/>
                <w:kern w:val="2"/>
                <w:sz w:val="24"/>
                <w:szCs w:val="24"/>
                <w:highlight w:val="none"/>
                <w:u w:val="none"/>
                <w:lang w:val="en-US" w:eastAsia="zh-CN" w:bidi="ar-SA"/>
              </w:rPr>
              <w:t>通过</w:t>
            </w:r>
            <w:r>
              <w:rPr>
                <w:rFonts w:hint="default" w:ascii="Times New Roman" w:hAnsi="Times New Roman" w:eastAsia="宋体" w:cs="Times New Roman"/>
                <w:color w:val="auto"/>
                <w:sz w:val="24"/>
                <w:szCs w:val="24"/>
                <w:highlight w:val="none"/>
              </w:rPr>
              <w:t>《平顶山市202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蓝天保卫战实施方案</w:t>
            </w:r>
            <w:r>
              <w:rPr>
                <w:rFonts w:hint="default" w:ascii="Times New Roman" w:hAnsi="Times New Roman" w:eastAsia="宋体" w:cs="Times New Roman"/>
                <w:color w:val="auto"/>
                <w:sz w:val="24"/>
                <w:szCs w:val="24"/>
                <w:highlight w:val="none"/>
              </w:rPr>
              <w:t>》的实施，</w:t>
            </w:r>
            <w:r>
              <w:rPr>
                <w:rFonts w:ascii="Times New Roman" w:hAnsi="Times New Roman" w:eastAsia="宋体"/>
                <w:color w:val="auto"/>
                <w:sz w:val="24"/>
                <w:szCs w:val="24"/>
                <w:highlight w:val="none"/>
              </w:rPr>
              <w:t>通过</w:t>
            </w:r>
            <w:r>
              <w:rPr>
                <w:rFonts w:hint="eastAsia"/>
                <w:color w:val="auto"/>
                <w:sz w:val="24"/>
                <w:szCs w:val="24"/>
                <w:highlight w:val="none"/>
                <w:lang w:val="en-US" w:eastAsia="zh-CN"/>
              </w:rPr>
              <w:t>实施工业炉窑清洁能源替代</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持续推进</w:t>
            </w:r>
            <w:r>
              <w:rPr>
                <w:rFonts w:ascii="Times New Roman" w:hAnsi="Times New Roman" w:eastAsia="宋体"/>
                <w:color w:val="auto"/>
                <w:sz w:val="24"/>
                <w:szCs w:val="24"/>
                <w:highlight w:val="none"/>
              </w:rPr>
              <w:t>清洁取暖</w:t>
            </w:r>
            <w:r>
              <w:rPr>
                <w:rFonts w:hint="eastAsia"/>
                <w:color w:val="auto"/>
                <w:sz w:val="24"/>
                <w:szCs w:val="24"/>
                <w:highlight w:val="none"/>
                <w:lang w:val="en-US" w:eastAsia="zh-CN"/>
              </w:rPr>
              <w:t>改造</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加快煤电结构优化调整</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大力推广新能源汽车</w:t>
            </w:r>
            <w:r>
              <w:rPr>
                <w:rFonts w:ascii="Times New Roman" w:hAnsi="Times New Roman" w:eastAsia="宋体"/>
                <w:color w:val="auto"/>
                <w:sz w:val="24"/>
                <w:szCs w:val="24"/>
                <w:highlight w:val="none"/>
              </w:rPr>
              <w:t>，强化重点工业企业无组织排放治理，</w:t>
            </w:r>
            <w:r>
              <w:rPr>
                <w:rFonts w:hint="eastAsia"/>
                <w:color w:val="auto"/>
                <w:sz w:val="24"/>
                <w:szCs w:val="24"/>
                <w:highlight w:val="none"/>
                <w:lang w:val="en-US" w:eastAsia="zh-CN"/>
              </w:rPr>
              <w:t>开展低效失效治理设施排查整治</w:t>
            </w:r>
            <w:r>
              <w:rPr>
                <w:rFonts w:ascii="Times New Roman" w:hAnsi="Times New Roman" w:eastAsia="宋体"/>
                <w:color w:val="auto"/>
                <w:sz w:val="24"/>
                <w:szCs w:val="24"/>
                <w:highlight w:val="none"/>
              </w:rPr>
              <w:t>等管理，</w:t>
            </w:r>
            <w:r>
              <w:rPr>
                <w:rFonts w:hint="default" w:ascii="Times New Roman" w:hAnsi="Times New Roman" w:eastAsia="宋体" w:cs="Times New Roman"/>
                <w:color w:val="auto"/>
                <w:sz w:val="24"/>
                <w:szCs w:val="24"/>
                <w:highlight w:val="none"/>
              </w:rPr>
              <w:t>强化挥发性有机物（VOCs）污染防治等措施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改善当地环境质量，使空气质量将逐渐转好。</w:t>
            </w:r>
          </w:p>
          <w:p w14:paraId="3206F23B">
            <w:pPr>
              <w:pStyle w:val="27"/>
              <w:keepNext w:val="0"/>
              <w:keepLines w:val="0"/>
              <w:pageBreakBefore w:val="0"/>
              <w:widowControl w:val="0"/>
              <w:kinsoku/>
              <w:wordWrap w:val="0"/>
              <w:overflowPunct/>
              <w:topLinePunct w:val="0"/>
              <w:autoSpaceDE/>
              <w:autoSpaceDN/>
              <w:bidi w:val="0"/>
              <w:adjustRightInd/>
              <w:snapToGrid/>
              <w:spacing w:line="500" w:lineRule="exact"/>
              <w:ind w:firstLine="482"/>
              <w:textAlignment w:val="auto"/>
              <w:rPr>
                <w:rFonts w:hint="default" w:ascii="Times New Roman" w:hAnsi="Times New Roman" w:cs="Times New Roman"/>
              </w:rPr>
            </w:pPr>
            <w:r>
              <w:rPr>
                <w:rFonts w:hint="default" w:ascii="Times New Roman" w:hAnsi="Times New Roman" w:eastAsia="宋体" w:cs="Times New Roman"/>
                <w:color w:val="auto"/>
                <w:kern w:val="2"/>
                <w:sz w:val="24"/>
                <w:szCs w:val="24"/>
                <w:highlight w:val="none"/>
                <w:u w:val="none"/>
                <w:lang w:val="zh-CN" w:eastAsia="zh-CN" w:bidi="ar-SA"/>
              </w:rPr>
              <w:t>综上</w:t>
            </w:r>
            <w:r>
              <w:rPr>
                <w:rFonts w:hint="default" w:ascii="Times New Roman" w:hAnsi="Times New Roman" w:cs="Times New Roman"/>
                <w:color w:val="auto"/>
                <w:kern w:val="2"/>
                <w:sz w:val="24"/>
                <w:szCs w:val="24"/>
                <w:highlight w:val="none"/>
                <w:u w:val="none"/>
                <w:lang w:val="en-US" w:eastAsia="zh-CN" w:bidi="ar-SA"/>
              </w:rPr>
              <w:t>所述</w:t>
            </w:r>
            <w:r>
              <w:rPr>
                <w:rFonts w:hint="default" w:ascii="Times New Roman" w:hAnsi="Times New Roman" w:eastAsia="宋体" w:cs="Times New Roman"/>
                <w:color w:val="auto"/>
                <w:kern w:val="2"/>
                <w:sz w:val="24"/>
                <w:szCs w:val="24"/>
                <w:highlight w:val="none"/>
                <w:u w:val="none"/>
                <w:lang w:val="zh-CN" w:eastAsia="zh-CN" w:bidi="ar-SA"/>
              </w:rPr>
              <w:t>，</w:t>
            </w:r>
            <w:r>
              <w:rPr>
                <w:rFonts w:hint="default"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kern w:val="2"/>
                <w:sz w:val="24"/>
                <w:szCs w:val="24"/>
                <w:highlight w:val="none"/>
                <w:u w:val="none"/>
                <w:lang w:val="zh-CN" w:eastAsia="zh-CN" w:bidi="ar-SA"/>
              </w:rPr>
              <w:t>产生的</w:t>
            </w:r>
            <w:r>
              <w:rPr>
                <w:rFonts w:hint="default" w:ascii="Times New Roman" w:hAnsi="Times New Roman" w:eastAsia="宋体" w:cs="Times New Roman"/>
                <w:color w:val="auto"/>
                <w:kern w:val="2"/>
                <w:sz w:val="24"/>
                <w:szCs w:val="24"/>
                <w:highlight w:val="none"/>
                <w:u w:val="none"/>
                <w:lang w:val="en-US" w:eastAsia="zh-CN" w:bidi="ar-SA"/>
              </w:rPr>
              <w:t>固体</w:t>
            </w:r>
            <w:r>
              <w:rPr>
                <w:rFonts w:hint="default" w:ascii="Times New Roman" w:hAnsi="Times New Roman" w:eastAsia="宋体" w:cs="Times New Roman"/>
                <w:color w:val="auto"/>
                <w:kern w:val="2"/>
                <w:sz w:val="24"/>
                <w:szCs w:val="24"/>
                <w:highlight w:val="none"/>
                <w:u w:val="none"/>
                <w:lang w:val="zh-CN" w:eastAsia="zh-CN" w:bidi="ar-SA"/>
              </w:rPr>
              <w:t>废物按照</w:t>
            </w:r>
            <w:r>
              <w:rPr>
                <w:rFonts w:hint="default" w:ascii="Times New Roman" w:hAnsi="Times New Roman" w:eastAsia="宋体" w:cs="Times New Roman"/>
                <w:color w:val="auto"/>
                <w:sz w:val="24"/>
                <w:szCs w:val="24"/>
                <w:highlight w:val="none"/>
              </w:rPr>
              <w:t>《一般工业固体废物贮存</w:t>
            </w:r>
            <w:r>
              <w:rPr>
                <w:rFonts w:hint="default" w:ascii="Times New Roman" w:hAnsi="Times New Roman" w:eastAsia="宋体" w:cs="Times New Roman"/>
                <w:color w:val="auto"/>
                <w:sz w:val="24"/>
                <w:szCs w:val="24"/>
                <w:highlight w:val="none"/>
                <w:lang w:eastAsia="zh-CN"/>
              </w:rPr>
              <w:t>和填埋</w:t>
            </w:r>
            <w:r>
              <w:rPr>
                <w:rFonts w:hint="default" w:ascii="Times New Roman" w:hAnsi="Times New Roman" w:eastAsia="宋体" w:cs="Times New Roman"/>
                <w:color w:val="auto"/>
                <w:sz w:val="24"/>
                <w:szCs w:val="24"/>
                <w:highlight w:val="none"/>
              </w:rPr>
              <w:t>污染控制标准》（GB18599-2</w:t>
            </w:r>
            <w:r>
              <w:rPr>
                <w:rFonts w:hint="default" w:ascii="Times New Roman" w:hAnsi="Times New Roman" w:eastAsia="宋体" w:cs="Times New Roman"/>
                <w:color w:val="auto"/>
                <w:sz w:val="24"/>
                <w:szCs w:val="24"/>
                <w:highlight w:val="none"/>
                <w:lang w:val="en-US" w:eastAsia="zh-CN"/>
              </w:rPr>
              <w:t>020</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危险</w:t>
            </w:r>
            <w:r>
              <w:rPr>
                <w:rFonts w:hint="default" w:ascii="Times New Roman" w:hAnsi="Times New Roman" w:cs="Times New Roman"/>
                <w:color w:val="auto"/>
                <w:sz w:val="24"/>
                <w:szCs w:val="24"/>
                <w:highlight w:val="none"/>
              </w:rPr>
              <w:t>废物贮存污染控制标准》（</w:t>
            </w:r>
            <w:r>
              <w:rPr>
                <w:rFonts w:hint="default" w:ascii="Times New Roman" w:hAnsi="Times New Roman" w:cs="Times New Roman"/>
                <w:color w:val="auto"/>
                <w:sz w:val="24"/>
                <w:highlight w:val="none"/>
              </w:rPr>
              <w:t>GB18597-20</w:t>
            </w: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kern w:val="2"/>
                <w:sz w:val="24"/>
                <w:szCs w:val="24"/>
                <w:highlight w:val="none"/>
                <w:u w:val="none"/>
                <w:lang w:val="zh-CN" w:eastAsia="zh-CN" w:bidi="ar-SA"/>
              </w:rPr>
              <w:t>进行处理，</w:t>
            </w:r>
            <w:r>
              <w:rPr>
                <w:rFonts w:hint="default" w:ascii="Times New Roman" w:hAnsi="Times New Roman" w:eastAsia="宋体" w:cs="Times New Roman"/>
                <w:color w:val="auto"/>
                <w:kern w:val="2"/>
                <w:sz w:val="24"/>
                <w:szCs w:val="24"/>
                <w:highlight w:val="none"/>
                <w:lang w:val="en-US" w:eastAsia="zh-CN" w:bidi="ar-SA"/>
              </w:rPr>
              <w:t>不会造成二次污染</w:t>
            </w:r>
            <w:r>
              <w:rPr>
                <w:rFonts w:hint="default" w:ascii="Times New Roman" w:hAnsi="Times New Roman"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项目的高噪声设备经合理分布、有效治理后，对厂界影响较小。</w:t>
            </w:r>
            <w:r>
              <w:rPr>
                <w:rFonts w:hint="default" w:ascii="Times New Roman" w:hAnsi="Times New Roman" w:eastAsia="宋体" w:cs="Times New Roman"/>
                <w:color w:val="auto"/>
                <w:kern w:val="2"/>
                <w:sz w:val="24"/>
                <w:szCs w:val="24"/>
                <w:highlight w:val="none"/>
                <w:u w:val="none"/>
                <w:lang w:val="zh-CN" w:eastAsia="zh-CN" w:bidi="ar-SA"/>
              </w:rPr>
              <w:t>项目排放的污染物可得到有效控制，符合区域环境质量控制要求。</w:t>
            </w:r>
          </w:p>
          <w:p w14:paraId="0AF5CC26">
            <w:pPr>
              <w:pStyle w:val="27"/>
              <w:keepNext w:val="0"/>
              <w:keepLines w:val="0"/>
              <w:pageBreakBefore w:val="0"/>
              <w:kinsoku/>
              <w:bidi w:val="0"/>
              <w:spacing w:line="500" w:lineRule="exact"/>
              <w:textAlignment w:val="auto"/>
              <w:rPr>
                <w:rFonts w:hint="default" w:ascii="Times New Roman" w:hAnsi="Times New Roman" w:cs="Times New Roman"/>
              </w:rPr>
            </w:pPr>
            <w:r>
              <w:rPr>
                <w:rFonts w:hint="default" w:ascii="Times New Roman" w:hAnsi="Times New Roman" w:cs="Times New Roman"/>
              </w:rPr>
              <w:t>（4）生态环境准入清单</w:t>
            </w:r>
          </w:p>
          <w:p w14:paraId="42A934E1">
            <w:pPr>
              <w:keepNext w:val="0"/>
              <w:keepLines w:val="0"/>
              <w:pageBreakBefore w:val="0"/>
              <w:widowControl w:val="0"/>
              <w:kinsoku/>
              <w:wordWrap/>
              <w:bidi w:val="0"/>
              <w:spacing w:line="500" w:lineRule="exact"/>
              <w:ind w:firstLine="480" w:firstLineChars="200"/>
              <w:textAlignment w:val="auto"/>
              <w:rPr>
                <w:rFonts w:hint="default" w:ascii="Times New Roman" w:hAnsi="Times New Roman" w:cs="Times New Roman"/>
                <w:bCs/>
                <w:lang w:bidi="ar"/>
              </w:rPr>
            </w:pPr>
            <w:r>
              <w:rPr>
                <w:rFonts w:hint="default" w:ascii="Times New Roman" w:hAnsi="Times New Roman" w:cs="Times New Roman"/>
                <w:color w:val="auto"/>
                <w:sz w:val="24"/>
              </w:rPr>
              <w:t>根据</w:t>
            </w:r>
            <w:r>
              <w:rPr>
                <w:rFonts w:hint="eastAsia" w:cs="Times New Roman"/>
                <w:color w:val="auto"/>
                <w:sz w:val="24"/>
                <w:lang w:eastAsia="zh-CN"/>
              </w:rPr>
              <w:t>《</w:t>
            </w:r>
            <w:r>
              <w:rPr>
                <w:rFonts w:hint="eastAsia"/>
                <w:sz w:val="24"/>
                <w:szCs w:val="24"/>
                <w:lang w:val="en-US" w:eastAsia="zh-CN"/>
              </w:rPr>
              <w:t>关于公布河南省“三线一单”生态环境分区管控更新成果（2023年版）的通知</w:t>
            </w:r>
            <w:r>
              <w:rPr>
                <w:rFonts w:hint="eastAsia" w:cs="Times New Roman"/>
                <w:color w:val="auto"/>
                <w:sz w:val="24"/>
                <w:lang w:eastAsia="zh-CN"/>
              </w:rPr>
              <w:t>》</w:t>
            </w:r>
            <w:r>
              <w:rPr>
                <w:rFonts w:hint="eastAsia" w:cs="Times New Roman"/>
                <w:color w:val="auto"/>
                <w:sz w:val="24"/>
                <w:szCs w:val="24"/>
                <w:lang w:eastAsia="zh-CN"/>
              </w:rPr>
              <w:t>（</w:t>
            </w:r>
            <w:r>
              <w:rPr>
                <w:rFonts w:hint="eastAsia"/>
                <w:sz w:val="24"/>
                <w:szCs w:val="24"/>
                <w:lang w:val="en-US" w:eastAsia="zh-CN"/>
              </w:rPr>
              <w:t>河南省生态环境厅公告2024年2号</w:t>
            </w:r>
            <w:r>
              <w:rPr>
                <w:rFonts w:hint="eastAsia" w:cs="Times New Roman"/>
                <w:color w:val="auto"/>
                <w:sz w:val="24"/>
                <w:szCs w:val="24"/>
                <w:lang w:eastAsia="zh-CN"/>
              </w:rPr>
              <w:t>）</w:t>
            </w:r>
            <w:r>
              <w:rPr>
                <w:rFonts w:hint="default" w:ascii="Times New Roman" w:hAnsi="Times New Roman" w:cs="Times New Roman"/>
                <w:color w:val="auto"/>
                <w:sz w:val="24"/>
              </w:rPr>
              <w:t>，本项目所在区域属于重点管控单元，单元名称：</w:t>
            </w:r>
            <w:r>
              <w:rPr>
                <w:rFonts w:hint="default" w:ascii="Times New Roman" w:hAnsi="Times New Roman" w:cs="Times New Roman"/>
                <w:color w:val="auto"/>
                <w:sz w:val="24"/>
                <w:lang w:val="en-US" w:eastAsia="zh-CN"/>
              </w:rPr>
              <w:t>叶县大气重点单元，</w:t>
            </w:r>
            <w:r>
              <w:rPr>
                <w:rFonts w:hint="default" w:ascii="Times New Roman" w:hAnsi="Times New Roman" w:cs="Times New Roman"/>
                <w:color w:val="auto"/>
                <w:sz w:val="24"/>
              </w:rPr>
              <w:t>单元编码：ZH4104</w:t>
            </w:r>
            <w:r>
              <w:rPr>
                <w:rFonts w:hint="default" w:ascii="Times New Roman" w:hAnsi="Times New Roman" w:cs="Times New Roman"/>
                <w:color w:val="auto"/>
                <w:sz w:val="24"/>
                <w:lang w:val="en-US" w:eastAsia="zh-CN"/>
              </w:rPr>
              <w:t>2220005</w:t>
            </w:r>
            <w:r>
              <w:rPr>
                <w:rFonts w:hint="default" w:ascii="Times New Roman" w:hAnsi="Times New Roman" w:cs="Times New Roman"/>
                <w:color w:val="auto"/>
                <w:sz w:val="24"/>
              </w:rPr>
              <w:t>。</w:t>
            </w:r>
            <w:r>
              <w:rPr>
                <w:rFonts w:hint="default" w:ascii="Times New Roman" w:hAnsi="Times New Roman" w:eastAsia="宋体" w:cs="Times New Roman"/>
                <w:sz w:val="24"/>
                <w:szCs w:val="24"/>
                <w:lang w:val="en-US" w:eastAsia="zh-CN"/>
              </w:rPr>
              <w:t>本项目所在区域涉及的环境管控单元生态环境准入条件如下表：</w:t>
            </w:r>
          </w:p>
          <w:p w14:paraId="75D22C67">
            <w:pPr>
              <w:keepNext w:val="0"/>
              <w:keepLines w:val="0"/>
              <w:pageBreakBefore w:val="0"/>
              <w:kinsoku/>
              <w:bidi w:val="0"/>
              <w:spacing w:line="500" w:lineRule="exact"/>
              <w:jc w:val="center"/>
              <w:textAlignment w:val="auto"/>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1-2  项目与</w:t>
            </w:r>
            <w:r>
              <w:rPr>
                <w:rFonts w:hint="default" w:ascii="Times New Roman" w:hAnsi="Times New Roman" w:eastAsia="黑体" w:cs="Times New Roman"/>
                <w:sz w:val="24"/>
              </w:rPr>
              <w:t>叶县环境管控单元生态环境准入清单</w:t>
            </w:r>
            <w:r>
              <w:rPr>
                <w:rFonts w:hint="default" w:ascii="Times New Roman" w:hAnsi="Times New Roman" w:eastAsia="黑体" w:cs="Times New Roman"/>
                <w:sz w:val="24"/>
                <w:lang w:val="en-US" w:eastAsia="zh-CN"/>
              </w:rPr>
              <w:t>相符性分析</w:t>
            </w:r>
          </w:p>
          <w:tbl>
            <w:tblPr>
              <w:tblStyle w:val="21"/>
              <w:tblpPr w:leftFromText="180" w:rightFromText="180" w:vertAnchor="text" w:tblpXSpec="center" w:tblpY="1"/>
              <w:tblOverlap w:val="never"/>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3"/>
              <w:gridCol w:w="706"/>
              <w:gridCol w:w="704"/>
              <w:gridCol w:w="442"/>
              <w:gridCol w:w="1979"/>
              <w:gridCol w:w="2046"/>
            </w:tblGrid>
            <w:tr w14:paraId="1F90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54A04FB4">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环境管控单元编码</w:t>
                  </w:r>
                </w:p>
              </w:tc>
              <w:tc>
                <w:tcPr>
                  <w:tcW w:w="483" w:type="pct"/>
                  <w:tcBorders>
                    <w:tl2br w:val="nil"/>
                    <w:tr2bl w:val="nil"/>
                  </w:tcBorders>
                  <w:noWrap w:val="0"/>
                  <w:vAlign w:val="center"/>
                </w:tcPr>
                <w:p w14:paraId="2CD7389A">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环境管控单元名称</w:t>
                  </w:r>
                </w:p>
              </w:tc>
              <w:tc>
                <w:tcPr>
                  <w:tcW w:w="484" w:type="pct"/>
                  <w:tcBorders>
                    <w:tl2br w:val="nil"/>
                    <w:tr2bl w:val="nil"/>
                  </w:tcBorders>
                  <w:noWrap w:val="0"/>
                  <w:vAlign w:val="center"/>
                </w:tcPr>
                <w:p w14:paraId="3B2997DF">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行政区划</w:t>
                  </w:r>
                </w:p>
              </w:tc>
              <w:tc>
                <w:tcPr>
                  <w:tcW w:w="483" w:type="pct"/>
                  <w:tcBorders>
                    <w:tl2br w:val="nil"/>
                    <w:tr2bl w:val="nil"/>
                  </w:tcBorders>
                  <w:noWrap w:val="0"/>
                  <w:vAlign w:val="center"/>
                </w:tcPr>
                <w:p w14:paraId="76074459">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管控单元分类</w:t>
                  </w:r>
                </w:p>
              </w:tc>
              <w:tc>
                <w:tcPr>
                  <w:tcW w:w="1661" w:type="pct"/>
                  <w:gridSpan w:val="2"/>
                  <w:tcBorders>
                    <w:tl2br w:val="nil"/>
                    <w:tr2bl w:val="nil"/>
                  </w:tcBorders>
                  <w:noWrap w:val="0"/>
                  <w:vAlign w:val="center"/>
                </w:tcPr>
                <w:p w14:paraId="01F69D8C">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管控要求</w:t>
                  </w:r>
                </w:p>
              </w:tc>
              <w:tc>
                <w:tcPr>
                  <w:tcW w:w="1403" w:type="pct"/>
                  <w:tcBorders>
                    <w:tl2br w:val="nil"/>
                    <w:tr2bl w:val="nil"/>
                  </w:tcBorders>
                  <w:noWrap w:val="0"/>
                  <w:vAlign w:val="center"/>
                </w:tcPr>
                <w:p w14:paraId="5A8FACAF">
                  <w:pPr>
                    <w:spacing w:line="360" w:lineRule="exact"/>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本项目情况</w:t>
                  </w:r>
                </w:p>
              </w:tc>
            </w:tr>
            <w:tr w14:paraId="111E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83" w:type="pct"/>
                  <w:vMerge w:val="restart"/>
                  <w:tcBorders>
                    <w:tl2br w:val="nil"/>
                    <w:tr2bl w:val="nil"/>
                  </w:tcBorders>
                  <w:noWrap w:val="0"/>
                  <w:vAlign w:val="center"/>
                </w:tcPr>
                <w:p w14:paraId="432E89D1">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ZH4104222000</w:t>
                  </w:r>
                  <w:r>
                    <w:rPr>
                      <w:rFonts w:hint="default" w:ascii="Times New Roman" w:hAnsi="Times New Roman" w:cs="Times New Roman"/>
                      <w:color w:val="auto"/>
                      <w:szCs w:val="24"/>
                      <w:lang w:val="en-US" w:eastAsia="zh-CN"/>
                    </w:rPr>
                    <w:t>5</w:t>
                  </w:r>
                </w:p>
              </w:tc>
              <w:tc>
                <w:tcPr>
                  <w:tcW w:w="483" w:type="pct"/>
                  <w:vMerge w:val="restart"/>
                  <w:tcBorders>
                    <w:tl2br w:val="nil"/>
                    <w:tr2bl w:val="nil"/>
                  </w:tcBorders>
                  <w:noWrap w:val="0"/>
                  <w:vAlign w:val="center"/>
                </w:tcPr>
                <w:p w14:paraId="4E82912D">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val="en-US" w:eastAsia="zh-CN"/>
                    </w:rPr>
                    <w:t>叶县大气重点单元</w:t>
                  </w:r>
                </w:p>
              </w:tc>
              <w:tc>
                <w:tcPr>
                  <w:tcW w:w="484" w:type="pct"/>
                  <w:vMerge w:val="restart"/>
                  <w:tcBorders>
                    <w:tl2br w:val="nil"/>
                    <w:tr2bl w:val="nil"/>
                  </w:tcBorders>
                  <w:noWrap w:val="0"/>
                  <w:vAlign w:val="center"/>
                </w:tcPr>
                <w:p w14:paraId="73F4D3BD">
                  <w:pPr>
                    <w:spacing w:line="360" w:lineRule="exact"/>
                    <w:jc w:val="center"/>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河南省平顶山市叶县</w:t>
                  </w:r>
                </w:p>
              </w:tc>
              <w:tc>
                <w:tcPr>
                  <w:tcW w:w="483" w:type="pct"/>
                  <w:vMerge w:val="restart"/>
                  <w:tcBorders>
                    <w:tl2br w:val="nil"/>
                    <w:tr2bl w:val="nil"/>
                  </w:tcBorders>
                  <w:noWrap w:val="0"/>
                  <w:vAlign w:val="center"/>
                </w:tcPr>
                <w:p w14:paraId="5118B69A">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重点管控</w:t>
                  </w:r>
                </w:p>
                <w:p w14:paraId="615636E4">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单元</w:t>
                  </w:r>
                </w:p>
              </w:tc>
              <w:tc>
                <w:tcPr>
                  <w:tcW w:w="303" w:type="pct"/>
                  <w:tcBorders>
                    <w:tl2br w:val="nil"/>
                    <w:tr2bl w:val="nil"/>
                  </w:tcBorders>
                  <w:noWrap w:val="0"/>
                  <w:vAlign w:val="center"/>
                </w:tcPr>
                <w:p w14:paraId="15727E73">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空间布局</w:t>
                  </w:r>
                </w:p>
                <w:p w14:paraId="066B9935">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约束</w:t>
                  </w:r>
                </w:p>
              </w:tc>
              <w:tc>
                <w:tcPr>
                  <w:tcW w:w="1358" w:type="pct"/>
                  <w:tcBorders>
                    <w:tl2br w:val="nil"/>
                    <w:tr2bl w:val="nil"/>
                  </w:tcBorders>
                  <w:noWrap w:val="0"/>
                  <w:vAlign w:val="center"/>
                </w:tcPr>
                <w:p w14:paraId="381C659F">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持续组织开展“散乱污”企业排查整治专项行动，按省定要求完成淘汰落后产能目标任务，对于落后产能和“散乱污”企业，持续保持“动态清零”，坚决杜绝“散乱污”企业死灰复燃、异地转移。</w:t>
                  </w:r>
                </w:p>
              </w:tc>
              <w:tc>
                <w:tcPr>
                  <w:tcW w:w="1403" w:type="pct"/>
                  <w:tcBorders>
                    <w:tl2br w:val="nil"/>
                    <w:tr2bl w:val="nil"/>
                  </w:tcBorders>
                  <w:noWrap w:val="0"/>
                  <w:vAlign w:val="center"/>
                </w:tcPr>
                <w:p w14:paraId="2B26416C">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cs="Times New Roman"/>
                      <w:color w:val="auto"/>
                      <w:sz w:val="21"/>
                      <w:szCs w:val="21"/>
                      <w:lang w:val="en-US" w:eastAsia="zh-CN"/>
                    </w:rPr>
                    <w:t>获得叶县发展和改革委员会的备</w:t>
                  </w:r>
                  <w:r>
                    <w:rPr>
                      <w:rFonts w:hint="default" w:ascii="Times New Roman" w:hAnsi="Times New Roman" w:cs="Times New Roman"/>
                      <w:color w:val="auto"/>
                      <w:sz w:val="21"/>
                      <w:szCs w:val="21"/>
                      <w:highlight w:val="none"/>
                      <w:lang w:val="en-US" w:eastAsia="zh-CN"/>
                    </w:rPr>
                    <w:t>案，用地</w:t>
                  </w:r>
                  <w:r>
                    <w:rPr>
                      <w:rFonts w:hint="eastAsia" w:cs="Times New Roman"/>
                      <w:color w:val="auto"/>
                      <w:sz w:val="21"/>
                      <w:szCs w:val="21"/>
                      <w:highlight w:val="none"/>
                      <w:lang w:val="en-US" w:eastAsia="zh-CN"/>
                    </w:rPr>
                    <w:t>也</w:t>
                  </w:r>
                  <w:r>
                    <w:rPr>
                      <w:rFonts w:hint="default" w:ascii="Times New Roman" w:hAnsi="Times New Roman" w:cs="Times New Roman"/>
                      <w:color w:val="auto"/>
                      <w:sz w:val="21"/>
                      <w:szCs w:val="21"/>
                      <w:highlight w:val="none"/>
                      <w:lang w:val="en-US" w:eastAsia="zh-CN"/>
                    </w:rPr>
                    <w:t>取得了叶县</w:t>
                  </w:r>
                  <w:r>
                    <w:rPr>
                      <w:rFonts w:hint="eastAsia" w:ascii="Times New Roman" w:hAnsi="Times New Roman" w:cs="Times New Roman"/>
                      <w:color w:val="auto"/>
                      <w:sz w:val="21"/>
                      <w:szCs w:val="21"/>
                      <w:highlight w:val="none"/>
                      <w:lang w:val="en-US" w:eastAsia="zh-CN"/>
                    </w:rPr>
                    <w:t>自然资源局</w:t>
                  </w:r>
                  <w:r>
                    <w:rPr>
                      <w:rFonts w:hint="default" w:ascii="Times New Roman" w:hAnsi="Times New Roman" w:cs="Times New Roman"/>
                      <w:color w:val="auto"/>
                      <w:sz w:val="21"/>
                      <w:szCs w:val="21"/>
                      <w:highlight w:val="none"/>
                      <w:lang w:val="en-US" w:eastAsia="zh-CN"/>
                    </w:rPr>
                    <w:t>的用地</w:t>
                  </w:r>
                  <w:r>
                    <w:rPr>
                      <w:rFonts w:hint="eastAsia" w:ascii="Times New Roman" w:hAnsi="Times New Roman" w:cs="Times New Roman"/>
                      <w:color w:val="auto"/>
                      <w:sz w:val="21"/>
                      <w:szCs w:val="21"/>
                      <w:highlight w:val="none"/>
                      <w:lang w:val="en-US" w:eastAsia="zh-CN"/>
                    </w:rPr>
                    <w:t>证明</w:t>
                  </w:r>
                  <w:r>
                    <w:rPr>
                      <w:rFonts w:hint="default" w:ascii="Times New Roman" w:hAnsi="Times New Roman" w:cs="Times New Roman"/>
                      <w:color w:val="auto"/>
                      <w:sz w:val="21"/>
                      <w:szCs w:val="21"/>
                      <w:highlight w:val="none"/>
                      <w:lang w:val="en-US" w:eastAsia="zh-CN"/>
                    </w:rPr>
                    <w:t>，不属于“散乱污”企业；</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生产过程中会有</w:t>
                  </w:r>
                  <w:r>
                    <w:rPr>
                      <w:rFonts w:hint="eastAsia" w:cs="Times New Roman"/>
                      <w:color w:val="auto"/>
                      <w:sz w:val="21"/>
                      <w:szCs w:val="21"/>
                      <w:highlight w:val="none"/>
                      <w:lang w:val="en-US" w:eastAsia="zh-CN"/>
                    </w:rPr>
                    <w:t>产生的</w:t>
                  </w:r>
                  <w:r>
                    <w:rPr>
                      <w:rFonts w:hint="default" w:ascii="Times New Roman" w:hAnsi="Times New Roman" w:cs="Times New Roman"/>
                      <w:color w:val="auto"/>
                      <w:sz w:val="21"/>
                      <w:szCs w:val="21"/>
                      <w:highlight w:val="none"/>
                      <w:lang w:val="en-US" w:eastAsia="zh-CN"/>
                    </w:rPr>
                    <w:t>废气企业会加强污染物</w:t>
                  </w:r>
                  <w:r>
                    <w:rPr>
                      <w:rFonts w:hint="default" w:ascii="Times New Roman" w:hAnsi="Times New Roman" w:cs="Times New Roman"/>
                      <w:color w:val="auto"/>
                      <w:sz w:val="21"/>
                      <w:szCs w:val="21"/>
                      <w:lang w:val="en-US" w:eastAsia="zh-CN"/>
                    </w:rPr>
                    <w:t>处理，严格控制无组织</w:t>
                  </w:r>
                  <w:r>
                    <w:rPr>
                      <w:rFonts w:hint="eastAsia" w:cs="Times New Roman"/>
                      <w:color w:val="auto"/>
                      <w:sz w:val="21"/>
                      <w:szCs w:val="21"/>
                      <w:lang w:val="en-US" w:eastAsia="zh-CN"/>
                    </w:rPr>
                    <w:t>废气</w:t>
                  </w:r>
                  <w:r>
                    <w:rPr>
                      <w:rFonts w:hint="default" w:ascii="Times New Roman" w:hAnsi="Times New Roman" w:cs="Times New Roman"/>
                      <w:color w:val="auto"/>
                      <w:sz w:val="21"/>
                      <w:szCs w:val="21"/>
                      <w:lang w:val="en-US" w:eastAsia="zh-CN"/>
                    </w:rPr>
                    <w:t>排放。</w:t>
                  </w:r>
                </w:p>
              </w:tc>
            </w:tr>
            <w:tr w14:paraId="4630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vMerge w:val="continue"/>
                  <w:tcBorders>
                    <w:tl2br w:val="nil"/>
                    <w:tr2bl w:val="nil"/>
                  </w:tcBorders>
                  <w:noWrap w:val="0"/>
                  <w:vAlign w:val="center"/>
                </w:tcPr>
                <w:p w14:paraId="3834D619">
                  <w:pPr>
                    <w:spacing w:line="360" w:lineRule="exact"/>
                    <w:jc w:val="center"/>
                    <w:rPr>
                      <w:rFonts w:hint="default" w:ascii="Times New Roman" w:hAnsi="Times New Roman" w:eastAsia="宋体" w:cs="Times New Roman"/>
                      <w:color w:val="auto"/>
                      <w:szCs w:val="24"/>
                      <w:lang w:val="en-US" w:eastAsia="zh-CN"/>
                    </w:rPr>
                  </w:pPr>
                </w:p>
              </w:tc>
              <w:tc>
                <w:tcPr>
                  <w:tcW w:w="483" w:type="pct"/>
                  <w:vMerge w:val="continue"/>
                  <w:tcBorders>
                    <w:tl2br w:val="nil"/>
                    <w:tr2bl w:val="nil"/>
                  </w:tcBorders>
                  <w:noWrap w:val="0"/>
                  <w:vAlign w:val="center"/>
                </w:tcPr>
                <w:p w14:paraId="532714B8">
                  <w:pPr>
                    <w:spacing w:line="360" w:lineRule="exact"/>
                    <w:jc w:val="center"/>
                    <w:rPr>
                      <w:rFonts w:hint="default" w:ascii="Times New Roman" w:hAnsi="Times New Roman" w:eastAsia="宋体" w:cs="Times New Roman"/>
                      <w:color w:val="auto"/>
                      <w:szCs w:val="24"/>
                      <w:lang w:val="en-US" w:eastAsia="zh-CN"/>
                    </w:rPr>
                  </w:pPr>
                </w:p>
              </w:tc>
              <w:tc>
                <w:tcPr>
                  <w:tcW w:w="484" w:type="pct"/>
                  <w:vMerge w:val="continue"/>
                  <w:tcBorders>
                    <w:tl2br w:val="nil"/>
                    <w:tr2bl w:val="nil"/>
                  </w:tcBorders>
                  <w:noWrap w:val="0"/>
                  <w:vAlign w:val="center"/>
                </w:tcPr>
                <w:p w14:paraId="6DE49503">
                  <w:pPr>
                    <w:spacing w:line="360" w:lineRule="exact"/>
                    <w:jc w:val="center"/>
                    <w:rPr>
                      <w:rFonts w:hint="default" w:ascii="Times New Roman" w:hAnsi="Times New Roman" w:eastAsia="宋体" w:cs="Times New Roman"/>
                      <w:color w:val="auto"/>
                      <w:szCs w:val="24"/>
                      <w:lang w:val="en-US" w:eastAsia="zh-CN"/>
                    </w:rPr>
                  </w:pPr>
                </w:p>
              </w:tc>
              <w:tc>
                <w:tcPr>
                  <w:tcW w:w="483" w:type="pct"/>
                  <w:vMerge w:val="continue"/>
                  <w:tcBorders>
                    <w:tl2br w:val="nil"/>
                    <w:tr2bl w:val="nil"/>
                  </w:tcBorders>
                  <w:noWrap w:val="0"/>
                  <w:vAlign w:val="center"/>
                </w:tcPr>
                <w:p w14:paraId="498416D7">
                  <w:pPr>
                    <w:spacing w:line="360" w:lineRule="exact"/>
                    <w:jc w:val="center"/>
                    <w:rPr>
                      <w:rFonts w:hint="default" w:ascii="Times New Roman" w:hAnsi="Times New Roman" w:eastAsia="宋体" w:cs="Times New Roman"/>
                      <w:color w:val="auto"/>
                      <w:szCs w:val="24"/>
                      <w:lang w:val="en-US" w:eastAsia="zh-CN"/>
                    </w:rPr>
                  </w:pPr>
                </w:p>
              </w:tc>
              <w:tc>
                <w:tcPr>
                  <w:tcW w:w="303" w:type="pct"/>
                  <w:tcBorders>
                    <w:tl2br w:val="nil"/>
                    <w:tr2bl w:val="nil"/>
                  </w:tcBorders>
                  <w:noWrap w:val="0"/>
                  <w:vAlign w:val="center"/>
                </w:tcPr>
                <w:p w14:paraId="71013367">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污染物排</w:t>
                  </w:r>
                </w:p>
                <w:p w14:paraId="5D1C9339">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放管控</w:t>
                  </w:r>
                </w:p>
              </w:tc>
              <w:tc>
                <w:tcPr>
                  <w:tcW w:w="1358" w:type="pct"/>
                  <w:tcBorders>
                    <w:tl2br w:val="nil"/>
                    <w:tr2bl w:val="nil"/>
                  </w:tcBorders>
                  <w:noWrap w:val="0"/>
                  <w:vAlign w:val="center"/>
                </w:tcPr>
                <w:p w14:paraId="1FF3060A">
                  <w:pPr>
                    <w:spacing w:line="360" w:lineRule="exact"/>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在禁燃区内，禁止销售、燃用高污染燃料</w:t>
                  </w:r>
                  <w:r>
                    <w:rPr>
                      <w:rFonts w:hint="eastAsia" w:ascii="Times New Roman" w:hAnsi="Times New Roman" w:cs="Times New Roman"/>
                      <w:color w:val="auto"/>
                      <w:szCs w:val="24"/>
                      <w:lang w:val="en-US" w:eastAsia="zh-CN"/>
                    </w:rPr>
                    <w:t>；</w:t>
                  </w:r>
                  <w:r>
                    <w:rPr>
                      <w:rFonts w:hint="default" w:ascii="Times New Roman" w:hAnsi="Times New Roman" w:eastAsia="宋体" w:cs="Times New Roman"/>
                      <w:color w:val="auto"/>
                      <w:szCs w:val="24"/>
                      <w:lang w:val="en-US" w:eastAsia="zh-CN"/>
                    </w:rPr>
                    <w:t>禁止新建、扩建燃用高污染燃料的设施。现有使用高污染燃料的单位和个人，应当按照市、县(市)人民政府规定的期限改用清洁能源或拆除使用高污染燃料的设施(高污染燃料不含集中供热、热电联产、以及工业企业生产工艺必须使用的煤炭及其制品)。</w:t>
                  </w:r>
                </w:p>
              </w:tc>
              <w:tc>
                <w:tcPr>
                  <w:tcW w:w="1403" w:type="pct"/>
                  <w:tcBorders>
                    <w:tl2br w:val="nil"/>
                    <w:tr2bl w:val="nil"/>
                  </w:tcBorders>
                  <w:noWrap w:val="0"/>
                  <w:vAlign w:val="center"/>
                </w:tcPr>
                <w:p w14:paraId="650CF20A">
                  <w:pPr>
                    <w:spacing w:line="360" w:lineRule="exact"/>
                    <w:jc w:val="center"/>
                    <w:rPr>
                      <w:rFonts w:hint="default" w:ascii="Times New Roman" w:hAnsi="Times New Roman" w:cs="Times New Roman"/>
                      <w:color w:val="auto"/>
                      <w:szCs w:val="24"/>
                      <w:lang w:val="en-US" w:eastAsia="zh-CN"/>
                    </w:rPr>
                  </w:pP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cs="Times New Roman"/>
                      <w:color w:val="auto"/>
                      <w:sz w:val="21"/>
                      <w:szCs w:val="21"/>
                      <w:lang w:val="en-US" w:eastAsia="zh-CN"/>
                    </w:rPr>
                    <w:t>燃用高污染燃料的项目，</w:t>
                  </w:r>
                  <w:r>
                    <w:rPr>
                      <w:rFonts w:hint="default" w:ascii="Times New Roman" w:hAnsi="Times New Roman" w:cs="Times New Roman"/>
                      <w:color w:val="auto"/>
                      <w:sz w:val="21"/>
                      <w:szCs w:val="21"/>
                      <w:highlight w:val="none"/>
                      <w:lang w:val="en-US" w:eastAsia="zh-CN"/>
                    </w:rPr>
                    <w:t>项目只消耗水、电</w:t>
                  </w:r>
                  <w:r>
                    <w:rPr>
                      <w:rFonts w:hint="eastAsia" w:ascii="Times New Roman" w:hAnsi="Times New Roman" w:cs="Times New Roman"/>
                      <w:color w:val="auto"/>
                      <w:sz w:val="21"/>
                      <w:szCs w:val="21"/>
                      <w:highlight w:val="none"/>
                      <w:lang w:val="en-US" w:eastAsia="zh-CN"/>
                    </w:rPr>
                    <w:t>以及天然气等</w:t>
                  </w:r>
                  <w:r>
                    <w:rPr>
                      <w:rFonts w:hint="default" w:ascii="Times New Roman" w:hAnsi="Times New Roman" w:cs="Times New Roman"/>
                      <w:color w:val="auto"/>
                      <w:sz w:val="21"/>
                      <w:szCs w:val="21"/>
                      <w:highlight w:val="none"/>
                      <w:lang w:val="en-US" w:eastAsia="zh-CN"/>
                    </w:rPr>
                    <w:t>能源</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Cs w:val="24"/>
                      <w:highlight w:val="none"/>
                      <w:lang w:val="en-US" w:eastAsia="zh-CN"/>
                    </w:rPr>
                    <w:t>项目不涉及煤炭燃料销售和使用。</w:t>
                  </w:r>
                </w:p>
              </w:tc>
            </w:tr>
          </w:tbl>
          <w:p w14:paraId="1FB647E2">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黑体" w:cs="Times New Roman"/>
                <w:sz w:val="24"/>
                <w:lang w:val="en-US" w:eastAsia="zh-CN"/>
              </w:rPr>
            </w:pPr>
            <w:r>
              <w:rPr>
                <w:rFonts w:hint="default" w:ascii="Times New Roman" w:hAnsi="Times New Roman" w:eastAsia="宋体" w:cs="Times New Roman"/>
                <w:color w:val="auto"/>
                <w:kern w:val="2"/>
                <w:sz w:val="24"/>
                <w:szCs w:val="24"/>
                <w:lang w:val="en-US" w:eastAsia="zh-CN" w:bidi="ar-SA"/>
              </w:rPr>
              <w:t>综上所述，本项目符合生态环境准入要求。综上所述，本项目建设内容符合</w:t>
            </w:r>
            <w:r>
              <w:rPr>
                <w:rFonts w:hint="default" w:ascii="Times New Roman" w:hAnsi="Times New Roman" w:cs="Times New Roman"/>
                <w:color w:val="auto"/>
                <w:kern w:val="2"/>
                <w:sz w:val="24"/>
                <w:szCs w:val="24"/>
                <w:lang w:val="en-US" w:eastAsia="zh-CN" w:bidi="ar-SA"/>
              </w:rPr>
              <w:t>叶县</w:t>
            </w:r>
            <w:r>
              <w:rPr>
                <w:rFonts w:hint="default" w:ascii="Times New Roman" w:hAnsi="Times New Roman" w:eastAsia="宋体" w:cs="Times New Roman"/>
                <w:color w:val="auto"/>
                <w:kern w:val="2"/>
                <w:sz w:val="24"/>
                <w:szCs w:val="24"/>
                <w:lang w:val="en-US" w:eastAsia="zh-CN" w:bidi="ar-SA"/>
              </w:rPr>
              <w:t>“三线一单”的相关要求。</w:t>
            </w:r>
          </w:p>
          <w:p w14:paraId="1FDFE9BF">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b/>
              </w:rPr>
            </w:pPr>
            <w:r>
              <w:rPr>
                <w:rFonts w:hint="default" w:ascii="Times New Roman" w:hAnsi="Times New Roman" w:cs="Times New Roman"/>
                <w:b/>
                <w:lang w:val="en-US" w:eastAsia="zh-CN"/>
              </w:rPr>
              <w:t>7</w:t>
            </w:r>
            <w:r>
              <w:rPr>
                <w:rFonts w:hint="default" w:ascii="Times New Roman" w:hAnsi="Times New Roman" w:cs="Times New Roman"/>
                <w:b/>
              </w:rPr>
              <w:t>、与县级集中式饮用水水源保护区划相符性分析</w:t>
            </w:r>
          </w:p>
          <w:p w14:paraId="3BC3298E">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河南省人民政府办公厅关于印发河南省县级集中式饮用水水源保护区划的通知》（豫政办【2013】107号）及《河南省人民政府关于划定调整取消部分集中式饮用水水源保护区的通知》（豫政文【2019】162号）中相关内容，叶县县级集中式饮用水水源保护区划如下：</w:t>
            </w:r>
          </w:p>
          <w:p w14:paraId="1B994A7D">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（1）叶县盐都水务地下水井群（昆鲁大道以北、昆阳大道以西，共3眼井）</w:t>
            </w:r>
          </w:p>
          <w:p w14:paraId="3B2D1D78">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一级保护区范围：取水井外围30米的区域。</w:t>
            </w:r>
          </w:p>
          <w:p w14:paraId="0A9C723D">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二级保护区范围：一级保护区外，1～2号取水井外围330米外公切线所包含的区域。</w:t>
            </w:r>
          </w:p>
          <w:p w14:paraId="38F01E4A">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准保护区范围：二级保护区外，东至新建街、西至北关大街、南至文化路、北至昆鲁大道的区域。</w:t>
            </w:r>
          </w:p>
          <w:p w14:paraId="15A7605C">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（2）叶县自由路地下水井群（共2眼井）</w:t>
            </w:r>
          </w:p>
          <w:p w14:paraId="07469BD2">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一级保护区范围：取水井外围200米外公切线所包含的区域。</w:t>
            </w:r>
          </w:p>
          <w:p w14:paraId="6614B1EF">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（3）叶县东升洁地下水井群（昆鲁大道以南、昆阳大道以东、中心路以北，共6眼井）</w:t>
            </w:r>
          </w:p>
          <w:p w14:paraId="177BBCFA">
            <w:pPr>
              <w:pStyle w:val="1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一级保护区范围：取水井外围30米的区域。</w:t>
            </w:r>
          </w:p>
          <w:p w14:paraId="3A1DB94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color w:val="000000" w:themeColor="text1"/>
                <w:sz w:val="24"/>
                <w:u w:val="none"/>
                <w14:textFill>
                  <w14:solidFill>
                    <w14:schemeClr w14:val="tx1"/>
                  </w14:solidFill>
                </w14:textFill>
              </w:rPr>
              <w:t>本项目位于</w:t>
            </w:r>
            <w:r>
              <w:rPr>
                <w:rFonts w:hint="default" w:ascii="Times New Roman" w:hAnsi="Times New Roman" w:eastAsia="宋体" w:cs="Times New Roman"/>
                <w:kern w:val="2"/>
                <w:sz w:val="24"/>
                <w:szCs w:val="24"/>
                <w:lang w:val="en-US" w:eastAsia="zh-CN" w:bidi="ar-SA"/>
              </w:rPr>
              <w:t>平顶山市叶县廉村镇沙渡口村二组1号</w:t>
            </w:r>
            <w:r>
              <w:rPr>
                <w:rFonts w:hint="default" w:ascii="Times New Roman" w:hAnsi="Times New Roman" w:cs="Times New Roman"/>
                <w:color w:val="000000" w:themeColor="text1"/>
                <w:sz w:val="24"/>
                <w:u w:val="none"/>
                <w:lang w:eastAsia="zh-CN"/>
                <w14:textFill>
                  <w14:solidFill>
                    <w14:schemeClr w14:val="tx1"/>
                  </w14:solidFill>
                </w14:textFill>
              </w:rPr>
              <w:t>，</w:t>
            </w:r>
            <w:r>
              <w:rPr>
                <w:rFonts w:hint="default" w:ascii="Times New Roman" w:hAnsi="Times New Roman" w:cs="Times New Roman"/>
                <w:color w:val="000000" w:themeColor="text1"/>
                <w:sz w:val="24"/>
                <w:u w:val="none"/>
                <w14:textFill>
                  <w14:solidFill>
                    <w14:schemeClr w14:val="tx1"/>
                  </w14:solidFill>
                </w14:textFill>
              </w:rPr>
              <w:t>距离最近的地下水井群为叶县东升洁地下水井群</w:t>
            </w:r>
            <w:r>
              <w:rPr>
                <w:rFonts w:hint="default" w:ascii="Times New Roman" w:hAnsi="Times New Roman" w:cs="Times New Roman"/>
                <w:color w:val="000000" w:themeColor="text1"/>
                <w:sz w:val="24"/>
                <w:u w:val="none"/>
                <w:lang w:val="en-US" w:eastAsia="zh-CN"/>
                <w14:textFill>
                  <w14:solidFill>
                    <w14:schemeClr w14:val="tx1"/>
                  </w14:solidFill>
                </w14:textFill>
              </w:rPr>
              <w:t>一级</w:t>
            </w:r>
            <w:r>
              <w:rPr>
                <w:rFonts w:hint="default" w:ascii="Times New Roman" w:hAnsi="Times New Roman" w:cs="Times New Roman"/>
                <w:color w:val="000000" w:themeColor="text1"/>
                <w:sz w:val="24"/>
                <w:u w:val="none"/>
                <w14:textFill>
                  <w14:solidFill>
                    <w14:schemeClr w14:val="tx1"/>
                  </w14:solidFill>
                </w14:textFill>
              </w:rPr>
              <w:t>保护区，最近距离约为1</w:t>
            </w:r>
            <w:r>
              <w:rPr>
                <w:rFonts w:hint="eastAsia" w:cs="Times New Roman"/>
                <w:color w:val="000000" w:themeColor="text1"/>
                <w:sz w:val="24"/>
                <w:u w:val="none"/>
                <w:lang w:val="en-US" w:eastAsia="zh-CN"/>
                <w14:textFill>
                  <w14:solidFill>
                    <w14:schemeClr w14:val="tx1"/>
                  </w14:solidFill>
                </w14:textFill>
              </w:rPr>
              <w:t>1</w:t>
            </w:r>
            <w:r>
              <w:rPr>
                <w:rFonts w:hint="default" w:ascii="Times New Roman" w:hAnsi="Times New Roman" w:cs="Times New Roman"/>
                <w:color w:val="000000" w:themeColor="text1"/>
                <w:sz w:val="24"/>
                <w:u w:val="none"/>
                <w:lang w:val="en-US" w:eastAsia="zh-CN"/>
                <w14:textFill>
                  <w14:solidFill>
                    <w14:schemeClr w14:val="tx1"/>
                  </w14:solidFill>
                </w14:textFill>
              </w:rPr>
              <w:t>.0</w:t>
            </w:r>
            <w:r>
              <w:rPr>
                <w:rFonts w:hint="default" w:ascii="Times New Roman" w:hAnsi="Times New Roman" w:cs="Times New Roman"/>
                <w:color w:val="000000" w:themeColor="text1"/>
                <w:sz w:val="24"/>
                <w:u w:val="none"/>
                <w14:textFill>
                  <w14:solidFill>
                    <w14:schemeClr w14:val="tx1"/>
                  </w14:solidFill>
                </w14:textFill>
              </w:rPr>
              <w:t>km，不在其划定的一级保护区范围内，符合叶县县级集中式饮用水水源保护区划要求。</w:t>
            </w:r>
          </w:p>
          <w:p w14:paraId="610584E6">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b/>
              </w:rPr>
            </w:pPr>
            <w:r>
              <w:rPr>
                <w:rFonts w:hint="default" w:ascii="Times New Roman" w:hAnsi="Times New Roman" w:cs="Times New Roman"/>
                <w:b/>
                <w:lang w:val="en-US" w:eastAsia="zh-CN"/>
              </w:rPr>
              <w:t>8</w:t>
            </w:r>
            <w:r>
              <w:rPr>
                <w:rFonts w:hint="default" w:ascii="Times New Roman" w:hAnsi="Times New Roman" w:cs="Times New Roman"/>
                <w:b/>
              </w:rPr>
              <w:t>、与叶县乡镇集中式饮用水水源保护区划相符性分析</w:t>
            </w:r>
          </w:p>
          <w:p w14:paraId="037726AA">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根据《河南省人民政府办公厅关于印发河南省乡镇集中式饮用水水源保护区划的通知》（豫政办【2016】23号）及《河南省人民政府关于划定调整取消部分集中式饮用水水源保护区的通知》（豫政文【2019】162号），叶县乡镇集中式饮用水水源保护区划如下：</w:t>
            </w:r>
          </w:p>
          <w:p w14:paraId="25402DF1">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（1）叶县任店镇水厂地下水井（共1眼井）</w:t>
            </w:r>
          </w:p>
          <w:p w14:paraId="7A85CEBF">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一级保护区范围：水厂厂区及外围东25米、南11米、北29米的区域。</w:t>
            </w:r>
          </w:p>
          <w:p w14:paraId="26C163B1">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（2）叶县廉村镇水厂地下水井（共1眼井）</w:t>
            </w:r>
          </w:p>
          <w:p w14:paraId="2873B144">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一级保护区范围：水厂厂区及外围东30米、西10米、南5米、北30米的区域。</w:t>
            </w:r>
          </w:p>
          <w:p w14:paraId="39B61D9B">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（3）叶县水寨乡蒋李水厂地下水井（共1眼井）</w:t>
            </w:r>
          </w:p>
          <w:p w14:paraId="07F4D3B6">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一级保护区范围：水厂厂区及外围东10米、西30米、南10米、北30米的区域。</w:t>
            </w:r>
          </w:p>
          <w:p w14:paraId="0DCEC96E">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（4）叶县保安镇水厂地下水井（共1眼井）</w:t>
            </w:r>
          </w:p>
          <w:p w14:paraId="3A047001">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一级保护区范围：水厂厂区及外围东10米、西30米、南15米、北30米的区域。</w:t>
            </w:r>
          </w:p>
          <w:p w14:paraId="07C904E5">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二级保护区范围：一级保护区外围300米的区域。</w:t>
            </w:r>
          </w:p>
          <w:p w14:paraId="667D49C4">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color w:val="000000" w:themeColor="text1"/>
                <w:u w:val="none"/>
                <w14:textFill>
                  <w14:solidFill>
                    <w14:schemeClr w14:val="tx1"/>
                  </w14:solidFill>
                </w14:textFill>
              </w:rPr>
              <w:t>本项目选址位于</w:t>
            </w:r>
            <w:r>
              <w:rPr>
                <w:rFonts w:hint="default" w:ascii="Times New Roman" w:hAnsi="Times New Roman" w:eastAsia="宋体" w:cs="Times New Roman"/>
                <w:kern w:val="2"/>
                <w:sz w:val="24"/>
                <w:szCs w:val="24"/>
                <w:lang w:val="en-US" w:eastAsia="zh-CN" w:bidi="ar-SA"/>
              </w:rPr>
              <w:t>平顶山市叶县廉村镇沙渡口村二组1号</w:t>
            </w:r>
            <w:r>
              <w:rPr>
                <w:rFonts w:hint="default" w:ascii="Times New Roman" w:hAnsi="Times New Roman" w:cs="Times New Roman"/>
                <w:color w:val="000000" w:themeColor="text1"/>
                <w:sz w:val="24"/>
                <w:u w:val="none"/>
                <w:lang w:eastAsia="zh-CN"/>
                <w14:textFill>
                  <w14:solidFill>
                    <w14:schemeClr w14:val="tx1"/>
                  </w14:solidFill>
                </w14:textFill>
              </w:rPr>
              <w:t>，</w:t>
            </w:r>
            <w:r>
              <w:rPr>
                <w:rFonts w:hint="default" w:ascii="Times New Roman" w:hAnsi="Times New Roman" w:cs="Times New Roman"/>
                <w:color w:val="000000" w:themeColor="text1"/>
                <w:sz w:val="24"/>
                <w:u w:val="none"/>
                <w14:textFill>
                  <w14:solidFill>
                    <w14:schemeClr w14:val="tx1"/>
                  </w14:solidFill>
                </w14:textFill>
              </w:rPr>
              <w:t>距离最近的地下水井为</w:t>
            </w:r>
            <w:r>
              <w:rPr>
                <w:rFonts w:hint="default" w:ascii="Times New Roman" w:hAnsi="Times New Roman" w:cs="Times New Roman"/>
                <w:color w:val="000000" w:themeColor="text1"/>
                <w:u w:val="none"/>
                <w14:textFill>
                  <w14:solidFill>
                    <w14:schemeClr w14:val="tx1"/>
                  </w14:solidFill>
                </w14:textFill>
              </w:rPr>
              <w:t>叶县廉村镇水厂地下水井</w:t>
            </w:r>
            <w:r>
              <w:rPr>
                <w:rFonts w:hint="default" w:ascii="Times New Roman" w:hAnsi="Times New Roman" w:cs="Times New Roman"/>
                <w:color w:val="000000" w:themeColor="text1"/>
                <w:sz w:val="24"/>
                <w:u w:val="none"/>
                <w14:textFill>
                  <w14:solidFill>
                    <w14:schemeClr w14:val="tx1"/>
                  </w14:solidFill>
                </w14:textFill>
              </w:rPr>
              <w:t>，最近距离约为</w:t>
            </w:r>
            <w:r>
              <w:rPr>
                <w:rFonts w:hint="eastAsia" w:hAnsi="Times New Roman" w:cs="Times New Roman"/>
                <w:color w:val="000000" w:themeColor="text1"/>
                <w:sz w:val="24"/>
                <w:u w:val="none"/>
                <w:lang w:val="en-US" w:eastAsia="zh-CN"/>
                <w14:textFill>
                  <w14:solidFill>
                    <w14:schemeClr w14:val="tx1"/>
                  </w14:solidFill>
                </w14:textFill>
              </w:rPr>
              <w:t>10</w:t>
            </w:r>
            <w:r>
              <w:rPr>
                <w:rFonts w:hint="default" w:ascii="Times New Roman" w:hAnsi="Times New Roman" w:cs="Times New Roman"/>
                <w:color w:val="000000" w:themeColor="text1"/>
                <w:sz w:val="24"/>
                <w:u w:val="none"/>
                <w:lang w:val="en-US" w:eastAsia="zh-CN"/>
                <w14:textFill>
                  <w14:solidFill>
                    <w14:schemeClr w14:val="tx1"/>
                  </w14:solidFill>
                </w14:textFill>
              </w:rPr>
              <w:t>00</w:t>
            </w:r>
            <w:r>
              <w:rPr>
                <w:rFonts w:hint="default" w:ascii="Times New Roman" w:hAnsi="Times New Roman" w:cs="Times New Roman"/>
                <w:color w:val="000000" w:themeColor="text1"/>
                <w:sz w:val="24"/>
                <w:u w:val="none"/>
                <w14:textFill>
                  <w14:solidFill>
                    <w14:schemeClr w14:val="tx1"/>
                  </w14:solidFill>
                </w14:textFill>
              </w:rPr>
              <w:t>m</w:t>
            </w:r>
            <w:r>
              <w:rPr>
                <w:rFonts w:hint="default" w:ascii="Times New Roman" w:hAnsi="Times New Roman" w:cs="Times New Roman"/>
                <w:color w:val="000000" w:themeColor="text1"/>
                <w:sz w:val="24"/>
                <w:u w:val="none"/>
                <w:lang w:eastAsia="zh-CN"/>
                <w14:textFill>
                  <w14:solidFill>
                    <w14:schemeClr w14:val="tx1"/>
                  </w14:solidFill>
                </w14:textFill>
              </w:rPr>
              <w:t>，</w:t>
            </w:r>
            <w:r>
              <w:rPr>
                <w:rFonts w:hint="default" w:ascii="Times New Roman" w:hAnsi="Times New Roman" w:cs="Times New Roman"/>
                <w:color w:val="000000" w:themeColor="text1"/>
                <w:sz w:val="24"/>
                <w:u w:val="none"/>
                <w14:textFill>
                  <w14:solidFill>
                    <w14:schemeClr w14:val="tx1"/>
                  </w14:solidFill>
                </w14:textFill>
              </w:rPr>
              <w:t>不在其划定的</w:t>
            </w:r>
            <w:r>
              <w:rPr>
                <w:rFonts w:hint="default" w:ascii="Times New Roman" w:hAnsi="Times New Roman" w:cs="Times New Roman"/>
                <w:color w:val="000000" w:themeColor="text1"/>
                <w:sz w:val="24"/>
                <w:u w:val="none"/>
                <w:lang w:val="en-US" w:eastAsia="zh-CN"/>
                <w14:textFill>
                  <w14:solidFill>
                    <w14:schemeClr w14:val="tx1"/>
                  </w14:solidFill>
                </w14:textFill>
              </w:rPr>
              <w:t>乡镇</w:t>
            </w:r>
            <w:r>
              <w:rPr>
                <w:rFonts w:hint="default" w:ascii="Times New Roman" w:hAnsi="Times New Roman" w:cs="Times New Roman"/>
                <w:color w:val="000000" w:themeColor="text1"/>
                <w:u w:val="none"/>
                <w14:textFill>
                  <w14:solidFill>
                    <w14:schemeClr w14:val="tx1"/>
                  </w14:solidFill>
                </w14:textFill>
              </w:rPr>
              <w:t>水源地</w:t>
            </w:r>
            <w:r>
              <w:rPr>
                <w:rFonts w:hint="default" w:ascii="Times New Roman" w:hAnsi="Times New Roman" w:cs="Times New Roman"/>
                <w:color w:val="000000" w:themeColor="text1"/>
                <w:u w:val="none"/>
                <w:lang w:val="en-US" w:eastAsia="zh-CN"/>
                <w14:textFill>
                  <w14:solidFill>
                    <w14:schemeClr w14:val="tx1"/>
                  </w14:solidFill>
                </w14:textFill>
              </w:rPr>
              <w:t>保护区</w:t>
            </w:r>
            <w:r>
              <w:rPr>
                <w:rFonts w:hint="default" w:ascii="Times New Roman" w:hAnsi="Times New Roman" w:cs="Times New Roman"/>
                <w:color w:val="000000" w:themeColor="text1"/>
                <w:u w:val="none"/>
                <w14:textFill>
                  <w14:solidFill>
                    <w14:schemeClr w14:val="tx1"/>
                  </w14:solidFill>
                </w14:textFill>
              </w:rPr>
              <w:t>的范围内</w:t>
            </w:r>
            <w:r>
              <w:rPr>
                <w:rFonts w:hint="eastAsia" w:hAnsi="Times New Roman" w:cs="Times New Roman"/>
                <w:color w:val="000000" w:themeColor="text1"/>
                <w:u w:val="none"/>
                <w:lang w:val="en-US" w:eastAsia="zh-CN"/>
                <w14:textFill>
                  <w14:solidFill>
                    <w14:schemeClr w14:val="tx1"/>
                  </w14:solidFill>
                </w14:textFill>
              </w:rPr>
              <w:t>且</w:t>
            </w:r>
            <w:r>
              <w:rPr>
                <w:rFonts w:hint="eastAsia" w:hAnsi="Times New Roman" w:cs="Times New Roman"/>
                <w:color w:val="000000" w:themeColor="text1"/>
                <w:sz w:val="24"/>
                <w:u w:val="none"/>
                <w:lang w:val="en-US" w:eastAsia="zh-CN"/>
                <w14:textFill>
                  <w14:solidFill>
                    <w14:schemeClr w14:val="tx1"/>
                  </w14:solidFill>
                </w14:textFill>
              </w:rPr>
              <w:t>项目用水来源是厂区内自备的水井，</w:t>
            </w:r>
            <w:r>
              <w:rPr>
                <w:rFonts w:hint="default" w:ascii="Times New Roman" w:hAnsi="Times New Roman" w:cs="Times New Roman"/>
                <w:color w:val="000000" w:themeColor="text1"/>
                <w:u w:val="none"/>
                <w14:textFill>
                  <w14:solidFill>
                    <w14:schemeClr w14:val="tx1"/>
                  </w14:solidFill>
                </w14:textFill>
              </w:rPr>
              <w:t>符合叶县乡镇集中式饮用水水源保护区划要求。</w:t>
            </w:r>
          </w:p>
          <w:p w14:paraId="20AC7B82">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val="0"/>
                <w:color w:val="auto"/>
                <w:kern w:val="28"/>
                <w:sz w:val="24"/>
                <w:szCs w:val="40"/>
                <w:highlight w:val="none"/>
                <w:u w:val="none"/>
                <w:lang w:val="en-US" w:eastAsia="zh-CN" w:bidi="ar-SA"/>
              </w:rPr>
              <w:t>9</w:t>
            </w:r>
            <w:r>
              <w:rPr>
                <w:rFonts w:hint="default" w:ascii="Times New Roman" w:hAnsi="Times New Roman" w:eastAsia="宋体" w:cs="Times New Roman"/>
                <w:b/>
                <w:bCs w:val="0"/>
                <w:color w:val="auto"/>
                <w:kern w:val="28"/>
                <w:sz w:val="24"/>
                <w:szCs w:val="40"/>
                <w:highlight w:val="none"/>
                <w:u w:val="none"/>
                <w:lang w:val="en-US" w:eastAsia="zh-CN" w:bidi="ar-SA"/>
              </w:rPr>
              <w:t>、</w:t>
            </w:r>
            <w:r>
              <w:rPr>
                <w:rFonts w:hint="default" w:ascii="Times New Roman" w:hAnsi="Times New Roman" w:eastAsia="宋体" w:cs="Times New Roman"/>
                <w:b/>
                <w:bCs w:val="0"/>
                <w:color w:val="auto"/>
                <w:kern w:val="28"/>
                <w:sz w:val="24"/>
                <w:szCs w:val="40"/>
                <w:highlight w:val="none"/>
                <w:lang w:val="en-US" w:eastAsia="zh-CN" w:bidi="ar-SA"/>
              </w:rPr>
              <w:t>项目与《平顶山市</w:t>
            </w:r>
            <w:r>
              <w:rPr>
                <w:rFonts w:hint="default" w:ascii="Times New Roman" w:hAnsi="Times New Roman" w:cs="Times New Roman"/>
                <w:b/>
                <w:bCs w:val="0"/>
                <w:color w:val="auto"/>
                <w:kern w:val="28"/>
                <w:sz w:val="24"/>
                <w:szCs w:val="40"/>
                <w:highlight w:val="none"/>
                <w:lang w:val="en-US" w:eastAsia="zh-CN" w:bidi="ar-SA"/>
              </w:rPr>
              <w:t>202</w:t>
            </w:r>
            <w:r>
              <w:rPr>
                <w:rFonts w:hint="eastAsia" w:cs="Times New Roman"/>
                <w:b/>
                <w:bCs w:val="0"/>
                <w:color w:val="auto"/>
                <w:kern w:val="28"/>
                <w:sz w:val="24"/>
                <w:szCs w:val="40"/>
                <w:highlight w:val="none"/>
                <w:lang w:val="en-US" w:eastAsia="zh-CN" w:bidi="ar-SA"/>
              </w:rPr>
              <w:t>4</w:t>
            </w:r>
            <w:r>
              <w:rPr>
                <w:rFonts w:hint="default" w:ascii="Times New Roman" w:hAnsi="Times New Roman" w:cs="Times New Roman"/>
                <w:b/>
                <w:bCs w:val="0"/>
                <w:color w:val="auto"/>
                <w:kern w:val="28"/>
                <w:sz w:val="24"/>
                <w:szCs w:val="40"/>
                <w:highlight w:val="none"/>
                <w:lang w:val="en-US" w:eastAsia="zh-CN" w:bidi="ar-SA"/>
              </w:rPr>
              <w:t>年蓝天保卫战实施方案的通知</w:t>
            </w:r>
            <w:r>
              <w:rPr>
                <w:rFonts w:hint="default" w:ascii="Times New Roman" w:hAnsi="Times New Roman" w:eastAsia="宋体" w:cs="Times New Roman"/>
                <w:b/>
                <w:bCs w:val="0"/>
                <w:color w:val="auto"/>
                <w:kern w:val="28"/>
                <w:sz w:val="24"/>
                <w:szCs w:val="40"/>
                <w:highlight w:val="none"/>
                <w:lang w:val="en-US" w:eastAsia="zh-CN" w:bidi="ar-SA"/>
              </w:rPr>
              <w:t>》相符性分析</w:t>
            </w:r>
          </w:p>
          <w:p w14:paraId="1432F6F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bCs w:val="0"/>
                <w:color w:val="auto"/>
                <w:kern w:val="28"/>
                <w:sz w:val="24"/>
                <w:szCs w:val="40"/>
                <w:highlight w:val="none"/>
                <w:u w:val="none"/>
                <w:lang w:val="en-US" w:eastAsia="zh-CN" w:bidi="ar-SA"/>
              </w:rPr>
            </w:pPr>
            <w:r>
              <w:rPr>
                <w:rFonts w:hint="default" w:ascii="Times New Roman" w:hAnsi="Times New Roman" w:eastAsia="宋体" w:cs="Times New Roman"/>
                <w:color w:val="auto"/>
                <w:kern w:val="0"/>
                <w:sz w:val="24"/>
                <w:szCs w:val="24"/>
                <w:highlight w:val="none"/>
                <w:lang w:val="en-US" w:eastAsia="zh-CN"/>
              </w:rPr>
              <w:t>本项目建设内容与《平顶山市202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年蓝天保卫战实施方案》（平环委办〔202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号）中相关内容的相符性分析详见下表。</w:t>
            </w:r>
          </w:p>
          <w:p w14:paraId="2CA74074">
            <w:pPr>
              <w:pStyle w:val="6"/>
              <w:keepNext w:val="0"/>
              <w:keepLines w:val="0"/>
              <w:pageBreakBefore w:val="0"/>
              <w:widowControl w:val="0"/>
              <w:kinsoku/>
              <w:wordWrap/>
              <w:overflowPunct/>
              <w:topLinePunct w:val="0"/>
              <w:bidi w:val="0"/>
              <w:spacing w:line="500" w:lineRule="exact"/>
              <w:ind w:firstLine="480" w:firstLineChars="20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黑体" w:cs="Times New Roman"/>
                <w:b w:val="0"/>
                <w:bCs w:val="0"/>
                <w:color w:val="auto"/>
                <w:sz w:val="24"/>
                <w:szCs w:val="24"/>
                <w:highlight w:val="none"/>
                <w:u w:val="none"/>
                <w:lang w:val="en-US" w:eastAsia="zh-CN"/>
              </w:rPr>
              <w:t>表1-</w:t>
            </w:r>
            <w:r>
              <w:rPr>
                <w:rFonts w:hint="eastAsia" w:ascii="Times New Roman" w:hAnsi="Times New Roman" w:eastAsia="黑体" w:cs="Times New Roman"/>
                <w:b w:val="0"/>
                <w:bCs w:val="0"/>
                <w:color w:val="auto"/>
                <w:sz w:val="24"/>
                <w:szCs w:val="24"/>
                <w:highlight w:val="none"/>
                <w:u w:val="none"/>
                <w:lang w:val="en-US" w:eastAsia="zh-CN"/>
              </w:rPr>
              <w:t>3</w:t>
            </w:r>
            <w:r>
              <w:rPr>
                <w:rFonts w:hint="default" w:ascii="Times New Roman" w:hAnsi="Times New Roman" w:eastAsia="黑体" w:cs="Times New Roman"/>
                <w:b w:val="0"/>
                <w:bCs w:val="0"/>
                <w:color w:val="auto"/>
                <w:sz w:val="24"/>
                <w:szCs w:val="24"/>
                <w:highlight w:val="none"/>
                <w:u w:val="none"/>
                <w:lang w:val="en-US" w:eastAsia="zh-CN"/>
              </w:rPr>
              <w:t xml:space="preserve"> 本项目建设内容与上述文件符合性分析一览表</w:t>
            </w:r>
          </w:p>
          <w:tbl>
            <w:tblPr>
              <w:tblStyle w:val="21"/>
              <w:tblW w:w="74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Layout w:type="fixed"/>
              <w:tblCellMar>
                <w:top w:w="0" w:type="dxa"/>
                <w:left w:w="108" w:type="dxa"/>
                <w:bottom w:w="0" w:type="dxa"/>
                <w:right w:w="108" w:type="dxa"/>
              </w:tblCellMar>
            </w:tblPr>
            <w:tblGrid>
              <w:gridCol w:w="796"/>
              <w:gridCol w:w="884"/>
              <w:gridCol w:w="3483"/>
              <w:gridCol w:w="1371"/>
              <w:gridCol w:w="884"/>
            </w:tblGrid>
            <w:tr w14:paraId="60394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436" w:hRule="atLeast"/>
                <w:jc w:val="center"/>
              </w:trPr>
              <w:tc>
                <w:tcPr>
                  <w:tcW w:w="796" w:type="dxa"/>
                  <w:tcBorders>
                    <w:tl2br w:val="nil"/>
                    <w:tr2bl w:val="nil"/>
                  </w:tcBorders>
                  <w:noWrap w:val="0"/>
                  <w:vAlign w:val="center"/>
                </w:tcPr>
                <w:p w14:paraId="1EE0FF35">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类别</w:t>
                  </w:r>
                </w:p>
              </w:tc>
              <w:tc>
                <w:tcPr>
                  <w:tcW w:w="884" w:type="dxa"/>
                  <w:tcBorders>
                    <w:tl2br w:val="nil"/>
                    <w:tr2bl w:val="nil"/>
                  </w:tcBorders>
                  <w:noWrap w:val="0"/>
                  <w:vAlign w:val="center"/>
                </w:tcPr>
                <w:p w14:paraId="49F623A3">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主要</w:t>
                  </w:r>
                </w:p>
                <w:p w14:paraId="1E652DBB">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任务</w:t>
                  </w:r>
                </w:p>
              </w:tc>
              <w:tc>
                <w:tcPr>
                  <w:tcW w:w="3483" w:type="dxa"/>
                  <w:tcBorders>
                    <w:tl2br w:val="nil"/>
                    <w:tr2bl w:val="nil"/>
                  </w:tcBorders>
                  <w:noWrap w:val="0"/>
                  <w:vAlign w:val="center"/>
                </w:tcPr>
                <w:p w14:paraId="36E7BA48">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实施方案相关要求</w:t>
                  </w:r>
                </w:p>
              </w:tc>
              <w:tc>
                <w:tcPr>
                  <w:tcW w:w="1371" w:type="dxa"/>
                  <w:tcBorders>
                    <w:tl2br w:val="nil"/>
                    <w:tr2bl w:val="nil"/>
                  </w:tcBorders>
                  <w:noWrap w:val="0"/>
                  <w:vAlign w:val="center"/>
                </w:tcPr>
                <w:p w14:paraId="2980FA27">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本项目情况</w:t>
                  </w:r>
                </w:p>
              </w:tc>
              <w:tc>
                <w:tcPr>
                  <w:tcW w:w="884" w:type="dxa"/>
                  <w:tcBorders>
                    <w:tl2br w:val="nil"/>
                    <w:tr2bl w:val="nil"/>
                  </w:tcBorders>
                  <w:noWrap w:val="0"/>
                  <w:vAlign w:val="center"/>
                </w:tcPr>
                <w:p w14:paraId="44CEC56A">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符合性</w:t>
                  </w:r>
                </w:p>
              </w:tc>
            </w:tr>
            <w:tr w14:paraId="42DDC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796" w:type="dxa"/>
                  <w:vMerge w:val="restart"/>
                  <w:tcBorders>
                    <w:tl2br w:val="nil"/>
                    <w:tr2bl w:val="nil"/>
                  </w:tcBorders>
                  <w:noWrap w:val="0"/>
                  <w:vAlign w:val="center"/>
                </w:tcPr>
                <w:p w14:paraId="5FC64218">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rPr>
                    <w:t>平顶山市202</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val="en-US" w:eastAsia="zh-CN"/>
                    </w:rPr>
                    <w:t>年蓝天保卫战实施方案</w:t>
                  </w:r>
                </w:p>
              </w:tc>
              <w:tc>
                <w:tcPr>
                  <w:tcW w:w="884" w:type="dxa"/>
                  <w:tcBorders>
                    <w:tl2br w:val="nil"/>
                    <w:tr2bl w:val="nil"/>
                  </w:tcBorders>
                  <w:noWrap w:val="0"/>
                  <w:vAlign w:val="center"/>
                </w:tcPr>
                <w:p w14:paraId="2C2F0AC2">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实施工业炉窑清洁能源替代</w:t>
                  </w:r>
                </w:p>
              </w:tc>
              <w:tc>
                <w:tcPr>
                  <w:tcW w:w="3483" w:type="dxa"/>
                  <w:tcBorders>
                    <w:tl2br w:val="nil"/>
                    <w:tr2bl w:val="nil"/>
                  </w:tcBorders>
                  <w:noWrap w:val="0"/>
                  <w:vAlign w:val="bottom"/>
                </w:tcPr>
                <w:p w14:paraId="55353B81">
                  <w:pPr>
                    <w:autoSpaceDE w:val="0"/>
                    <w:autoSpaceDN w:val="0"/>
                    <w:spacing w:line="240" w:lineRule="auto"/>
                    <w:jc w:val="both"/>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2024年年底前，完成5座分散建设的燃料类煤气发生炉清洁能源替代，或者园区</w:t>
                  </w:r>
                  <w:r>
                    <w:rPr>
                      <w:rFonts w:hint="eastAsia" w:cs="Times New Roman"/>
                      <w:b w:val="0"/>
                      <w:bCs w:val="0"/>
                      <w:color w:val="auto"/>
                      <w:kern w:val="2"/>
                      <w:sz w:val="21"/>
                      <w:szCs w:val="21"/>
                      <w:highlight w:val="none"/>
                      <w:u w:val="none"/>
                      <w:lang w:val="en-US" w:eastAsia="zh-CN" w:bidi="ar-SA"/>
                    </w:rPr>
                    <w:t>（集群）</w:t>
                  </w:r>
                  <w:r>
                    <w:rPr>
                      <w:rFonts w:hint="default" w:ascii="Times New Roman" w:hAnsi="Times New Roman" w:eastAsia="宋体" w:cs="Times New Roman"/>
                      <w:b w:val="0"/>
                      <w:bCs w:val="0"/>
                      <w:color w:val="auto"/>
                      <w:kern w:val="2"/>
                      <w:sz w:val="21"/>
                      <w:szCs w:val="21"/>
                      <w:highlight w:val="none"/>
                      <w:u w:val="none"/>
                      <w:lang w:val="en-US" w:eastAsia="zh-CN" w:bidi="ar-SA"/>
                    </w:rPr>
                    <w:t>集中供气、分散使用</w:t>
                  </w:r>
                  <w:r>
                    <w:rPr>
                      <w:rFonts w:hint="eastAsia"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val="0"/>
                      <w:bCs w:val="0"/>
                      <w:color w:val="auto"/>
                      <w:kern w:val="2"/>
                      <w:sz w:val="21"/>
                      <w:szCs w:val="21"/>
                      <w:highlight w:val="none"/>
                      <w:u w:val="none"/>
                      <w:lang w:val="en-US" w:eastAsia="zh-CN" w:bidi="ar-SA"/>
                    </w:rPr>
                    <w:t>完成固定床间歇式煤气发生炉新型煤气化工艺改造。推进8座使用高污染燃料工业炉窑改用清洁低碳能源，淘汰不能稳定达标的燃煤锅炉、燃煤热风炉和以煤、石油焦、渣油、重油等为燃料的工业窑炉。</w:t>
                  </w:r>
                </w:p>
              </w:tc>
              <w:tc>
                <w:tcPr>
                  <w:tcW w:w="1371" w:type="dxa"/>
                  <w:tcBorders>
                    <w:tl2br w:val="nil"/>
                    <w:tr2bl w:val="nil"/>
                  </w:tcBorders>
                  <w:noWrap w:val="0"/>
                  <w:vAlign w:val="center"/>
                </w:tcPr>
                <w:p w14:paraId="75BA514E">
                  <w:pPr>
                    <w:autoSpaceDE w:val="0"/>
                    <w:autoSpaceDN w:val="0"/>
                    <w:spacing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cs="Times New Roman"/>
                      <w:b w:val="0"/>
                      <w:bCs w:val="0"/>
                      <w:color w:val="auto"/>
                      <w:kern w:val="0"/>
                      <w:sz w:val="21"/>
                      <w:szCs w:val="21"/>
                      <w:highlight w:val="none"/>
                      <w:u w:val="none"/>
                      <w:lang w:val="en-US" w:eastAsia="zh-CN"/>
                    </w:rPr>
                    <w:t>本项目锅炉是为食品加工部分工序提供蒸汽，不使用高污染燃料，以天然气为原料，属于清洁低碳能源</w:t>
                  </w:r>
                </w:p>
              </w:tc>
              <w:tc>
                <w:tcPr>
                  <w:tcW w:w="884" w:type="dxa"/>
                  <w:tcBorders>
                    <w:tl2br w:val="nil"/>
                    <w:tr2bl w:val="nil"/>
                  </w:tcBorders>
                  <w:noWrap w:val="0"/>
                  <w:vAlign w:val="center"/>
                </w:tcPr>
                <w:p w14:paraId="000BB372">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符合</w:t>
                  </w:r>
                </w:p>
              </w:tc>
            </w:tr>
            <w:tr w14:paraId="1F079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796" w:type="dxa"/>
                  <w:vMerge w:val="continue"/>
                  <w:tcBorders>
                    <w:tl2br w:val="nil"/>
                    <w:tr2bl w:val="nil"/>
                  </w:tcBorders>
                  <w:noWrap w:val="0"/>
                  <w:vAlign w:val="center"/>
                </w:tcPr>
                <w:p w14:paraId="28CB654C">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884" w:type="dxa"/>
                  <w:tcBorders>
                    <w:tl2br w:val="nil"/>
                    <w:tr2bl w:val="nil"/>
                  </w:tcBorders>
                  <w:noWrap w:val="0"/>
                  <w:vAlign w:val="center"/>
                </w:tcPr>
                <w:p w14:paraId="00A9F041">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加快工业炉窑和锅炉深度治理</w:t>
                  </w:r>
                </w:p>
              </w:tc>
              <w:tc>
                <w:tcPr>
                  <w:tcW w:w="3483" w:type="dxa"/>
                  <w:tcBorders>
                    <w:tl2br w:val="nil"/>
                    <w:tr2bl w:val="nil"/>
                  </w:tcBorders>
                  <w:noWrap w:val="0"/>
                  <w:vAlign w:val="bottom"/>
                </w:tcPr>
                <w:p w14:paraId="3E2EC22B">
                  <w:pPr>
                    <w:autoSpaceDE w:val="0"/>
                    <w:autoSpaceDN w:val="0"/>
                    <w:spacing w:line="240" w:lineRule="auto"/>
                    <w:jc w:val="left"/>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加强燃煤锅炉、生物质锅炉除尘、脱硫、脱硝设施运行管理，推进燃气锅炉低氮改造，强化全过程排放控制和监管力度，对于污染物无法稳定达标排放的，依法依规实施整治。2024年10月底前，完成耐火材料、有色、铸造、炭素、石灰、砖瓦等重点行业32家企业治理设施升级改造</w:t>
                  </w:r>
                  <w:r>
                    <w:rPr>
                      <w:rFonts w:hint="eastAsia"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val="0"/>
                      <w:bCs w:val="0"/>
                      <w:color w:val="auto"/>
                      <w:kern w:val="2"/>
                      <w:sz w:val="21"/>
                      <w:szCs w:val="21"/>
                      <w:highlight w:val="none"/>
                      <w:u w:val="none"/>
                      <w:lang w:val="en-US" w:eastAsia="zh-CN" w:bidi="ar-SA"/>
                    </w:rPr>
                    <w:t>完成3座燃气锅炉低氮燃烧改造，取消烟气再循环系统开关阀，确有必要保留的，在保证安全的前提下实施电动阀设置、气动阀或铅封等监管设施改造</w:t>
                  </w:r>
                  <w:r>
                    <w:rPr>
                      <w:rFonts w:hint="eastAsia"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val="0"/>
                      <w:bCs w:val="0"/>
                      <w:color w:val="auto"/>
                      <w:kern w:val="2"/>
                      <w:sz w:val="21"/>
                      <w:szCs w:val="21"/>
                      <w:highlight w:val="none"/>
                      <w:u w:val="none"/>
                      <w:lang w:val="en-US" w:eastAsia="zh-CN" w:bidi="ar-SA"/>
                    </w:rPr>
                    <w:t>推进生物质锅炉污染治理设施升级改造，保留及现有生物质锅炉采用专用炉具，严禁掺烧煤炭、垃圾、工业固体废物等其他物料</w:t>
                  </w:r>
                  <w:r>
                    <w:rPr>
                      <w:rFonts w:hint="eastAsia"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val="0"/>
                      <w:bCs w:val="0"/>
                      <w:color w:val="auto"/>
                      <w:kern w:val="2"/>
                      <w:sz w:val="21"/>
                      <w:szCs w:val="21"/>
                      <w:highlight w:val="none"/>
                      <w:u w:val="none"/>
                      <w:lang w:val="en-US" w:eastAsia="zh-CN" w:bidi="ar-SA"/>
                    </w:rPr>
                    <w:t>完成3家垃圾焚烧发电企业提标改造，确保稳定达标排放。</w:t>
                  </w:r>
                </w:p>
              </w:tc>
              <w:tc>
                <w:tcPr>
                  <w:tcW w:w="1371" w:type="dxa"/>
                  <w:tcBorders>
                    <w:tl2br w:val="nil"/>
                    <w:tr2bl w:val="nil"/>
                  </w:tcBorders>
                  <w:noWrap w:val="0"/>
                  <w:vAlign w:val="center"/>
                </w:tcPr>
                <w:p w14:paraId="2E7F970D">
                  <w:pPr>
                    <w:autoSpaceDE w:val="0"/>
                    <w:autoSpaceDN w:val="0"/>
                    <w:spacing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宋体" w:hAnsi="宋体" w:eastAsia="宋体" w:cs="宋体"/>
                      <w:i w:val="0"/>
                      <w:iCs w:val="0"/>
                      <w:caps w:val="0"/>
                      <w:color w:val="000000"/>
                      <w:spacing w:val="0"/>
                      <w:sz w:val="21"/>
                      <w:szCs w:val="21"/>
                      <w:lang w:val="en-US" w:eastAsia="zh-CN"/>
                    </w:rPr>
                    <w:t>项目锅炉以天</w:t>
                  </w:r>
                  <w:r>
                    <w:rPr>
                      <w:rFonts w:hint="eastAsia" w:ascii="宋体" w:hAnsi="宋体" w:eastAsia="宋体" w:cs="宋体"/>
                      <w:i w:val="0"/>
                      <w:iCs w:val="0"/>
                      <w:caps w:val="0"/>
                      <w:color w:val="000000"/>
                      <w:spacing w:val="0"/>
                      <w:sz w:val="21"/>
                      <w:szCs w:val="21"/>
                    </w:rPr>
                    <w:t>然气为燃料，属于清洁低碳能源</w:t>
                  </w: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锅</w:t>
                  </w:r>
                  <w:r>
                    <w:rPr>
                      <w:rFonts w:hint="eastAsia" w:ascii="宋体" w:hAnsi="宋体" w:eastAsia="宋体" w:cs="宋体"/>
                      <w:i w:val="0"/>
                      <w:iCs w:val="0"/>
                      <w:caps w:val="0"/>
                      <w:color w:val="000000"/>
                      <w:spacing w:val="0"/>
                      <w:sz w:val="21"/>
                      <w:szCs w:val="21"/>
                    </w:rPr>
                    <w:t>炉采用低氮燃烧</w:t>
                  </w:r>
                  <w:r>
                    <w:rPr>
                      <w:rFonts w:hint="eastAsia" w:ascii="宋体" w:hAnsi="宋体" w:cs="宋体"/>
                      <w:i w:val="0"/>
                      <w:iCs w:val="0"/>
                      <w:caps w:val="0"/>
                      <w:color w:val="000000"/>
                      <w:spacing w:val="0"/>
                      <w:sz w:val="21"/>
                      <w:szCs w:val="21"/>
                      <w:lang w:val="en-US" w:eastAsia="zh-CN"/>
                    </w:rPr>
                    <w:t>装置</w:t>
                  </w:r>
                  <w:r>
                    <w:rPr>
                      <w:rFonts w:hint="eastAsia" w:ascii="宋体" w:hAnsi="宋体" w:eastAsia="宋体" w:cs="宋体"/>
                      <w:i w:val="0"/>
                      <w:iCs w:val="0"/>
                      <w:caps w:val="0"/>
                      <w:color w:val="000000"/>
                      <w:spacing w:val="0"/>
                      <w:sz w:val="21"/>
                      <w:szCs w:val="21"/>
                      <w:lang w:val="en-US" w:eastAsia="zh-CN"/>
                    </w:rPr>
                    <w:t>对燃烧的废气进行控制，降低对环境影响</w:t>
                  </w:r>
                </w:p>
              </w:tc>
              <w:tc>
                <w:tcPr>
                  <w:tcW w:w="884" w:type="dxa"/>
                  <w:tcBorders>
                    <w:tl2br w:val="nil"/>
                    <w:tr2bl w:val="nil"/>
                  </w:tcBorders>
                  <w:noWrap w:val="0"/>
                  <w:vAlign w:val="center"/>
                </w:tcPr>
                <w:p w14:paraId="3D849D99">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符合</w:t>
                  </w:r>
                </w:p>
              </w:tc>
            </w:tr>
            <w:tr w14:paraId="3E32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796" w:type="dxa"/>
                  <w:vMerge w:val="continue"/>
                  <w:tcBorders>
                    <w:tl2br w:val="nil"/>
                    <w:tr2bl w:val="nil"/>
                  </w:tcBorders>
                  <w:noWrap w:val="0"/>
                  <w:vAlign w:val="center"/>
                </w:tcPr>
                <w:p w14:paraId="09686E0F">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884" w:type="dxa"/>
                  <w:tcBorders>
                    <w:tl2br w:val="nil"/>
                    <w:tr2bl w:val="nil"/>
                  </w:tcBorders>
                  <w:shd w:val="clear" w:color="auto" w:fill="auto"/>
                  <w:noWrap w:val="0"/>
                  <w:vAlign w:val="center"/>
                </w:tcPr>
                <w:p w14:paraId="28F38CF3">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kern w:val="2"/>
                      <w:sz w:val="21"/>
                      <w:szCs w:val="21"/>
                      <w:highlight w:val="none"/>
                      <w:u w:val="none"/>
                      <w:lang w:val="en-US" w:eastAsia="zh-CN" w:bidi="ar-SA"/>
                    </w:rPr>
                    <w:t>提升重污染天气应对实效</w:t>
                  </w:r>
                </w:p>
              </w:tc>
              <w:tc>
                <w:tcPr>
                  <w:tcW w:w="3483" w:type="dxa"/>
                  <w:tcBorders>
                    <w:tl2br w:val="nil"/>
                    <w:tr2bl w:val="nil"/>
                  </w:tcBorders>
                  <w:shd w:val="clear" w:color="auto" w:fill="auto"/>
                  <w:noWrap w:val="0"/>
                  <w:vAlign w:val="center"/>
                </w:tcPr>
                <w:p w14:paraId="45A546ED">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健全完善重污染夭气预警响应机制，规范重污染天气预警、启动、响应、解除工作流程，强化区域联合应对，加强部门间的联系沟通，健全完善重污染天气监测预警、会商研判、应急响应、督查调度机制，综合采取远程监控、入企监督指导、污染高值预警、实地监测溯源、综合分析应对等方式</w:t>
                  </w:r>
                  <w:r>
                    <w:rPr>
                      <w:rFonts w:hint="eastAsia" w:ascii="Times New Roman" w:hAnsi="Times New Roman"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val="0"/>
                      <w:bCs w:val="0"/>
                      <w:color w:val="auto"/>
                      <w:kern w:val="2"/>
                      <w:sz w:val="21"/>
                      <w:szCs w:val="21"/>
                      <w:highlight w:val="none"/>
                      <w:u w:val="none"/>
                      <w:lang w:val="en-US" w:eastAsia="zh-CN" w:bidi="ar-SA"/>
                    </w:rPr>
                    <w:t>全面提升臭氧污染及重污染夭气协同管控实效</w:t>
                  </w:r>
                </w:p>
              </w:tc>
              <w:tc>
                <w:tcPr>
                  <w:tcW w:w="1371" w:type="dxa"/>
                  <w:tcBorders>
                    <w:tl2br w:val="nil"/>
                    <w:tr2bl w:val="nil"/>
                  </w:tcBorders>
                  <w:noWrap w:val="0"/>
                  <w:vAlign w:val="center"/>
                </w:tcPr>
                <w:p w14:paraId="1DB91789">
                  <w:pPr>
                    <w:autoSpaceDE w:val="0"/>
                    <w:autoSpaceDN w:val="0"/>
                    <w:spacing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cs="Times New Roman"/>
                      <w:b w:val="0"/>
                      <w:bCs w:val="0"/>
                      <w:color w:val="auto"/>
                      <w:kern w:val="2"/>
                      <w:sz w:val="21"/>
                      <w:szCs w:val="21"/>
                      <w:highlight w:val="none"/>
                      <w:u w:val="none"/>
                      <w:lang w:val="en-US" w:eastAsia="zh-CN" w:bidi="ar-SA"/>
                    </w:rPr>
                    <w:t>企业应对</w:t>
                  </w:r>
                  <w:r>
                    <w:rPr>
                      <w:rFonts w:hint="default" w:ascii="Times New Roman" w:hAnsi="Times New Roman" w:eastAsia="宋体" w:cs="Times New Roman"/>
                      <w:b w:val="0"/>
                      <w:bCs w:val="0"/>
                      <w:color w:val="auto"/>
                      <w:kern w:val="2"/>
                      <w:sz w:val="21"/>
                      <w:szCs w:val="21"/>
                      <w:highlight w:val="none"/>
                      <w:u w:val="none"/>
                      <w:lang w:val="en-US" w:eastAsia="zh-CN" w:bidi="ar-SA"/>
                    </w:rPr>
                    <w:t>重污染</w:t>
                  </w:r>
                  <w:r>
                    <w:rPr>
                      <w:rFonts w:hint="eastAsia" w:cs="Times New Roman"/>
                      <w:b w:val="0"/>
                      <w:bCs w:val="0"/>
                      <w:color w:val="auto"/>
                      <w:kern w:val="2"/>
                      <w:sz w:val="21"/>
                      <w:szCs w:val="21"/>
                      <w:highlight w:val="none"/>
                      <w:u w:val="none"/>
                      <w:lang w:val="en-US" w:eastAsia="zh-CN" w:bidi="ar-SA"/>
                    </w:rPr>
                    <w:t>天</w:t>
                  </w:r>
                  <w:r>
                    <w:rPr>
                      <w:rFonts w:hint="default" w:ascii="Times New Roman" w:hAnsi="Times New Roman" w:eastAsia="宋体" w:cs="Times New Roman"/>
                      <w:b w:val="0"/>
                      <w:bCs w:val="0"/>
                      <w:color w:val="auto"/>
                      <w:kern w:val="2"/>
                      <w:sz w:val="21"/>
                      <w:szCs w:val="21"/>
                      <w:highlight w:val="none"/>
                      <w:u w:val="none"/>
                      <w:lang w:val="en-US" w:eastAsia="zh-CN" w:bidi="ar-SA"/>
                    </w:rPr>
                    <w:t>气预警响应机制，规范重污染天气预警、启动、响应、解除工作流程，强化区域联合应对</w:t>
                  </w:r>
                </w:p>
              </w:tc>
              <w:tc>
                <w:tcPr>
                  <w:tcW w:w="884" w:type="dxa"/>
                  <w:tcBorders>
                    <w:tl2br w:val="nil"/>
                    <w:tr2bl w:val="nil"/>
                  </w:tcBorders>
                  <w:noWrap w:val="0"/>
                  <w:vAlign w:val="center"/>
                </w:tcPr>
                <w:p w14:paraId="6C96C5C3">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符合</w:t>
                  </w:r>
                </w:p>
              </w:tc>
            </w:tr>
          </w:tbl>
          <w:p w14:paraId="4089F73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kern w:val="0"/>
                <w:sz w:val="24"/>
                <w:szCs w:val="24"/>
                <w:highlight w:val="none"/>
                <w:lang w:val="en-US" w:eastAsia="zh-CN"/>
              </w:rPr>
              <w:t>由以上分析可知，本项目建设符合《平顶山市202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年蓝天保卫战实施方案》（平环委办〔202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号）中相关要求</w:t>
            </w:r>
            <w:r>
              <w:rPr>
                <w:rFonts w:hint="default" w:ascii="Times New Roman" w:hAnsi="Times New Roman" w:eastAsia="宋体" w:cs="Times New Roman"/>
                <w:color w:val="auto"/>
                <w:sz w:val="24"/>
                <w:szCs w:val="24"/>
                <w:highlight w:val="none"/>
              </w:rPr>
              <w:t>。</w:t>
            </w:r>
          </w:p>
          <w:p w14:paraId="32E3801A">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黑体" w:cs="Times New Roman"/>
                <w:b w:val="0"/>
                <w:bCs/>
                <w:color w:val="auto"/>
                <w:kern w:val="28"/>
                <w:sz w:val="24"/>
                <w:szCs w:val="40"/>
                <w:highlight w:val="none"/>
                <w:lang w:val="en-US" w:eastAsia="zh-CN" w:bidi="ar-SA"/>
              </w:rPr>
            </w:pPr>
            <w:r>
              <w:rPr>
                <w:rFonts w:hint="eastAsia" w:cs="Times New Roman"/>
                <w:b/>
                <w:bCs w:val="0"/>
                <w:color w:val="auto"/>
                <w:kern w:val="28"/>
                <w:sz w:val="24"/>
                <w:szCs w:val="40"/>
                <w:highlight w:val="none"/>
                <w:u w:val="none"/>
                <w:lang w:val="en-US" w:eastAsia="zh-CN" w:bidi="ar-SA"/>
              </w:rPr>
              <w:t>10</w:t>
            </w:r>
            <w:r>
              <w:rPr>
                <w:rFonts w:hint="default" w:ascii="Times New Roman" w:hAnsi="Times New Roman" w:eastAsia="宋体" w:cs="Times New Roman"/>
                <w:b/>
                <w:bCs w:val="0"/>
                <w:color w:val="auto"/>
                <w:kern w:val="28"/>
                <w:sz w:val="24"/>
                <w:szCs w:val="40"/>
                <w:highlight w:val="none"/>
                <w:u w:val="none"/>
                <w:lang w:val="en-US" w:eastAsia="zh-CN" w:bidi="ar-SA"/>
              </w:rPr>
              <w:t>、</w:t>
            </w:r>
            <w:r>
              <w:rPr>
                <w:rFonts w:hint="default" w:ascii="Times New Roman" w:hAnsi="Times New Roman" w:eastAsia="宋体" w:cs="Times New Roman"/>
                <w:b/>
                <w:bCs w:val="0"/>
                <w:color w:val="auto"/>
                <w:kern w:val="28"/>
                <w:sz w:val="24"/>
                <w:szCs w:val="40"/>
                <w:highlight w:val="none"/>
                <w:lang w:val="en-US" w:eastAsia="zh-CN" w:bidi="ar-SA"/>
              </w:rPr>
              <w:t>项目与《平顶山市</w:t>
            </w:r>
            <w:r>
              <w:rPr>
                <w:rFonts w:hint="default" w:ascii="Times New Roman" w:hAnsi="Times New Roman" w:cs="Times New Roman"/>
                <w:b/>
                <w:bCs w:val="0"/>
                <w:color w:val="auto"/>
                <w:kern w:val="28"/>
                <w:sz w:val="24"/>
                <w:szCs w:val="40"/>
                <w:highlight w:val="none"/>
                <w:lang w:val="en-US" w:eastAsia="zh-CN" w:bidi="ar-SA"/>
              </w:rPr>
              <w:t>202</w:t>
            </w:r>
            <w:r>
              <w:rPr>
                <w:rFonts w:hint="eastAsia" w:cs="Times New Roman"/>
                <w:b/>
                <w:bCs w:val="0"/>
                <w:color w:val="auto"/>
                <w:kern w:val="28"/>
                <w:sz w:val="24"/>
                <w:szCs w:val="40"/>
                <w:highlight w:val="none"/>
                <w:lang w:val="en-US" w:eastAsia="zh-CN" w:bidi="ar-SA"/>
              </w:rPr>
              <w:t>4</w:t>
            </w:r>
            <w:r>
              <w:rPr>
                <w:rFonts w:hint="default" w:ascii="Times New Roman" w:hAnsi="Times New Roman" w:cs="Times New Roman"/>
                <w:b/>
                <w:bCs w:val="0"/>
                <w:color w:val="auto"/>
                <w:kern w:val="28"/>
                <w:sz w:val="24"/>
                <w:szCs w:val="40"/>
                <w:highlight w:val="none"/>
                <w:lang w:val="en-US" w:eastAsia="zh-CN" w:bidi="ar-SA"/>
              </w:rPr>
              <w:t>年碧水保卫战实施方案</w:t>
            </w:r>
            <w:r>
              <w:rPr>
                <w:rFonts w:hint="default" w:ascii="Times New Roman" w:hAnsi="Times New Roman" w:eastAsia="宋体" w:cs="Times New Roman"/>
                <w:b/>
                <w:bCs w:val="0"/>
                <w:color w:val="auto"/>
                <w:kern w:val="28"/>
                <w:sz w:val="24"/>
                <w:szCs w:val="40"/>
                <w:highlight w:val="none"/>
                <w:lang w:val="en-US" w:eastAsia="zh-CN" w:bidi="ar-SA"/>
              </w:rPr>
              <w:t>》相符性分析</w:t>
            </w:r>
          </w:p>
          <w:p w14:paraId="79EAF6FA">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bCs w:val="0"/>
                <w:color w:val="auto"/>
                <w:kern w:val="28"/>
                <w:sz w:val="24"/>
                <w:szCs w:val="40"/>
                <w:highlight w:val="none"/>
                <w:u w:val="none"/>
                <w:lang w:val="en-US" w:eastAsia="zh-CN" w:bidi="ar-SA"/>
              </w:rPr>
            </w:pPr>
            <w:r>
              <w:rPr>
                <w:rFonts w:hint="default" w:ascii="Times New Roman" w:hAnsi="Times New Roman" w:eastAsia="宋体" w:cs="Times New Roman"/>
                <w:color w:val="auto"/>
                <w:kern w:val="0"/>
                <w:sz w:val="24"/>
                <w:szCs w:val="24"/>
                <w:highlight w:val="none"/>
                <w:lang w:val="en-US" w:eastAsia="zh-CN"/>
              </w:rPr>
              <w:t>本项目建设内容与《平顶山市202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年碧水保卫战实施方案》（平环委办〔202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号）中相关内容的相符性分析详见下表。</w:t>
            </w:r>
          </w:p>
          <w:p w14:paraId="23AF8E30">
            <w:pPr>
              <w:pStyle w:val="6"/>
              <w:keepNext w:val="0"/>
              <w:keepLines w:val="0"/>
              <w:pageBreakBefore w:val="0"/>
              <w:kinsoku/>
              <w:wordWrap/>
              <w:overflowPunct/>
              <w:topLinePunct w:val="0"/>
              <w:autoSpaceDE/>
              <w:autoSpaceDN/>
              <w:bidi w:val="0"/>
              <w:adjustRightInd/>
              <w:snapToGrid/>
              <w:spacing w:line="500" w:lineRule="exact"/>
              <w:ind w:firstLine="480" w:firstLineChars="20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黑体" w:cs="Times New Roman"/>
                <w:b w:val="0"/>
                <w:bCs w:val="0"/>
                <w:color w:val="auto"/>
                <w:sz w:val="24"/>
                <w:szCs w:val="24"/>
                <w:highlight w:val="none"/>
                <w:u w:val="none"/>
                <w:lang w:val="en-US" w:eastAsia="zh-CN"/>
              </w:rPr>
              <w:t>表1-</w:t>
            </w:r>
            <w:r>
              <w:rPr>
                <w:rFonts w:hint="eastAsia" w:eastAsia="黑体" w:cs="Times New Roman"/>
                <w:b w:val="0"/>
                <w:bCs w:val="0"/>
                <w:color w:val="auto"/>
                <w:sz w:val="24"/>
                <w:szCs w:val="24"/>
                <w:highlight w:val="none"/>
                <w:u w:val="none"/>
                <w:lang w:val="en-US" w:eastAsia="zh-CN"/>
              </w:rPr>
              <w:t>4</w:t>
            </w:r>
            <w:r>
              <w:rPr>
                <w:rFonts w:hint="default" w:ascii="Times New Roman" w:hAnsi="Times New Roman" w:eastAsia="黑体" w:cs="Times New Roman"/>
                <w:b w:val="0"/>
                <w:bCs w:val="0"/>
                <w:color w:val="auto"/>
                <w:sz w:val="24"/>
                <w:szCs w:val="24"/>
                <w:highlight w:val="none"/>
                <w:u w:val="none"/>
                <w:lang w:val="en-US" w:eastAsia="zh-CN"/>
              </w:rPr>
              <w:t xml:space="preserve">  本项目建设内容与上述文件符合性分析一览表</w:t>
            </w:r>
          </w:p>
          <w:tbl>
            <w:tblPr>
              <w:tblStyle w:val="21"/>
              <w:tblW w:w="73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Layout w:type="fixed"/>
              <w:tblCellMar>
                <w:top w:w="0" w:type="dxa"/>
                <w:left w:w="108" w:type="dxa"/>
                <w:bottom w:w="0" w:type="dxa"/>
                <w:right w:w="108" w:type="dxa"/>
              </w:tblCellMar>
            </w:tblPr>
            <w:tblGrid>
              <w:gridCol w:w="1141"/>
              <w:gridCol w:w="3628"/>
              <w:gridCol w:w="1738"/>
              <w:gridCol w:w="850"/>
            </w:tblGrid>
            <w:tr w14:paraId="45B14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327" w:hRule="atLeast"/>
                <w:jc w:val="center"/>
              </w:trPr>
              <w:tc>
                <w:tcPr>
                  <w:tcW w:w="1141" w:type="dxa"/>
                  <w:tcBorders>
                    <w:tl2br w:val="nil"/>
                    <w:tr2bl w:val="nil"/>
                  </w:tcBorders>
                  <w:noWrap w:val="0"/>
                  <w:vAlign w:val="center"/>
                </w:tcPr>
                <w:p w14:paraId="4D7E2B4E">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类别</w:t>
                  </w:r>
                </w:p>
              </w:tc>
              <w:tc>
                <w:tcPr>
                  <w:tcW w:w="3628" w:type="dxa"/>
                  <w:tcBorders>
                    <w:tl2br w:val="nil"/>
                    <w:tr2bl w:val="nil"/>
                  </w:tcBorders>
                  <w:noWrap w:val="0"/>
                  <w:vAlign w:val="center"/>
                </w:tcPr>
                <w:p w14:paraId="318FD002">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实施方案相关要求</w:t>
                  </w:r>
                </w:p>
              </w:tc>
              <w:tc>
                <w:tcPr>
                  <w:tcW w:w="1738" w:type="dxa"/>
                  <w:tcBorders>
                    <w:tl2br w:val="nil"/>
                    <w:tr2bl w:val="nil"/>
                  </w:tcBorders>
                  <w:noWrap w:val="0"/>
                  <w:vAlign w:val="center"/>
                </w:tcPr>
                <w:p w14:paraId="54F829F8">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本项目情况</w:t>
                  </w:r>
                </w:p>
              </w:tc>
              <w:tc>
                <w:tcPr>
                  <w:tcW w:w="850" w:type="dxa"/>
                  <w:tcBorders>
                    <w:tl2br w:val="nil"/>
                    <w:tr2bl w:val="nil"/>
                  </w:tcBorders>
                  <w:noWrap w:val="0"/>
                  <w:vAlign w:val="center"/>
                </w:tcPr>
                <w:p w14:paraId="397DB9E2">
                  <w:pPr>
                    <w:autoSpaceDE w:val="0"/>
                    <w:autoSpaceDN w:val="0"/>
                    <w:spacing w:line="240" w:lineRule="auto"/>
                    <w:jc w:val="center"/>
                    <w:rPr>
                      <w:rFonts w:hint="default" w:ascii="Times New Roman" w:hAnsi="Times New Roman" w:eastAsia="宋体" w:cs="Times New Roman"/>
                      <w:b/>
                      <w:bCs/>
                      <w:color w:val="auto"/>
                      <w:kern w:val="2"/>
                      <w:sz w:val="21"/>
                      <w:szCs w:val="21"/>
                      <w:highlight w:val="none"/>
                      <w:u w:val="none"/>
                      <w:lang w:val="zh-CN" w:eastAsia="zh-CN" w:bidi="ar-SA"/>
                    </w:rPr>
                  </w:pPr>
                  <w:r>
                    <w:rPr>
                      <w:rFonts w:hint="default" w:ascii="Times New Roman" w:hAnsi="Times New Roman" w:eastAsia="宋体" w:cs="Times New Roman"/>
                      <w:b/>
                      <w:bCs/>
                      <w:color w:val="auto"/>
                      <w:kern w:val="2"/>
                      <w:sz w:val="21"/>
                      <w:szCs w:val="21"/>
                      <w:highlight w:val="none"/>
                      <w:u w:val="none"/>
                      <w:lang w:val="zh-CN" w:eastAsia="zh-CN" w:bidi="ar-SA"/>
                    </w:rPr>
                    <w:t>符合性</w:t>
                  </w:r>
                </w:p>
              </w:tc>
            </w:tr>
            <w:tr w14:paraId="2E795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14:paraId="358FCBE3">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rPr>
                    <w:t>平顶山市202</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val="en-US" w:eastAsia="zh-CN"/>
                    </w:rPr>
                    <w:t>年碧水保卫战实施方案</w:t>
                  </w:r>
                </w:p>
              </w:tc>
              <w:tc>
                <w:tcPr>
                  <w:tcW w:w="3628" w:type="dxa"/>
                  <w:tcBorders>
                    <w:tl2br w:val="nil"/>
                    <w:tr2bl w:val="nil"/>
                  </w:tcBorders>
                  <w:noWrap w:val="0"/>
                  <w:vAlign w:val="center"/>
                </w:tcPr>
                <w:p w14:paraId="48B5AF35">
                  <w:pPr>
                    <w:autoSpaceDE w:val="0"/>
                    <w:autoSpaceDN w:val="0"/>
                    <w:spacing w:line="240" w:lineRule="auto"/>
                    <w:jc w:val="left"/>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积极推动再生水循环利用。</w:t>
                  </w:r>
                  <w:r>
                    <w:rPr>
                      <w:rFonts w:hint="default" w:ascii="Times New Roman" w:hAnsi="Times New Roman" w:eastAsia="宋体" w:cs="Times New Roman"/>
                      <w:b w:val="0"/>
                      <w:bCs w:val="0"/>
                      <w:color w:val="auto"/>
                      <w:kern w:val="2"/>
                      <w:sz w:val="21"/>
                      <w:szCs w:val="21"/>
                      <w:highlight w:val="none"/>
                      <w:u w:val="none"/>
                      <w:lang w:val="en-US" w:eastAsia="zh-CN" w:bidi="ar-SA"/>
                    </w:rPr>
                    <w:t>以现有污水处理厂为基础，合理布局再生水利用基础设施，推进区域污水资源化循环利用。推动各地谋划建设一批再生水循环利用项目，积极参与国家区域再生水循环利用试点，探索建立污染治理、生态保护、循环利用有机结合的区域再生水循环利用体系，不断提升再生水利用率。</w:t>
                  </w:r>
                </w:p>
              </w:tc>
              <w:tc>
                <w:tcPr>
                  <w:tcW w:w="1738" w:type="dxa"/>
                  <w:tcBorders>
                    <w:tl2br w:val="nil"/>
                    <w:tr2bl w:val="nil"/>
                  </w:tcBorders>
                  <w:noWrap w:val="0"/>
                  <w:vAlign w:val="center"/>
                </w:tcPr>
                <w:p w14:paraId="5B2DC73D">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本项目</w:t>
                  </w:r>
                  <w:r>
                    <w:rPr>
                      <w:rFonts w:hint="default" w:ascii="Times New Roman" w:hAnsi="Times New Roman" w:cs="Times New Roman"/>
                      <w:b w:val="0"/>
                      <w:bCs w:val="0"/>
                      <w:color w:val="auto"/>
                      <w:kern w:val="2"/>
                      <w:sz w:val="21"/>
                      <w:szCs w:val="21"/>
                      <w:highlight w:val="none"/>
                      <w:u w:val="none"/>
                      <w:lang w:val="en-US" w:eastAsia="zh-CN" w:bidi="ar-SA"/>
                    </w:rPr>
                    <w:t>厂区内设置</w:t>
                  </w:r>
                  <w:r>
                    <w:rPr>
                      <w:rFonts w:hint="eastAsia" w:cs="Times New Roman"/>
                      <w:b w:val="0"/>
                      <w:bCs w:val="0"/>
                      <w:color w:val="auto"/>
                      <w:kern w:val="2"/>
                      <w:sz w:val="21"/>
                      <w:szCs w:val="21"/>
                      <w:highlight w:val="none"/>
                      <w:u w:val="none"/>
                      <w:lang w:val="en-US" w:eastAsia="zh-CN" w:bidi="ar-SA"/>
                    </w:rPr>
                    <w:t>隔油</w:t>
                  </w:r>
                  <w:r>
                    <w:rPr>
                      <w:rFonts w:hint="default" w:ascii="Times New Roman" w:hAnsi="Times New Roman" w:cs="Times New Roman"/>
                      <w:b w:val="0"/>
                      <w:bCs w:val="0"/>
                      <w:color w:val="auto"/>
                      <w:kern w:val="2"/>
                      <w:sz w:val="21"/>
                      <w:szCs w:val="21"/>
                      <w:highlight w:val="none"/>
                      <w:u w:val="none"/>
                      <w:lang w:val="en-US" w:eastAsia="zh-CN" w:bidi="ar-SA"/>
                    </w:rPr>
                    <w:t>池</w:t>
                  </w:r>
                  <w:r>
                    <w:rPr>
                      <w:rFonts w:hint="eastAsia" w:cs="Times New Roman"/>
                      <w:b w:val="0"/>
                      <w:bCs w:val="0"/>
                      <w:color w:val="auto"/>
                      <w:kern w:val="2"/>
                      <w:sz w:val="21"/>
                      <w:szCs w:val="21"/>
                      <w:highlight w:val="none"/>
                      <w:u w:val="none"/>
                      <w:lang w:val="en-US" w:eastAsia="zh-CN" w:bidi="ar-SA"/>
                    </w:rPr>
                    <w:t>、废水处理设施、化粪池</w:t>
                  </w:r>
                  <w:r>
                    <w:rPr>
                      <w:rFonts w:hint="default" w:ascii="Times New Roman" w:hAnsi="Times New Roman" w:cs="Times New Roman"/>
                      <w:b w:val="0"/>
                      <w:bCs w:val="0"/>
                      <w:color w:val="auto"/>
                      <w:kern w:val="2"/>
                      <w:sz w:val="21"/>
                      <w:szCs w:val="21"/>
                      <w:highlight w:val="none"/>
                      <w:u w:val="none"/>
                      <w:lang w:val="en-US" w:eastAsia="zh-CN" w:bidi="ar-SA"/>
                    </w:rPr>
                    <w:t>等</w:t>
                  </w:r>
                  <w:r>
                    <w:rPr>
                      <w:rFonts w:hint="eastAsia" w:cs="Times New Roman"/>
                      <w:b w:val="0"/>
                      <w:bCs w:val="0"/>
                      <w:color w:val="auto"/>
                      <w:kern w:val="2"/>
                      <w:sz w:val="21"/>
                      <w:szCs w:val="21"/>
                      <w:highlight w:val="none"/>
                      <w:u w:val="none"/>
                      <w:lang w:val="en-US" w:eastAsia="zh-CN" w:bidi="ar-SA"/>
                    </w:rPr>
                    <w:t>基础</w:t>
                  </w:r>
                  <w:r>
                    <w:rPr>
                      <w:rFonts w:hint="default" w:ascii="Times New Roman" w:hAnsi="Times New Roman" w:cs="Times New Roman"/>
                      <w:b w:val="0"/>
                      <w:bCs w:val="0"/>
                      <w:color w:val="auto"/>
                      <w:kern w:val="2"/>
                      <w:sz w:val="21"/>
                      <w:szCs w:val="21"/>
                      <w:highlight w:val="none"/>
                      <w:u w:val="none"/>
                      <w:lang w:val="en-US" w:eastAsia="zh-CN" w:bidi="ar-SA"/>
                    </w:rPr>
                    <w:t>设施，</w:t>
                  </w:r>
                  <w:r>
                    <w:rPr>
                      <w:rFonts w:hint="eastAsia" w:cs="Times New Roman"/>
                      <w:b w:val="0"/>
                      <w:bCs w:val="0"/>
                      <w:color w:val="auto"/>
                      <w:kern w:val="2"/>
                      <w:sz w:val="21"/>
                      <w:szCs w:val="21"/>
                      <w:highlight w:val="none"/>
                      <w:u w:val="none"/>
                      <w:lang w:val="en-US" w:eastAsia="zh-CN" w:bidi="ar-SA"/>
                    </w:rPr>
                    <w:t>对于冷却废水可循环利用的循环利用减少水资源的浪费，一些生产废水和生活污水经过处理后排入市政污水管网</w:t>
                  </w:r>
                  <w:r>
                    <w:rPr>
                      <w:rFonts w:hint="default" w:ascii="Times New Roman" w:hAnsi="Times New Roman" w:cs="Times New Roman"/>
                      <w:b w:val="0"/>
                      <w:bCs w:val="0"/>
                      <w:color w:val="auto"/>
                      <w:kern w:val="2"/>
                      <w:sz w:val="21"/>
                      <w:szCs w:val="21"/>
                      <w:highlight w:val="none"/>
                      <w:u w:val="none"/>
                      <w:lang w:val="en-US" w:eastAsia="zh-CN" w:bidi="ar-SA"/>
                    </w:rPr>
                    <w:t>。积极推动水资源循环利用</w:t>
                  </w:r>
                  <w:r>
                    <w:rPr>
                      <w:rFonts w:hint="default" w:ascii="Times New Roman" w:hAnsi="Times New Roman" w:eastAsia="宋体" w:cs="Times New Roman"/>
                      <w:b w:val="0"/>
                      <w:bCs/>
                      <w:color w:val="auto"/>
                      <w:u w:val="none"/>
                      <w:lang w:val="en-US" w:eastAsia="zh-CN"/>
                    </w:rPr>
                    <w:t>。</w:t>
                  </w:r>
                </w:p>
              </w:tc>
              <w:tc>
                <w:tcPr>
                  <w:tcW w:w="850" w:type="dxa"/>
                  <w:tcBorders>
                    <w:tl2br w:val="nil"/>
                    <w:tr2bl w:val="nil"/>
                  </w:tcBorders>
                  <w:noWrap w:val="0"/>
                  <w:vAlign w:val="center"/>
                </w:tcPr>
                <w:p w14:paraId="5EA94B20">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符合</w:t>
                  </w:r>
                </w:p>
              </w:tc>
            </w:tr>
            <w:tr w14:paraId="73892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3266" w:hRule="atLeast"/>
                <w:jc w:val="center"/>
              </w:trPr>
              <w:tc>
                <w:tcPr>
                  <w:tcW w:w="1141" w:type="dxa"/>
                  <w:vMerge w:val="continue"/>
                  <w:tcBorders>
                    <w:tl2br w:val="nil"/>
                    <w:tr2bl w:val="nil"/>
                  </w:tcBorders>
                  <w:noWrap w:val="0"/>
                  <w:vAlign w:val="center"/>
                </w:tcPr>
                <w:p w14:paraId="651A9D1E">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628" w:type="dxa"/>
                  <w:tcBorders>
                    <w:tl2br w:val="nil"/>
                    <w:tr2bl w:val="nil"/>
                  </w:tcBorders>
                  <w:noWrap w:val="0"/>
                  <w:vAlign w:val="center"/>
                </w:tcPr>
                <w:p w14:paraId="09373396">
                  <w:pPr>
                    <w:autoSpaceDE w:val="0"/>
                    <w:autoSpaceDN w:val="0"/>
                    <w:spacing w:line="240" w:lineRule="auto"/>
                    <w:jc w:val="left"/>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实施工业废水循环利用工程。</w:t>
                  </w:r>
                  <w:r>
                    <w:rPr>
                      <w:rFonts w:hint="default" w:ascii="Times New Roman" w:hAnsi="Times New Roman" w:eastAsia="宋体" w:cs="Times New Roman"/>
                      <w:b w:val="0"/>
                      <w:bCs w:val="0"/>
                      <w:color w:val="auto"/>
                      <w:kern w:val="2"/>
                      <w:sz w:val="21"/>
                      <w:szCs w:val="21"/>
                      <w:highlight w:val="none"/>
                      <w:u w:val="none"/>
                      <w:lang w:val="en-US" w:eastAsia="zh-CN" w:bidi="ar-SA"/>
                    </w:rPr>
                    <w:t>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积极推动企业废水再生利用水质监测评价和用水管理，鼓励地方和重点用水企业搭建工业废水循环利用智慧管理平台。</w:t>
                  </w:r>
                </w:p>
              </w:tc>
              <w:tc>
                <w:tcPr>
                  <w:tcW w:w="1738" w:type="dxa"/>
                  <w:tcBorders>
                    <w:tl2br w:val="nil"/>
                    <w:tr2bl w:val="nil"/>
                  </w:tcBorders>
                  <w:noWrap w:val="0"/>
                  <w:vAlign w:val="center"/>
                </w:tcPr>
                <w:p w14:paraId="05E282AB">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kern w:val="2"/>
                      <w:sz w:val="21"/>
                      <w:szCs w:val="21"/>
                      <w:highlight w:val="none"/>
                      <w:u w:val="none"/>
                      <w:lang w:val="en-US" w:eastAsia="zh-CN" w:bidi="ar-SA"/>
                    </w:rPr>
                    <w:t>根据本项目生产废水水质特点，厂区内设计</w:t>
                  </w:r>
                  <w:r>
                    <w:rPr>
                      <w:rFonts w:hint="eastAsia" w:cs="Times New Roman"/>
                      <w:b w:val="0"/>
                      <w:bCs w:val="0"/>
                      <w:color w:val="auto"/>
                      <w:kern w:val="2"/>
                      <w:sz w:val="21"/>
                      <w:szCs w:val="21"/>
                      <w:highlight w:val="none"/>
                      <w:u w:val="none"/>
                      <w:lang w:val="en-US" w:eastAsia="zh-CN" w:bidi="ar-SA"/>
                    </w:rPr>
                    <w:t>可循环</w:t>
                  </w:r>
                  <w:r>
                    <w:rPr>
                      <w:rFonts w:hint="default" w:ascii="Times New Roman" w:hAnsi="Times New Roman" w:eastAsia="宋体" w:cs="Times New Roman"/>
                      <w:b w:val="0"/>
                      <w:bCs w:val="0"/>
                      <w:color w:val="auto"/>
                      <w:kern w:val="2"/>
                      <w:sz w:val="21"/>
                      <w:szCs w:val="21"/>
                      <w:highlight w:val="none"/>
                      <w:u w:val="none"/>
                      <w:lang w:val="en-US" w:eastAsia="zh-CN" w:bidi="ar-SA"/>
                    </w:rPr>
                    <w:t>废水</w:t>
                  </w:r>
                  <w:r>
                    <w:rPr>
                      <w:rFonts w:hint="eastAsia" w:cs="Times New Roman"/>
                      <w:b w:val="0"/>
                      <w:bCs w:val="0"/>
                      <w:color w:val="auto"/>
                      <w:kern w:val="2"/>
                      <w:sz w:val="21"/>
                      <w:szCs w:val="21"/>
                      <w:highlight w:val="none"/>
                      <w:u w:val="none"/>
                      <w:lang w:val="en-US" w:eastAsia="zh-CN" w:bidi="ar-SA"/>
                    </w:rPr>
                    <w:t>进行</w:t>
                  </w:r>
                  <w:r>
                    <w:rPr>
                      <w:rFonts w:hint="default" w:ascii="Times New Roman" w:hAnsi="Times New Roman" w:eastAsia="宋体" w:cs="Times New Roman"/>
                      <w:b w:val="0"/>
                      <w:bCs w:val="0"/>
                      <w:color w:val="auto"/>
                      <w:kern w:val="2"/>
                      <w:sz w:val="21"/>
                      <w:szCs w:val="21"/>
                      <w:highlight w:val="none"/>
                      <w:u w:val="none"/>
                      <w:lang w:val="en-US" w:eastAsia="zh-CN" w:bidi="ar-SA"/>
                    </w:rPr>
                    <w:t>循环利用和实现一水多用和梯级利用。</w:t>
                  </w:r>
                </w:p>
              </w:tc>
              <w:tc>
                <w:tcPr>
                  <w:tcW w:w="850" w:type="dxa"/>
                  <w:tcBorders>
                    <w:tl2br w:val="nil"/>
                    <w:tr2bl w:val="nil"/>
                  </w:tcBorders>
                  <w:noWrap w:val="0"/>
                  <w:vAlign w:val="center"/>
                </w:tcPr>
                <w:p w14:paraId="0A7BE73C">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符合</w:t>
                  </w:r>
                </w:p>
              </w:tc>
            </w:tr>
            <w:tr w14:paraId="387EC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108" w:type="dxa"/>
                  <w:bottom w:w="0" w:type="dxa"/>
                  <w:right w:w="108" w:type="dxa"/>
                </w:tblCellMar>
              </w:tblPrEx>
              <w:trPr>
                <w:trHeight w:val="484" w:hRule="atLeast"/>
                <w:jc w:val="center"/>
              </w:trPr>
              <w:tc>
                <w:tcPr>
                  <w:tcW w:w="1141" w:type="dxa"/>
                  <w:vMerge w:val="continue"/>
                  <w:tcBorders>
                    <w:tl2br w:val="nil"/>
                    <w:tr2bl w:val="nil"/>
                  </w:tcBorders>
                  <w:noWrap w:val="0"/>
                  <w:vAlign w:val="center"/>
                </w:tcPr>
                <w:p w14:paraId="70E5A365">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628" w:type="dxa"/>
                  <w:tcBorders>
                    <w:tl2br w:val="nil"/>
                    <w:tr2bl w:val="nil"/>
                  </w:tcBorders>
                  <w:noWrap w:val="0"/>
                  <w:vAlign w:val="center"/>
                </w:tcPr>
                <w:p w14:paraId="73629F1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推动企业绿色转型发展。</w:t>
                  </w:r>
                  <w:r>
                    <w:rPr>
                      <w:rFonts w:hint="default" w:ascii="Times New Roman" w:hAnsi="Times New Roman" w:eastAsia="宋体" w:cs="Times New Roman"/>
                      <w:b w:val="0"/>
                      <w:bCs w:val="0"/>
                      <w:color w:val="auto"/>
                      <w:kern w:val="2"/>
                      <w:sz w:val="21"/>
                      <w:szCs w:val="21"/>
                      <w:highlight w:val="none"/>
                      <w:u w:val="none"/>
                      <w:lang w:val="en-US" w:eastAsia="zh-CN" w:bidi="ar-SA"/>
                    </w:rPr>
                    <w:t>严格落实环境准入，落实“三线一单”生态环境分区管控体系，构建以“三线一单”为空间管控基础、环境影响评价为环境准入把关、排污许可为企业运行守法依据的生态环境管理框架。在造纸、焦化、氮肥、农副食品加工、皮革、印染、有色、原料药制造、电镀等重点水污染排放行业，深入推进清洁生产审核，推动清洁生产改造，减少单位产品耗水量和单位产品排污量，促进企业废水厂内回用。</w:t>
                  </w:r>
                </w:p>
              </w:tc>
              <w:tc>
                <w:tcPr>
                  <w:tcW w:w="1738" w:type="dxa"/>
                  <w:tcBorders>
                    <w:tl2br w:val="nil"/>
                    <w:tr2bl w:val="nil"/>
                  </w:tcBorders>
                  <w:noWrap w:val="0"/>
                  <w:vAlign w:val="center"/>
                </w:tcPr>
                <w:p w14:paraId="2B9F5E7F">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本项目符合“三线一单”的整体要求，</w:t>
                  </w:r>
                  <w:r>
                    <w:rPr>
                      <w:rFonts w:hint="default" w:ascii="Times New Roman" w:hAnsi="Times New Roman" w:cs="Times New Roman"/>
                      <w:b w:val="0"/>
                      <w:bCs w:val="0"/>
                      <w:color w:val="auto"/>
                      <w:kern w:val="2"/>
                      <w:sz w:val="21"/>
                      <w:szCs w:val="21"/>
                      <w:highlight w:val="none"/>
                      <w:u w:val="none"/>
                      <w:lang w:val="en-US" w:eastAsia="zh-CN" w:bidi="ar-SA"/>
                    </w:rPr>
                    <w:t>本</w:t>
                  </w:r>
                  <w:r>
                    <w:rPr>
                      <w:rFonts w:hint="default" w:ascii="Times New Roman" w:hAnsi="Times New Roman" w:eastAsia="宋体" w:cs="Times New Roman"/>
                      <w:b w:val="0"/>
                      <w:bCs w:val="0"/>
                      <w:color w:val="auto"/>
                      <w:kern w:val="2"/>
                      <w:sz w:val="21"/>
                      <w:szCs w:val="21"/>
                      <w:highlight w:val="none"/>
                      <w:u w:val="none"/>
                      <w:lang w:val="en-US" w:eastAsia="zh-CN" w:bidi="ar-SA"/>
                    </w:rPr>
                    <w:t>项目</w:t>
                  </w:r>
                  <w:r>
                    <w:rPr>
                      <w:rFonts w:hint="default" w:ascii="Times New Roman" w:hAnsi="Times New Roman" w:cs="Times New Roman"/>
                      <w:b w:val="0"/>
                      <w:bCs w:val="0"/>
                      <w:color w:val="auto"/>
                      <w:kern w:val="2"/>
                      <w:sz w:val="21"/>
                      <w:szCs w:val="21"/>
                      <w:highlight w:val="none"/>
                      <w:u w:val="none"/>
                      <w:lang w:val="en-US" w:eastAsia="zh-CN" w:bidi="ar-SA"/>
                    </w:rPr>
                    <w:t>不</w:t>
                  </w:r>
                  <w:r>
                    <w:rPr>
                      <w:rFonts w:hint="default" w:ascii="Times New Roman" w:hAnsi="Times New Roman" w:eastAsia="宋体" w:cs="Times New Roman"/>
                      <w:b w:val="0"/>
                      <w:bCs w:val="0"/>
                      <w:color w:val="auto"/>
                      <w:kern w:val="2"/>
                      <w:sz w:val="21"/>
                      <w:szCs w:val="21"/>
                      <w:highlight w:val="none"/>
                      <w:u w:val="none"/>
                      <w:lang w:val="en-US" w:eastAsia="zh-CN" w:bidi="ar-SA"/>
                    </w:rPr>
                    <w:t>属于</w:t>
                  </w:r>
                  <w:r>
                    <w:rPr>
                      <w:rFonts w:hint="default" w:ascii="Times New Roman" w:hAnsi="Times New Roman" w:cs="Times New Roman"/>
                      <w:b w:val="0"/>
                      <w:bCs w:val="0"/>
                      <w:color w:val="auto"/>
                      <w:kern w:val="2"/>
                      <w:sz w:val="21"/>
                      <w:szCs w:val="21"/>
                      <w:highlight w:val="none"/>
                      <w:u w:val="none"/>
                      <w:lang w:val="en-US" w:eastAsia="zh-CN" w:bidi="ar-SA"/>
                    </w:rPr>
                    <w:t>重点水污染企业，</w:t>
                  </w:r>
                  <w:r>
                    <w:rPr>
                      <w:rFonts w:hint="default" w:ascii="Times New Roman" w:hAnsi="Times New Roman" w:eastAsia="宋体" w:cs="Times New Roman"/>
                      <w:b w:val="0"/>
                      <w:bCs w:val="0"/>
                      <w:color w:val="auto"/>
                      <w:kern w:val="2"/>
                      <w:sz w:val="21"/>
                      <w:szCs w:val="21"/>
                      <w:highlight w:val="none"/>
                      <w:u w:val="none"/>
                      <w:lang w:val="en-US" w:eastAsia="zh-CN" w:bidi="ar-SA"/>
                    </w:rPr>
                    <w:t>积极推动清洁生产改造，加强生产原料利用率，降低生产过程中能源的用量。</w:t>
                  </w:r>
                </w:p>
              </w:tc>
              <w:tc>
                <w:tcPr>
                  <w:tcW w:w="850" w:type="dxa"/>
                  <w:tcBorders>
                    <w:tl2br w:val="nil"/>
                    <w:tr2bl w:val="nil"/>
                  </w:tcBorders>
                  <w:noWrap w:val="0"/>
                  <w:vAlign w:val="center"/>
                </w:tcPr>
                <w:p w14:paraId="39A8B2DA">
                  <w:pPr>
                    <w:autoSpaceDE w:val="0"/>
                    <w:autoSpaceDN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符合</w:t>
                  </w:r>
                </w:p>
              </w:tc>
            </w:tr>
          </w:tbl>
          <w:p w14:paraId="4A8D7F3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宋体" w:cs="Times New Roman"/>
                <w:color w:val="auto"/>
                <w:kern w:val="0"/>
                <w:sz w:val="24"/>
                <w:szCs w:val="24"/>
                <w:highlight w:val="none"/>
                <w:lang w:val="en-US" w:eastAsia="zh-CN"/>
              </w:rPr>
              <w:t>由以上分析可知，本项目建设符合《平顶山市202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年碧水保卫战实施方案》（平环委办〔202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号）中相关要求</w:t>
            </w:r>
            <w:r>
              <w:rPr>
                <w:rFonts w:hint="default" w:ascii="Times New Roman" w:hAnsi="Times New Roman" w:eastAsia="宋体" w:cs="Times New Roman"/>
                <w:color w:val="auto"/>
                <w:sz w:val="24"/>
                <w:szCs w:val="24"/>
                <w:highlight w:val="none"/>
              </w:rPr>
              <w:t>。</w:t>
            </w:r>
          </w:p>
          <w:p w14:paraId="0BA740A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val="0"/>
                <w:color w:val="auto"/>
                <w:kern w:val="28"/>
                <w:sz w:val="24"/>
                <w:szCs w:val="40"/>
                <w:highlight w:val="none"/>
                <w:u w:val="none"/>
                <w:lang w:val="en-US" w:eastAsia="zh-CN" w:bidi="ar-SA"/>
              </w:rPr>
              <w:t>1</w:t>
            </w:r>
            <w:r>
              <w:rPr>
                <w:rFonts w:hint="eastAsia" w:eastAsia="宋体" w:cs="Times New Roman"/>
                <w:b/>
                <w:bCs w:val="0"/>
                <w:color w:val="auto"/>
                <w:kern w:val="28"/>
                <w:sz w:val="24"/>
                <w:szCs w:val="40"/>
                <w:highlight w:val="none"/>
                <w:u w:val="none"/>
                <w:lang w:val="en-US" w:eastAsia="zh-CN" w:bidi="ar-SA"/>
              </w:rPr>
              <w:t>1</w:t>
            </w:r>
            <w:r>
              <w:rPr>
                <w:rFonts w:hint="default" w:ascii="Times New Roman" w:hAnsi="Times New Roman" w:eastAsia="宋体" w:cs="Times New Roman"/>
                <w:b/>
                <w:bCs w:val="0"/>
                <w:color w:val="auto"/>
                <w:kern w:val="28"/>
                <w:sz w:val="24"/>
                <w:szCs w:val="40"/>
                <w:highlight w:val="none"/>
                <w:u w:val="none"/>
                <w:lang w:val="en-US" w:eastAsia="zh-CN" w:bidi="ar-SA"/>
              </w:rPr>
              <w:t>、</w:t>
            </w:r>
            <w:r>
              <w:rPr>
                <w:rFonts w:hint="default" w:ascii="Times New Roman" w:hAnsi="Times New Roman" w:eastAsia="宋体" w:cs="Times New Roman"/>
                <w:b/>
                <w:bCs w:val="0"/>
                <w:color w:val="auto"/>
                <w:kern w:val="28"/>
                <w:sz w:val="24"/>
                <w:szCs w:val="40"/>
                <w:highlight w:val="none"/>
                <w:lang w:val="en-US" w:eastAsia="zh-CN" w:bidi="ar-SA"/>
              </w:rPr>
              <w:t>项目与《</w:t>
            </w:r>
            <w:r>
              <w:rPr>
                <w:rFonts w:hint="default" w:ascii="Times New Roman" w:hAnsi="Times New Roman" w:eastAsia="宋体" w:cs="Times New Roman"/>
                <w:b/>
                <w:bCs/>
                <w:color w:val="auto"/>
                <w:kern w:val="2"/>
                <w:sz w:val="24"/>
                <w:szCs w:val="24"/>
                <w:highlight w:val="none"/>
                <w:lang w:val="en-US" w:eastAsia="zh-CN" w:bidi="ar-SA"/>
              </w:rPr>
              <w:t>平顶山市202</w:t>
            </w: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年净土保卫战实施方案</w:t>
            </w:r>
            <w:r>
              <w:rPr>
                <w:rFonts w:hint="default" w:ascii="Times New Roman" w:hAnsi="Times New Roman" w:eastAsia="宋体" w:cs="Times New Roman"/>
                <w:b/>
                <w:bCs/>
                <w:color w:val="auto"/>
                <w:kern w:val="28"/>
                <w:sz w:val="24"/>
                <w:szCs w:val="40"/>
                <w:highlight w:val="none"/>
                <w:lang w:val="en-US" w:eastAsia="zh-CN" w:bidi="ar-SA"/>
              </w:rPr>
              <w:t>》</w:t>
            </w:r>
            <w:r>
              <w:rPr>
                <w:rFonts w:hint="default" w:ascii="Times New Roman" w:hAnsi="Times New Roman" w:eastAsia="宋体" w:cs="Times New Roman"/>
                <w:b/>
                <w:bCs w:val="0"/>
                <w:color w:val="auto"/>
                <w:kern w:val="28"/>
                <w:sz w:val="24"/>
                <w:szCs w:val="40"/>
                <w:highlight w:val="none"/>
                <w:lang w:val="en-US" w:eastAsia="zh-CN" w:bidi="ar-SA"/>
              </w:rPr>
              <w:t>相符性分析</w:t>
            </w:r>
          </w:p>
          <w:p w14:paraId="1793200A">
            <w:pPr>
              <w:widowControl/>
              <w:spacing w:line="52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rPr>
              <w:t>本项目建设内容与《</w:t>
            </w:r>
            <w:r>
              <w:rPr>
                <w:rFonts w:hint="default" w:ascii="Times New Roman" w:hAnsi="Times New Roman" w:eastAsia="宋体" w:cs="Times New Roman"/>
                <w:color w:val="auto"/>
                <w:kern w:val="2"/>
                <w:sz w:val="24"/>
                <w:szCs w:val="24"/>
                <w:highlight w:val="none"/>
                <w:lang w:val="en-US" w:eastAsia="zh-CN" w:bidi="ar-SA"/>
              </w:rPr>
              <w:t>平顶山市202</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年净土保卫战实施方案</w:t>
            </w:r>
            <w:r>
              <w:rPr>
                <w:rFonts w:hint="default" w:ascii="Times New Roman" w:hAnsi="Times New Roman" w:eastAsia="宋体" w:cs="Times New Roman"/>
                <w:color w:val="auto"/>
                <w:kern w:val="0"/>
                <w:sz w:val="24"/>
                <w:szCs w:val="24"/>
                <w:highlight w:val="none"/>
                <w:lang w:val="en-US" w:eastAsia="zh-CN"/>
              </w:rPr>
              <w:t>》（平环委办〔202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号）中相关内容的相符性分析详见下表。</w:t>
            </w:r>
          </w:p>
          <w:p w14:paraId="14099AEC">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lang w:val="en-US" w:eastAsia="zh-CN"/>
              </w:rPr>
              <w:t xml:space="preserve">表1-5  </w:t>
            </w:r>
            <w:r>
              <w:rPr>
                <w:rFonts w:hint="default" w:ascii="Times New Roman" w:hAnsi="Times New Roman" w:eastAsia="黑体" w:cs="Times New Roman"/>
                <w:b w:val="0"/>
                <w:bCs w:val="0"/>
                <w:color w:val="auto"/>
                <w:sz w:val="24"/>
                <w:szCs w:val="24"/>
                <w:highlight w:val="none"/>
                <w:u w:val="none"/>
                <w:lang w:val="en-US" w:eastAsia="zh-CN"/>
              </w:rPr>
              <w:t>本项目建设内容与上述文件符合性分析一览表</w:t>
            </w:r>
          </w:p>
          <w:tbl>
            <w:tblPr>
              <w:tblStyle w:val="22"/>
              <w:tblW w:w="7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386"/>
              <w:gridCol w:w="2497"/>
              <w:gridCol w:w="874"/>
            </w:tblGrid>
            <w:tr w14:paraId="1F9E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41" w:type="dxa"/>
                  <w:tcBorders>
                    <w:tl2br w:val="nil"/>
                    <w:tr2bl w:val="nil"/>
                  </w:tcBorders>
                  <w:noWrap w:val="0"/>
                  <w:vAlign w:val="center"/>
                </w:tcPr>
                <w:p w14:paraId="61B861C1">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Cs/>
                      <w:color w:val="auto"/>
                      <w:kern w:val="28"/>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lang w:eastAsia="zh-CN"/>
                    </w:rPr>
                    <w:t>文件</w:t>
                  </w:r>
                </w:p>
              </w:tc>
              <w:tc>
                <w:tcPr>
                  <w:tcW w:w="3386" w:type="dxa"/>
                  <w:tcBorders>
                    <w:tl2br w:val="nil"/>
                    <w:tr2bl w:val="nil"/>
                  </w:tcBorders>
                  <w:noWrap w:val="0"/>
                  <w:vAlign w:val="center"/>
                </w:tcPr>
                <w:p w14:paraId="2406355F">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Cs/>
                      <w:color w:val="auto"/>
                      <w:kern w:val="28"/>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rPr>
                    <w:t>主要内容</w:t>
                  </w:r>
                </w:p>
              </w:tc>
              <w:tc>
                <w:tcPr>
                  <w:tcW w:w="2497" w:type="dxa"/>
                  <w:tcBorders>
                    <w:tl2br w:val="nil"/>
                    <w:tr2bl w:val="nil"/>
                  </w:tcBorders>
                  <w:noWrap w:val="0"/>
                  <w:vAlign w:val="center"/>
                </w:tcPr>
                <w:p w14:paraId="228F7193">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bCs w:val="0"/>
                      <w:color w:val="auto"/>
                      <w:kern w:val="28"/>
                      <w:sz w:val="21"/>
                      <w:szCs w:val="21"/>
                      <w:highlight w:val="none"/>
                      <w:lang w:eastAsia="zh-CN"/>
                    </w:rPr>
                    <w:t>本项目情况</w:t>
                  </w:r>
                </w:p>
              </w:tc>
              <w:tc>
                <w:tcPr>
                  <w:tcW w:w="874" w:type="dxa"/>
                  <w:tcBorders>
                    <w:tl2br w:val="nil"/>
                    <w:tr2bl w:val="nil"/>
                  </w:tcBorders>
                  <w:noWrap w:val="0"/>
                  <w:vAlign w:val="center"/>
                </w:tcPr>
                <w:p w14:paraId="2C8F9F1C">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bCs w:val="0"/>
                      <w:color w:val="auto"/>
                      <w:kern w:val="28"/>
                      <w:sz w:val="21"/>
                      <w:szCs w:val="21"/>
                      <w:highlight w:val="none"/>
                    </w:rPr>
                    <w:t>相符性</w:t>
                  </w:r>
                </w:p>
              </w:tc>
            </w:tr>
            <w:tr w14:paraId="6E4F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41" w:type="dxa"/>
                  <w:vMerge w:val="restart"/>
                  <w:tcBorders>
                    <w:tl2br w:val="nil"/>
                    <w:tr2bl w:val="nil"/>
                  </w:tcBorders>
                  <w:noWrap w:val="0"/>
                  <w:vAlign w:val="center"/>
                </w:tcPr>
                <w:p w14:paraId="6D20FA3C">
                  <w:pPr>
                    <w:keepNext w:val="0"/>
                    <w:keepLines w:val="0"/>
                    <w:pageBreakBefore w:val="0"/>
                    <w:widowControl w:val="0"/>
                    <w:kinsoku/>
                    <w:wordWrap/>
                    <w:overflowPunct/>
                    <w:topLinePunct w:val="0"/>
                    <w:autoSpaceDE/>
                    <w:autoSpaceDN/>
                    <w:bidi w:val="0"/>
                    <w:adjustRightInd/>
                    <w:snapToGrid/>
                    <w:spacing w:line="300" w:lineRule="exact"/>
                    <w:jc w:val="left"/>
                    <w:textAlignment w:val="baseline"/>
                    <w:rPr>
                      <w:rFonts w:hint="default" w:ascii="Times New Roman" w:hAnsi="Times New Roman" w:eastAsia="宋体" w:cs="Times New Roman"/>
                      <w:bCs/>
                      <w:color w:val="auto"/>
                      <w:kern w:val="28"/>
                      <w:sz w:val="21"/>
                      <w:szCs w:val="21"/>
                      <w:highlight w:val="none"/>
                      <w:u w:val="none"/>
                      <w:vertAlign w:val="baseline"/>
                      <w:lang w:eastAsia="zh-CN"/>
                    </w:rPr>
                  </w:pPr>
                  <w:r>
                    <w:rPr>
                      <w:rFonts w:hint="default" w:ascii="Times New Roman" w:hAnsi="Times New Roman" w:eastAsia="宋体" w:cs="Times New Roman"/>
                      <w:bCs/>
                      <w:color w:val="auto"/>
                      <w:kern w:val="28"/>
                      <w:sz w:val="21"/>
                      <w:szCs w:val="21"/>
                      <w:highlight w:val="none"/>
                      <w:lang w:val="en-US" w:eastAsia="zh-CN"/>
                    </w:rPr>
                    <w:t>平顶山市202</w:t>
                  </w:r>
                  <w:r>
                    <w:rPr>
                      <w:rFonts w:hint="eastAsia" w:cs="Times New Roman"/>
                      <w:bCs/>
                      <w:color w:val="auto"/>
                      <w:kern w:val="28"/>
                      <w:sz w:val="21"/>
                      <w:szCs w:val="21"/>
                      <w:highlight w:val="none"/>
                      <w:lang w:val="en-US" w:eastAsia="zh-CN"/>
                    </w:rPr>
                    <w:t>4</w:t>
                  </w:r>
                  <w:r>
                    <w:rPr>
                      <w:rFonts w:hint="default" w:ascii="Times New Roman" w:hAnsi="Times New Roman" w:eastAsia="宋体" w:cs="Times New Roman"/>
                      <w:bCs/>
                      <w:color w:val="auto"/>
                      <w:kern w:val="28"/>
                      <w:sz w:val="21"/>
                      <w:szCs w:val="21"/>
                      <w:highlight w:val="none"/>
                      <w:lang w:val="en-US" w:eastAsia="zh-CN"/>
                    </w:rPr>
                    <w:t>年净土保卫战实施方案</w:t>
                  </w:r>
                </w:p>
              </w:tc>
              <w:tc>
                <w:tcPr>
                  <w:tcW w:w="3386" w:type="dxa"/>
                  <w:tcBorders>
                    <w:tl2br w:val="nil"/>
                    <w:tr2bl w:val="nil"/>
                  </w:tcBorders>
                  <w:noWrap w:val="0"/>
                  <w:vAlign w:val="center"/>
                </w:tcPr>
                <w:p w14:paraId="4678CD4E">
                  <w:pPr>
                    <w:keepNext w:val="0"/>
                    <w:keepLines w:val="0"/>
                    <w:pageBreakBefore w:val="0"/>
                    <w:widowControl w:val="0"/>
                    <w:kinsoku/>
                    <w:wordWrap/>
                    <w:overflowPunct/>
                    <w:topLinePunct w:val="0"/>
                    <w:autoSpaceDE/>
                    <w:autoSpaceDN/>
                    <w:bidi w:val="0"/>
                    <w:adjustRightInd/>
                    <w:snapToGrid/>
                    <w:spacing w:line="300" w:lineRule="exact"/>
                    <w:jc w:val="both"/>
                    <w:textAlignment w:val="baseline"/>
                    <w:rPr>
                      <w:rFonts w:hint="default" w:ascii="Times New Roman" w:hAnsi="Times New Roman" w:eastAsia="宋体" w:cs="Times New Roman"/>
                      <w:bCs/>
                      <w:color w:val="auto"/>
                      <w:kern w:val="28"/>
                      <w:sz w:val="21"/>
                      <w:szCs w:val="21"/>
                      <w:highlight w:val="none"/>
                      <w:u w:val="none"/>
                      <w:vertAlign w:val="baseline"/>
                      <w:lang w:eastAsia="zh-CN"/>
                    </w:rPr>
                  </w:pPr>
                  <w:r>
                    <w:rPr>
                      <w:rFonts w:hint="default" w:ascii="Times New Roman" w:hAnsi="Times New Roman" w:eastAsia="宋体" w:cs="Times New Roman"/>
                      <w:bCs/>
                      <w:color w:val="auto"/>
                      <w:kern w:val="28"/>
                      <w:sz w:val="21"/>
                      <w:szCs w:val="21"/>
                      <w:highlight w:val="none"/>
                      <w:u w:val="none"/>
                      <w:vertAlign w:val="baseline"/>
                      <w:lang w:eastAsia="zh-CN"/>
                    </w:rPr>
                    <w:t>深化危险废物规范化评估，开展专项整治行动。优化危险废物规范化评估方式方法，推动危险废物管理向深度、广度拓展，认真组织开展危险废物规范化评估工作。严格落实生态环境部《危险废物自行利用处置专项整治行动方案》要求，开展专项排查整治，建立危险废物自行利用处置专项整治单位清单，排查整治危险废物自行利用处置环境风险，指导督促相关单位及时整治。</w:t>
                  </w:r>
                </w:p>
              </w:tc>
              <w:tc>
                <w:tcPr>
                  <w:tcW w:w="2497" w:type="dxa"/>
                  <w:tcBorders>
                    <w:tl2br w:val="nil"/>
                    <w:tr2bl w:val="nil"/>
                  </w:tcBorders>
                  <w:noWrap w:val="0"/>
                  <w:vAlign w:val="center"/>
                </w:tcPr>
                <w:p w14:paraId="585AA7C7">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本项目营运期产生的</w:t>
                  </w:r>
                  <w:r>
                    <w:rPr>
                      <w:rFonts w:hint="eastAsia" w:cs="Times New Roman"/>
                      <w:b w:val="0"/>
                      <w:bCs/>
                      <w:color w:val="auto"/>
                      <w:sz w:val="21"/>
                      <w:szCs w:val="21"/>
                      <w:highlight w:val="none"/>
                      <w:u w:val="none"/>
                      <w:lang w:val="en-US" w:eastAsia="zh-CN"/>
                    </w:rPr>
                    <w:t>一般</w:t>
                  </w:r>
                  <w:r>
                    <w:rPr>
                      <w:rFonts w:hint="default" w:ascii="Times New Roman" w:hAnsi="Times New Roman" w:eastAsia="宋体" w:cs="Times New Roman"/>
                      <w:b w:val="0"/>
                      <w:bCs/>
                      <w:color w:val="auto"/>
                      <w:sz w:val="21"/>
                      <w:szCs w:val="21"/>
                      <w:highlight w:val="none"/>
                      <w:u w:val="none"/>
                      <w:lang w:val="en-US" w:eastAsia="zh-CN"/>
                    </w:rPr>
                    <w:t>固体废物主要为</w:t>
                  </w:r>
                  <w:r>
                    <w:rPr>
                      <w:rFonts w:hint="eastAsia" w:cs="Times New Roman"/>
                      <w:b w:val="0"/>
                      <w:bCs/>
                      <w:color w:val="auto"/>
                      <w:sz w:val="21"/>
                      <w:szCs w:val="21"/>
                      <w:highlight w:val="none"/>
                      <w:u w:val="none"/>
                      <w:lang w:val="en-US" w:eastAsia="zh-CN"/>
                    </w:rPr>
                    <w:t>原料残渣、废水沉淀</w:t>
                  </w:r>
                  <w:r>
                    <w:rPr>
                      <w:rFonts w:hint="default" w:ascii="Times New Roman" w:hAnsi="Times New Roman" w:cs="Times New Roman"/>
                      <w:b w:val="0"/>
                      <w:bCs/>
                      <w:color w:val="auto"/>
                      <w:sz w:val="21"/>
                      <w:szCs w:val="21"/>
                      <w:highlight w:val="none"/>
                      <w:u w:val="none"/>
                      <w:lang w:val="en-US" w:eastAsia="zh-CN"/>
                    </w:rPr>
                    <w:t>等等</w:t>
                  </w:r>
                  <w:r>
                    <w:rPr>
                      <w:rFonts w:hint="default" w:ascii="Times New Roman" w:hAnsi="Times New Roman" w:eastAsia="宋体" w:cs="Times New Roman"/>
                      <w:b w:val="0"/>
                      <w:bCs/>
                      <w:color w:val="auto"/>
                      <w:sz w:val="21"/>
                      <w:szCs w:val="21"/>
                      <w:highlight w:val="none"/>
                      <w:u w:val="none"/>
                      <w:lang w:val="en-US" w:eastAsia="zh-CN"/>
                    </w:rPr>
                    <w:t>，经收集后暂存于一般固废暂存区，</w:t>
                  </w:r>
                  <w:r>
                    <w:rPr>
                      <w:rFonts w:hint="eastAsia" w:cs="Times New Roman"/>
                      <w:b w:val="0"/>
                      <w:bCs/>
                      <w:color w:val="auto"/>
                      <w:sz w:val="21"/>
                      <w:szCs w:val="21"/>
                      <w:highlight w:val="none"/>
                      <w:u w:val="none"/>
                      <w:lang w:val="en-US" w:eastAsia="zh-CN"/>
                    </w:rPr>
                    <w:t>或外售至养殖户</w:t>
                  </w:r>
                  <w:r>
                    <w:rPr>
                      <w:rFonts w:hint="default" w:ascii="Times New Roman" w:hAnsi="Times New Roman" w:eastAsia="宋体" w:cs="Times New Roman"/>
                      <w:b w:val="0"/>
                      <w:bCs/>
                      <w:color w:val="auto"/>
                      <w:sz w:val="21"/>
                      <w:szCs w:val="21"/>
                      <w:highlight w:val="none"/>
                      <w:u w:val="none"/>
                      <w:lang w:val="en-US" w:eastAsia="zh-CN"/>
                    </w:rPr>
                    <w:t>，日常营运期加强固废的规范管理</w:t>
                  </w:r>
                  <w:r>
                    <w:rPr>
                      <w:rFonts w:hint="eastAsia" w:cs="Times New Roman"/>
                      <w:b w:val="0"/>
                      <w:bCs/>
                      <w:color w:val="auto"/>
                      <w:sz w:val="21"/>
                      <w:szCs w:val="21"/>
                      <w:highlight w:val="none"/>
                      <w:u w:val="none"/>
                      <w:lang w:val="en-US" w:eastAsia="zh-CN"/>
                    </w:rPr>
                    <w:t>，</w:t>
                  </w:r>
                  <w:r>
                    <w:rPr>
                      <w:rFonts w:hint="default" w:ascii="Times New Roman" w:hAnsi="Times New Roman" w:eastAsia="宋体" w:cs="Times New Roman"/>
                      <w:bCs/>
                      <w:color w:val="auto"/>
                      <w:kern w:val="28"/>
                      <w:sz w:val="21"/>
                      <w:szCs w:val="21"/>
                      <w:highlight w:val="none"/>
                      <w:u w:val="none"/>
                      <w:vertAlign w:val="baseline"/>
                      <w:lang w:eastAsia="zh-CN"/>
                    </w:rPr>
                    <w:t>推进固废监管信息化建设</w:t>
                  </w:r>
                </w:p>
              </w:tc>
              <w:tc>
                <w:tcPr>
                  <w:tcW w:w="874" w:type="dxa"/>
                  <w:tcBorders>
                    <w:tl2br w:val="nil"/>
                    <w:tr2bl w:val="nil"/>
                  </w:tcBorders>
                  <w:noWrap w:val="0"/>
                  <w:vAlign w:val="center"/>
                </w:tcPr>
                <w:p w14:paraId="0976991F">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kern w:val="28"/>
                      <w:sz w:val="21"/>
                      <w:szCs w:val="21"/>
                      <w:highlight w:val="none"/>
                      <w:lang w:val="en-US" w:eastAsia="zh-CN"/>
                    </w:rPr>
                    <w:t>符合</w:t>
                  </w:r>
                </w:p>
              </w:tc>
            </w:tr>
            <w:tr w14:paraId="2BFD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641" w:type="dxa"/>
                  <w:vMerge w:val="continue"/>
                  <w:tcBorders>
                    <w:tl2br w:val="nil"/>
                    <w:tr2bl w:val="nil"/>
                  </w:tcBorders>
                  <w:noWrap w:val="0"/>
                  <w:vAlign w:val="center"/>
                </w:tcPr>
                <w:p w14:paraId="5F480F3E">
                  <w:pPr>
                    <w:keepNext w:val="0"/>
                    <w:keepLines w:val="0"/>
                    <w:pageBreakBefore w:val="0"/>
                    <w:widowControl w:val="0"/>
                    <w:kinsoku/>
                    <w:wordWrap/>
                    <w:overflowPunct/>
                    <w:topLinePunct w:val="0"/>
                    <w:autoSpaceDE/>
                    <w:autoSpaceDN/>
                    <w:bidi w:val="0"/>
                    <w:adjustRightInd/>
                    <w:snapToGrid/>
                    <w:spacing w:line="300" w:lineRule="exact"/>
                    <w:jc w:val="left"/>
                    <w:textAlignment w:val="baseline"/>
                    <w:rPr>
                      <w:rFonts w:hint="default" w:ascii="Times New Roman" w:hAnsi="Times New Roman" w:eastAsia="宋体" w:cs="Times New Roman"/>
                      <w:bCs/>
                      <w:color w:val="auto"/>
                      <w:kern w:val="28"/>
                      <w:sz w:val="21"/>
                      <w:szCs w:val="21"/>
                      <w:highlight w:val="none"/>
                      <w:lang w:val="en-US" w:eastAsia="zh-CN"/>
                    </w:rPr>
                  </w:pPr>
                </w:p>
              </w:tc>
              <w:tc>
                <w:tcPr>
                  <w:tcW w:w="3386" w:type="dxa"/>
                  <w:tcBorders>
                    <w:tl2br w:val="nil"/>
                    <w:tr2bl w:val="nil"/>
                  </w:tcBorders>
                  <w:noWrap w:val="0"/>
                  <w:vAlign w:val="center"/>
                </w:tcPr>
                <w:p w14:paraId="648FE8CE">
                  <w:pPr>
                    <w:keepNext w:val="0"/>
                    <w:keepLines w:val="0"/>
                    <w:pageBreakBefore w:val="0"/>
                    <w:widowControl w:val="0"/>
                    <w:kinsoku/>
                    <w:wordWrap/>
                    <w:overflowPunct/>
                    <w:topLinePunct w:val="0"/>
                    <w:autoSpaceDE/>
                    <w:autoSpaceDN/>
                    <w:bidi w:val="0"/>
                    <w:adjustRightInd/>
                    <w:snapToGrid/>
                    <w:spacing w:line="300" w:lineRule="exact"/>
                    <w:jc w:val="both"/>
                    <w:textAlignment w:val="baseline"/>
                    <w:rPr>
                      <w:rFonts w:hint="default" w:ascii="Times New Roman" w:hAnsi="Times New Roman" w:eastAsia="宋体" w:cs="Times New Roman"/>
                      <w:bCs/>
                      <w:color w:val="auto"/>
                      <w:kern w:val="28"/>
                      <w:sz w:val="21"/>
                      <w:szCs w:val="21"/>
                      <w:highlight w:val="none"/>
                      <w:u w:val="none"/>
                      <w:vertAlign w:val="baseline"/>
                      <w:lang w:eastAsia="zh-CN"/>
                    </w:rPr>
                  </w:pPr>
                  <w:r>
                    <w:rPr>
                      <w:rFonts w:hint="default" w:ascii="Times New Roman" w:hAnsi="Times New Roman" w:eastAsia="宋体" w:cs="Times New Roman"/>
                      <w:bCs/>
                      <w:color w:val="auto"/>
                      <w:kern w:val="28"/>
                      <w:sz w:val="21"/>
                      <w:szCs w:val="21"/>
                      <w:highlight w:val="none"/>
                      <w:u w:val="none"/>
                      <w:vertAlign w:val="baseline"/>
                      <w:lang w:eastAsia="zh-CN"/>
                    </w:rPr>
                    <w:t>加强新污染物治理。扎实开展化学物质环境信息统计调查。持续推动新污染物治理力度，严格落实重点管控新污染物禁止、限制、限排等环境风险管控措施。督促指导企业落实新化学物质环境风险防控主体责任。</w:t>
                  </w:r>
                </w:p>
              </w:tc>
              <w:tc>
                <w:tcPr>
                  <w:tcW w:w="2497" w:type="dxa"/>
                  <w:tcBorders>
                    <w:tl2br w:val="nil"/>
                    <w:tr2bl w:val="nil"/>
                  </w:tcBorders>
                  <w:noWrap w:val="0"/>
                  <w:vAlign w:val="center"/>
                </w:tcPr>
                <w:p w14:paraId="54C4622A">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本项目</w:t>
                  </w:r>
                  <w:r>
                    <w:rPr>
                      <w:rFonts w:hint="default" w:ascii="Times New Roman" w:hAnsi="Times New Roman" w:cs="Times New Roman"/>
                      <w:b w:val="0"/>
                      <w:bCs/>
                      <w:color w:val="auto"/>
                      <w:sz w:val="21"/>
                      <w:szCs w:val="21"/>
                      <w:highlight w:val="none"/>
                      <w:u w:val="none"/>
                      <w:lang w:val="en-US" w:eastAsia="zh-CN"/>
                    </w:rPr>
                    <w:t>运营期内产生的废气通过</w:t>
                  </w:r>
                  <w:r>
                    <w:rPr>
                      <w:rFonts w:hint="eastAsia" w:cs="Times New Roman"/>
                      <w:b w:val="0"/>
                      <w:bCs/>
                      <w:color w:val="auto"/>
                      <w:sz w:val="21"/>
                      <w:szCs w:val="21"/>
                      <w:highlight w:val="none"/>
                      <w:u w:val="none"/>
                      <w:lang w:val="en-US" w:eastAsia="zh-CN"/>
                    </w:rPr>
                    <w:t>油烟净化器</w:t>
                  </w:r>
                  <w:r>
                    <w:rPr>
                      <w:rFonts w:hint="default" w:ascii="Times New Roman" w:hAnsi="Times New Roman" w:eastAsia="宋体" w:cs="Times New Roman"/>
                      <w:b w:val="0"/>
                      <w:bCs/>
                      <w:color w:val="auto"/>
                      <w:sz w:val="21"/>
                      <w:szCs w:val="21"/>
                      <w:highlight w:val="none"/>
                      <w:u w:val="none"/>
                      <w:lang w:val="en-US" w:eastAsia="zh-CN"/>
                    </w:rPr>
                    <w:t>进行处理</w:t>
                  </w:r>
                  <w:r>
                    <w:rPr>
                      <w:rFonts w:hint="eastAsia" w:cs="Times New Roman"/>
                      <w:b w:val="0"/>
                      <w:bCs/>
                      <w:color w:val="auto"/>
                      <w:sz w:val="21"/>
                      <w:szCs w:val="21"/>
                      <w:highlight w:val="none"/>
                      <w:u w:val="none"/>
                      <w:lang w:val="en-US" w:eastAsia="zh-CN"/>
                    </w:rPr>
                    <w:t>，天然气燃烧采用低氮燃烧措施</w:t>
                  </w:r>
                  <w:r>
                    <w:rPr>
                      <w:rFonts w:hint="default" w:ascii="Times New Roman" w:hAnsi="Times New Roman" w:eastAsia="宋体" w:cs="Times New Roman"/>
                      <w:b w:val="0"/>
                      <w:bCs/>
                      <w:color w:val="auto"/>
                      <w:sz w:val="21"/>
                      <w:szCs w:val="21"/>
                      <w:highlight w:val="none"/>
                      <w:u w:val="none"/>
                      <w:lang w:val="en-US" w:eastAsia="zh-CN"/>
                    </w:rPr>
                    <w:t>；</w:t>
                  </w:r>
                  <w:r>
                    <w:rPr>
                      <w:rFonts w:hint="eastAsia" w:cs="Times New Roman"/>
                      <w:b w:val="0"/>
                      <w:bCs/>
                      <w:color w:val="auto"/>
                      <w:sz w:val="21"/>
                      <w:szCs w:val="21"/>
                      <w:highlight w:val="none"/>
                      <w:u w:val="none"/>
                      <w:lang w:val="en-US" w:eastAsia="zh-CN"/>
                    </w:rPr>
                    <w:t>氨和硫化氢由活性炭吸附装置处理；生活污水和生产废水</w:t>
                  </w:r>
                  <w:r>
                    <w:rPr>
                      <w:rFonts w:hint="default" w:ascii="Times New Roman" w:hAnsi="Times New Roman" w:eastAsia="宋体" w:cs="Times New Roman"/>
                      <w:b w:val="0"/>
                      <w:bCs/>
                      <w:color w:val="auto"/>
                      <w:sz w:val="21"/>
                      <w:szCs w:val="21"/>
                      <w:highlight w:val="none"/>
                      <w:u w:val="none"/>
                      <w:lang w:val="en-US" w:eastAsia="zh-CN"/>
                    </w:rPr>
                    <w:t>经</w:t>
                  </w:r>
                  <w:r>
                    <w:rPr>
                      <w:rFonts w:hint="eastAsia" w:cs="Times New Roman"/>
                      <w:b w:val="0"/>
                      <w:bCs/>
                      <w:color w:val="auto"/>
                      <w:sz w:val="21"/>
                      <w:szCs w:val="21"/>
                      <w:highlight w:val="none"/>
                      <w:u w:val="none"/>
                      <w:lang w:val="en-US" w:eastAsia="zh-CN"/>
                    </w:rPr>
                    <w:t>过处理</w:t>
                  </w:r>
                  <w:r>
                    <w:rPr>
                      <w:rFonts w:hint="default" w:ascii="Times New Roman" w:hAnsi="Times New Roman" w:eastAsia="宋体" w:cs="Times New Roman"/>
                      <w:b w:val="0"/>
                      <w:bCs/>
                      <w:color w:val="auto"/>
                      <w:sz w:val="21"/>
                      <w:szCs w:val="21"/>
                      <w:highlight w:val="none"/>
                      <w:u w:val="none"/>
                      <w:lang w:val="en-US" w:eastAsia="zh-CN"/>
                    </w:rPr>
                    <w:t>后</w:t>
                  </w:r>
                  <w:r>
                    <w:rPr>
                      <w:rFonts w:hint="eastAsia" w:cs="Times New Roman"/>
                      <w:b w:val="0"/>
                      <w:bCs/>
                      <w:color w:val="auto"/>
                      <w:sz w:val="21"/>
                      <w:szCs w:val="21"/>
                      <w:highlight w:val="none"/>
                      <w:u w:val="none"/>
                      <w:lang w:val="en-US" w:eastAsia="zh-CN"/>
                    </w:rPr>
                    <w:t>外排污水管网</w:t>
                  </w:r>
                  <w:r>
                    <w:rPr>
                      <w:rFonts w:hint="default" w:ascii="Times New Roman" w:hAnsi="Times New Roman" w:eastAsia="宋体" w:cs="Times New Roman"/>
                      <w:b w:val="0"/>
                      <w:bCs/>
                      <w:color w:val="auto"/>
                      <w:sz w:val="21"/>
                      <w:szCs w:val="21"/>
                      <w:highlight w:val="none"/>
                      <w:u w:val="none"/>
                      <w:lang w:val="en-US" w:eastAsia="zh-CN"/>
                    </w:rPr>
                    <w:t>；</w:t>
                  </w:r>
                  <w:r>
                    <w:rPr>
                      <w:rFonts w:hint="eastAsia" w:cs="Times New Roman"/>
                      <w:b w:val="0"/>
                      <w:bCs/>
                      <w:color w:val="auto"/>
                      <w:sz w:val="21"/>
                      <w:szCs w:val="21"/>
                      <w:highlight w:val="none"/>
                      <w:u w:val="none"/>
                      <w:lang w:val="en-US" w:eastAsia="zh-CN"/>
                    </w:rPr>
                    <w:t>冷却水</w:t>
                  </w:r>
                  <w:r>
                    <w:rPr>
                      <w:rFonts w:hint="default" w:ascii="Times New Roman" w:hAnsi="Times New Roman" w:eastAsia="宋体" w:cs="Times New Roman"/>
                      <w:b w:val="0"/>
                      <w:bCs/>
                      <w:color w:val="auto"/>
                      <w:sz w:val="21"/>
                      <w:szCs w:val="21"/>
                      <w:highlight w:val="none"/>
                      <w:u w:val="none"/>
                      <w:lang w:val="en-US" w:eastAsia="zh-CN"/>
                    </w:rPr>
                    <w:t>循环使用不外排；经过采取污染防治措施后，本项目</w:t>
                  </w:r>
                  <w:r>
                    <w:rPr>
                      <w:rFonts w:hint="default" w:ascii="Times New Roman" w:hAnsi="Times New Roman" w:cs="Times New Roman"/>
                      <w:b w:val="0"/>
                      <w:bCs/>
                      <w:color w:val="auto"/>
                      <w:sz w:val="21"/>
                      <w:szCs w:val="21"/>
                      <w:highlight w:val="none"/>
                      <w:u w:val="none"/>
                      <w:lang w:val="en-US" w:eastAsia="zh-CN"/>
                    </w:rPr>
                    <w:t>生产时</w:t>
                  </w:r>
                  <w:r>
                    <w:rPr>
                      <w:rFonts w:hint="default" w:ascii="Times New Roman" w:hAnsi="Times New Roman" w:eastAsia="宋体" w:cs="Times New Roman"/>
                      <w:b w:val="0"/>
                      <w:bCs/>
                      <w:color w:val="auto"/>
                      <w:sz w:val="21"/>
                      <w:szCs w:val="21"/>
                      <w:highlight w:val="none"/>
                      <w:u w:val="none"/>
                      <w:lang w:val="en-US" w:eastAsia="zh-CN"/>
                    </w:rPr>
                    <w:t>对周围环境影响较小。</w:t>
                  </w:r>
                </w:p>
              </w:tc>
              <w:tc>
                <w:tcPr>
                  <w:tcW w:w="874" w:type="dxa"/>
                  <w:tcBorders>
                    <w:tl2br w:val="nil"/>
                    <w:tr2bl w:val="nil"/>
                  </w:tcBorders>
                  <w:noWrap w:val="0"/>
                  <w:vAlign w:val="center"/>
                </w:tcPr>
                <w:p w14:paraId="6255ED45">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b w:val="0"/>
                      <w:bCs/>
                      <w:color w:val="auto"/>
                      <w:kern w:val="28"/>
                      <w:sz w:val="21"/>
                      <w:szCs w:val="21"/>
                      <w:highlight w:val="none"/>
                      <w:lang w:val="en-US" w:eastAsia="zh-CN"/>
                    </w:rPr>
                  </w:pPr>
                  <w:r>
                    <w:rPr>
                      <w:rFonts w:hint="default" w:ascii="Times New Roman" w:hAnsi="Times New Roman" w:eastAsia="宋体" w:cs="Times New Roman"/>
                      <w:b w:val="0"/>
                      <w:bCs/>
                      <w:color w:val="auto"/>
                      <w:kern w:val="28"/>
                      <w:sz w:val="21"/>
                      <w:szCs w:val="21"/>
                      <w:highlight w:val="none"/>
                      <w:lang w:val="en-US" w:eastAsia="zh-CN"/>
                    </w:rPr>
                    <w:t>符合</w:t>
                  </w:r>
                </w:p>
              </w:tc>
            </w:tr>
          </w:tbl>
          <w:p w14:paraId="3F0CBE4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highlight w:val="none"/>
                <w:lang w:val="en-US" w:eastAsia="zh-CN"/>
              </w:rPr>
              <w:t>由以上分析可知，本项目建设符合《平顶山市202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年净土保卫战实施方案》（平环委办〔202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号）中相关要求</w:t>
            </w:r>
            <w:r>
              <w:rPr>
                <w:rFonts w:hint="default" w:ascii="Times New Roman" w:hAnsi="Times New Roman" w:eastAsia="宋体" w:cs="Times New Roman"/>
                <w:color w:val="auto"/>
                <w:sz w:val="24"/>
                <w:szCs w:val="24"/>
                <w:highlight w:val="none"/>
              </w:rPr>
              <w:t>。</w:t>
            </w:r>
          </w:p>
          <w:p w14:paraId="2A4244C7">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kern w:val="28"/>
                <w:sz w:val="24"/>
                <w:szCs w:val="40"/>
                <w:highlight w:val="none"/>
                <w:lang w:val="en-US" w:eastAsia="zh-CN" w:bidi="ar-SA"/>
              </w:rPr>
            </w:pPr>
            <w:r>
              <w:rPr>
                <w:rFonts w:hint="default" w:ascii="Times New Roman" w:hAnsi="Times New Roman" w:cs="Times New Roman"/>
                <w:b/>
                <w:bCs/>
                <w:color w:val="000000"/>
                <w:kern w:val="0"/>
                <w:sz w:val="24"/>
                <w:szCs w:val="24"/>
                <w:highlight w:val="none"/>
                <w:lang w:val="en-US" w:eastAsia="zh-CN" w:bidi="ar"/>
              </w:rPr>
              <w:t>1</w:t>
            </w:r>
            <w:r>
              <w:rPr>
                <w:rFonts w:hint="eastAsia" w:cs="Times New Roman"/>
                <w:b/>
                <w:bCs/>
                <w:color w:val="000000"/>
                <w:kern w:val="0"/>
                <w:sz w:val="24"/>
                <w:szCs w:val="24"/>
                <w:highlight w:val="none"/>
                <w:lang w:val="en-US" w:eastAsia="zh-CN" w:bidi="ar"/>
              </w:rPr>
              <w:t>2</w:t>
            </w:r>
            <w:r>
              <w:rPr>
                <w:rFonts w:hint="default" w:ascii="Times New Roman" w:hAnsi="Times New Roman" w:cs="Times New Roman"/>
                <w:b/>
                <w:bCs/>
                <w:color w:val="000000"/>
                <w:kern w:val="0"/>
                <w:sz w:val="24"/>
                <w:szCs w:val="24"/>
                <w:highlight w:val="none"/>
                <w:lang w:val="en-US" w:eastAsia="zh-CN" w:bidi="ar"/>
              </w:rPr>
              <w:t>、</w:t>
            </w:r>
            <w:r>
              <w:rPr>
                <w:rFonts w:hint="default" w:ascii="Times New Roman" w:hAnsi="Times New Roman" w:eastAsia="宋体" w:cs="Times New Roman"/>
                <w:b/>
                <w:bCs w:val="0"/>
                <w:kern w:val="28"/>
                <w:sz w:val="24"/>
                <w:szCs w:val="40"/>
                <w:highlight w:val="none"/>
                <w:lang w:val="en-US" w:eastAsia="zh-CN" w:bidi="ar-SA"/>
              </w:rPr>
              <w:t>与《河南省重污染天气通用行业应急减排措施制定技术指南（2021年修订版）》相符性分析</w:t>
            </w:r>
          </w:p>
          <w:p w14:paraId="1608663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黑体" w:cs="Times New Roman"/>
                <w:b w:val="0"/>
                <w:bCs/>
                <w:color w:val="000000" w:themeColor="text1"/>
                <w:kern w:val="28"/>
                <w:sz w:val="24"/>
                <w:szCs w:val="40"/>
                <w:highlight w:val="none"/>
                <w:u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项目</w:t>
            </w:r>
            <w:r>
              <w:rPr>
                <w:rFonts w:hint="default"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为C</w:t>
            </w:r>
            <w:r>
              <w:rPr>
                <w:rFonts w:hint="eastAsia"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1469其他调味品、发酵制品制造</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，且为新建项目，</w:t>
            </w:r>
            <w:r>
              <w:rPr>
                <w:rFonts w:hint="eastAsia"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不</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属于国家</w:t>
            </w:r>
            <w:r>
              <w:rPr>
                <w:rFonts w:hint="eastAsia"/>
                <w:sz w:val="24"/>
                <w:szCs w:val="24"/>
                <w:u w:val="none"/>
                <w:lang w:val="en-US" w:eastAsia="zh-CN"/>
              </w:rPr>
              <w:t>和省级</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重点行业</w:t>
            </w:r>
            <w:r>
              <w:rPr>
                <w:rFonts w:hint="eastAsia"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范围内</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w:t>
            </w:r>
            <w:r>
              <w:rPr>
                <w:rFonts w:hint="eastAsia"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项目涉及的污染物排放</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应执行</w:t>
            </w:r>
            <w:r>
              <w:rPr>
                <w:rFonts w:hint="eastAsia"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通用行业</w:t>
            </w:r>
            <w:r>
              <w:rPr>
                <w:rFonts w:hint="default" w:ascii="Times New Roman" w:hAnsi="Times New Roman" w:cs="Times New Roman"/>
                <w:snapToGrid w:val="0"/>
                <w:color w:val="000000" w:themeColor="text1"/>
                <w:kern w:val="0"/>
                <w:sz w:val="24"/>
                <w:highlight w:val="none"/>
                <w:u w:val="none"/>
                <w:lang w:val="en-US" w:eastAsia="zh-CN"/>
                <w14:textFill>
                  <w14:solidFill>
                    <w14:schemeClr w14:val="tx1"/>
                  </w14:solidFill>
                </w14:textFill>
              </w:rPr>
              <w:t>绩效分级</w:t>
            </w:r>
            <w:r>
              <w:rPr>
                <w:rFonts w:hint="default" w:ascii="Times New Roman" w:hAnsi="Times New Roman" w:cs="Times New Roman"/>
                <w:snapToGrid w:val="0"/>
                <w:color w:val="000000" w:themeColor="text1"/>
                <w:kern w:val="0"/>
                <w:sz w:val="24"/>
                <w:highlight w:val="none"/>
                <w:u w:val="none"/>
                <w14:textFill>
                  <w14:solidFill>
                    <w14:schemeClr w14:val="tx1"/>
                  </w14:solidFill>
                </w14:textFill>
              </w:rPr>
              <w:t>要求。</w:t>
            </w:r>
          </w:p>
          <w:p w14:paraId="48EE3A5D">
            <w:pPr>
              <w:pStyle w:val="6"/>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b w:val="0"/>
                <w:bCs w:val="0"/>
                <w:color w:val="auto"/>
                <w:sz w:val="24"/>
                <w:szCs w:val="24"/>
                <w:highlight w:val="none"/>
                <w:u w:val="none"/>
                <w:lang w:val="en-US" w:eastAsia="zh-CN"/>
              </w:rPr>
            </w:pPr>
            <w:r>
              <w:rPr>
                <w:rFonts w:hint="default" w:ascii="Times New Roman" w:hAnsi="Times New Roman" w:eastAsia="黑体" w:cs="Times New Roman"/>
                <w:b w:val="0"/>
                <w:bCs w:val="0"/>
                <w:color w:val="auto"/>
                <w:sz w:val="24"/>
                <w:szCs w:val="24"/>
                <w:highlight w:val="none"/>
                <w:u w:val="none"/>
                <w:lang w:val="en-US" w:eastAsia="zh-CN"/>
              </w:rPr>
              <w:t>表1-</w:t>
            </w:r>
            <w:r>
              <w:rPr>
                <w:rFonts w:hint="eastAsia" w:eastAsia="黑体" w:cs="Times New Roman"/>
                <w:b w:val="0"/>
                <w:bCs w:val="0"/>
                <w:color w:val="auto"/>
                <w:sz w:val="24"/>
                <w:szCs w:val="24"/>
                <w:highlight w:val="none"/>
                <w:u w:val="none"/>
                <w:lang w:val="en-US" w:eastAsia="zh-CN"/>
              </w:rPr>
              <w:t>6</w:t>
            </w:r>
            <w:r>
              <w:rPr>
                <w:rFonts w:hint="default" w:ascii="Times New Roman" w:hAnsi="Times New Roman" w:eastAsia="黑体" w:cs="Times New Roman"/>
                <w:b w:val="0"/>
                <w:bCs w:val="0"/>
                <w:color w:val="auto"/>
                <w:sz w:val="24"/>
                <w:szCs w:val="24"/>
                <w:highlight w:val="none"/>
                <w:u w:val="none"/>
                <w:lang w:val="en-US" w:eastAsia="zh-CN"/>
              </w:rPr>
              <w:t>项目与《河南省重污染天气通用行业应急减排措施制定技术指南</w:t>
            </w:r>
          </w:p>
          <w:p w14:paraId="3C0EC446">
            <w:pPr>
              <w:pStyle w:val="6"/>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b w:val="0"/>
                <w:bCs w:val="0"/>
                <w:color w:val="auto"/>
                <w:sz w:val="24"/>
                <w:szCs w:val="24"/>
                <w:highlight w:val="none"/>
                <w:u w:val="none"/>
                <w:lang w:val="en-US" w:eastAsia="zh-CN"/>
              </w:rPr>
            </w:pPr>
            <w:r>
              <w:rPr>
                <w:rFonts w:hint="default" w:ascii="Times New Roman" w:hAnsi="Times New Roman" w:eastAsia="黑体" w:cs="Times New Roman"/>
                <w:b w:val="0"/>
                <w:bCs w:val="0"/>
                <w:color w:val="auto"/>
                <w:sz w:val="24"/>
                <w:szCs w:val="24"/>
                <w:highlight w:val="none"/>
                <w:u w:val="none"/>
                <w:lang w:val="en-US" w:eastAsia="zh-CN"/>
              </w:rPr>
              <w:t>（2021年修订版）》相符性分析一览表</w:t>
            </w:r>
          </w:p>
          <w:tbl>
            <w:tblPr>
              <w:tblStyle w:val="22"/>
              <w:tblW w:w="7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780"/>
              <w:gridCol w:w="2984"/>
              <w:gridCol w:w="2191"/>
              <w:gridCol w:w="887"/>
            </w:tblGrid>
            <w:tr w14:paraId="15FC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16" w:type="dxa"/>
                  <w:gridSpan w:val="2"/>
                  <w:noWrap w:val="0"/>
                  <w:vAlign w:val="center"/>
                </w:tcPr>
                <w:p w14:paraId="4701AF55">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差异化</w:t>
                  </w:r>
                </w:p>
                <w:p w14:paraId="0B4F35E4">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指标</w:t>
                  </w:r>
                </w:p>
              </w:tc>
              <w:tc>
                <w:tcPr>
                  <w:tcW w:w="2984" w:type="dxa"/>
                  <w:noWrap w:val="0"/>
                  <w:vAlign w:val="center"/>
                </w:tcPr>
                <w:p w14:paraId="1A50C421">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通用行业涉PM要求</w:t>
                  </w:r>
                </w:p>
              </w:tc>
              <w:tc>
                <w:tcPr>
                  <w:tcW w:w="2191" w:type="dxa"/>
                  <w:noWrap w:val="0"/>
                  <w:vAlign w:val="center"/>
                </w:tcPr>
                <w:p w14:paraId="2D23B38B">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企业对标情况</w:t>
                  </w:r>
                </w:p>
              </w:tc>
              <w:tc>
                <w:tcPr>
                  <w:tcW w:w="887" w:type="dxa"/>
                  <w:noWrap w:val="0"/>
                  <w:vAlign w:val="center"/>
                </w:tcPr>
                <w:p w14:paraId="5FE7CB8E">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符合性</w:t>
                  </w:r>
                </w:p>
                <w:p w14:paraId="096A4817">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分析</w:t>
                  </w:r>
                </w:p>
              </w:tc>
            </w:tr>
            <w:tr w14:paraId="7B5E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216" w:type="dxa"/>
                  <w:gridSpan w:val="2"/>
                  <w:noWrap w:val="0"/>
                  <w:vAlign w:val="center"/>
                </w:tcPr>
                <w:p w14:paraId="0B041B68">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1.物料装卸</w:t>
                  </w:r>
                </w:p>
              </w:tc>
              <w:tc>
                <w:tcPr>
                  <w:tcW w:w="2984" w:type="dxa"/>
                  <w:noWrap w:val="0"/>
                  <w:vAlign w:val="center"/>
                </w:tcPr>
                <w:p w14:paraId="77A48DE3">
                  <w:pPr>
                    <w:pStyle w:val="30"/>
                    <w:keepNext w:val="0"/>
                    <w:keepLines w:val="0"/>
                    <w:suppressLineNumbers w:val="0"/>
                    <w:bidi w:val="0"/>
                    <w:spacing w:before="0"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eastAsia="宋体" w:cs="Times New Roman"/>
                      <w:sz w:val="21"/>
                      <w:szCs w:val="21"/>
                    </w:rPr>
                    <w:t>车辆运输的物料应采取封闭措施。粉状、粒状、块状散装物料在封闭料场内装卸，装卸过程中产尘点应设置集气除尘装置，料堆应采取有效抑尘措施。不易产尘的袋装物料宜在料棚中装卸，如需露天装卸应采取防止破袋及粉尘外逸措施。</w:t>
                  </w:r>
                </w:p>
              </w:tc>
              <w:tc>
                <w:tcPr>
                  <w:tcW w:w="2191" w:type="dxa"/>
                  <w:noWrap w:val="0"/>
                  <w:vAlign w:val="center"/>
                </w:tcPr>
                <w:p w14:paraId="5C1297A6">
                  <w:pPr>
                    <w:pStyle w:val="30"/>
                    <w:keepNext w:val="0"/>
                    <w:keepLines w:val="0"/>
                    <w:numPr>
                      <w:ilvl w:val="0"/>
                      <w:numId w:val="0"/>
                    </w:numPr>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ascii="宋体" w:hAnsi="宋体" w:eastAsia="宋体" w:cs="宋体"/>
                      <w:i w:val="0"/>
                      <w:iCs w:val="0"/>
                      <w:caps w:val="0"/>
                      <w:color w:val="000000"/>
                      <w:spacing w:val="0"/>
                      <w:sz w:val="21"/>
                      <w:szCs w:val="21"/>
                    </w:rPr>
                    <w:t>本项目</w:t>
                  </w:r>
                  <w:r>
                    <w:rPr>
                      <w:rFonts w:hint="eastAsia" w:ascii="宋体" w:hAnsi="宋体" w:eastAsia="宋体" w:cs="宋体"/>
                      <w:i w:val="0"/>
                      <w:iCs w:val="0"/>
                      <w:caps w:val="0"/>
                      <w:color w:val="000000"/>
                      <w:spacing w:val="0"/>
                      <w:sz w:val="21"/>
                      <w:szCs w:val="21"/>
                      <w:lang w:val="en-US" w:eastAsia="zh-CN"/>
                    </w:rPr>
                    <w:t>原料为辣椒、牛骨、食用盐、</w:t>
                  </w:r>
                  <w:r>
                    <w:rPr>
                      <w:rFonts w:hint="eastAsia" w:ascii="宋体" w:hAnsi="宋体" w:cs="宋体"/>
                      <w:i w:val="0"/>
                      <w:iCs w:val="0"/>
                      <w:caps w:val="0"/>
                      <w:color w:val="000000"/>
                      <w:spacing w:val="0"/>
                      <w:sz w:val="21"/>
                      <w:szCs w:val="21"/>
                      <w:lang w:val="en-US" w:eastAsia="zh-CN"/>
                    </w:rPr>
                    <w:t>香</w:t>
                  </w:r>
                  <w:r>
                    <w:rPr>
                      <w:rFonts w:hint="eastAsia" w:ascii="宋体" w:hAnsi="宋体" w:eastAsia="宋体" w:cs="宋体"/>
                      <w:i w:val="0"/>
                      <w:iCs w:val="0"/>
                      <w:caps w:val="0"/>
                      <w:color w:val="000000"/>
                      <w:spacing w:val="0"/>
                      <w:sz w:val="21"/>
                      <w:szCs w:val="21"/>
                      <w:lang w:val="en-US" w:eastAsia="zh-CN"/>
                    </w:rPr>
                    <w:t>辛料等</w:t>
                  </w:r>
                  <w:r>
                    <w:rPr>
                      <w:rFonts w:hint="eastAsia" w:ascii="宋体" w:hAnsi="宋体" w:eastAsia="宋体" w:cs="宋体"/>
                      <w:i w:val="0"/>
                      <w:iCs w:val="0"/>
                      <w:caps w:val="0"/>
                      <w:color w:val="000000"/>
                      <w:spacing w:val="0"/>
                      <w:sz w:val="21"/>
                      <w:szCs w:val="21"/>
                    </w:rPr>
                    <w:t>不涉及产尘性原料</w:t>
                  </w:r>
                </w:p>
              </w:tc>
              <w:tc>
                <w:tcPr>
                  <w:tcW w:w="887" w:type="dxa"/>
                  <w:noWrap w:val="0"/>
                  <w:vAlign w:val="center"/>
                </w:tcPr>
                <w:p w14:paraId="54C78725">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29AC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216" w:type="dxa"/>
                  <w:gridSpan w:val="2"/>
                  <w:noWrap w:val="0"/>
                  <w:vAlign w:val="center"/>
                </w:tcPr>
                <w:p w14:paraId="72A74291">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2.物料储存</w:t>
                  </w:r>
                </w:p>
              </w:tc>
              <w:tc>
                <w:tcPr>
                  <w:tcW w:w="2984" w:type="dxa"/>
                  <w:noWrap w:val="0"/>
                  <w:vAlign w:val="center"/>
                </w:tcPr>
                <w:p w14:paraId="79052327">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eastAsia="宋体" w:cs="Times New Roman"/>
                      <w:sz w:val="21"/>
                      <w:szCs w:val="21"/>
                    </w:rPr>
                    <w:t>一般物料。粉状物料应储存于密闭/封闭料仓中；粒状、块 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危险废物。应有符合规范要求的危险废物储存间，危险废物 储存间门口应张贴标准规范的危险废物标识和危废信息板，建立台账并挂于危废间内，危险废物的记录和货单保存 3 年以上。危废间内禁止存放除危险废物和应急工具外的其他物品</w:t>
                  </w:r>
                </w:p>
              </w:tc>
              <w:tc>
                <w:tcPr>
                  <w:tcW w:w="2191" w:type="dxa"/>
                  <w:noWrap w:val="0"/>
                  <w:vAlign w:val="center"/>
                </w:tcPr>
                <w:p w14:paraId="058E61AD">
                  <w:pPr>
                    <w:pStyle w:val="30"/>
                    <w:keepNext w:val="0"/>
                    <w:keepLines w:val="0"/>
                    <w:numPr>
                      <w:ilvl w:val="0"/>
                      <w:numId w:val="0"/>
                    </w:numPr>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原</w:t>
                  </w:r>
                  <w:r>
                    <w:rPr>
                      <w:rFonts w:hint="eastAsia" w:cs="Times New Roman"/>
                      <w:lang w:val="en-US" w:eastAsia="zh-CN"/>
                    </w:rPr>
                    <w:t>材料</w:t>
                  </w:r>
                  <w:r>
                    <w:rPr>
                      <w:rFonts w:hint="default" w:ascii="Times New Roman" w:hAnsi="Times New Roman" w:cs="Times New Roman"/>
                      <w:lang w:val="en-US" w:eastAsia="zh-CN"/>
                    </w:rPr>
                    <w:t>在厂房原料区码放整齐存放，原辅料在仓库内密闭储存，</w:t>
                  </w:r>
                  <w:r>
                    <w:rPr>
                      <w:rFonts w:hint="eastAsia" w:cs="Times New Roman"/>
                      <w:lang w:val="en-US" w:eastAsia="zh-CN"/>
                    </w:rPr>
                    <w:t>项目不涉及危险废物。</w:t>
                  </w:r>
                </w:p>
              </w:tc>
              <w:tc>
                <w:tcPr>
                  <w:tcW w:w="887" w:type="dxa"/>
                  <w:noWrap w:val="0"/>
                  <w:vAlign w:val="center"/>
                </w:tcPr>
                <w:p w14:paraId="31E56051">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536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1216" w:type="dxa"/>
                  <w:gridSpan w:val="2"/>
                  <w:noWrap w:val="0"/>
                  <w:vAlign w:val="center"/>
                </w:tcPr>
                <w:p w14:paraId="3FF51FEB">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3.物料转移和输送</w:t>
                  </w:r>
                </w:p>
              </w:tc>
              <w:tc>
                <w:tcPr>
                  <w:tcW w:w="2984" w:type="dxa"/>
                  <w:noWrap w:val="0"/>
                  <w:vAlign w:val="center"/>
                </w:tcPr>
                <w:p w14:paraId="6630672C">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eastAsia="宋体" w:cs="Times New Roman"/>
                      <w:sz w:val="21"/>
                      <w:szCs w:val="21"/>
                    </w:rPr>
                    <w:t>粉状、粒状等易产尘物料厂内转移、输送过程应采用气力输送、密闭输送，块状和粘湿粉状物料采用封闭输送；无法封闭的产尘点（物料转载、下料口等）应采取集气除尘措施，或有效抑尘措施。</w:t>
                  </w:r>
                </w:p>
              </w:tc>
              <w:tc>
                <w:tcPr>
                  <w:tcW w:w="2191" w:type="dxa"/>
                  <w:noWrap w:val="0"/>
                  <w:vAlign w:val="center"/>
                </w:tcPr>
                <w:p w14:paraId="769DF91D">
                  <w:pPr>
                    <w:pStyle w:val="30"/>
                    <w:keepNext w:val="0"/>
                    <w:keepLines w:val="0"/>
                    <w:numPr>
                      <w:ilvl w:val="0"/>
                      <w:numId w:val="0"/>
                    </w:numPr>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cs="Times New Roman"/>
                      <w:lang w:val="en-US" w:eastAsia="zh-CN"/>
                    </w:rPr>
                    <w:t>本项目不涉及产尘物料的转移和运输</w:t>
                  </w:r>
                </w:p>
              </w:tc>
              <w:tc>
                <w:tcPr>
                  <w:tcW w:w="887" w:type="dxa"/>
                  <w:noWrap w:val="0"/>
                  <w:vAlign w:val="center"/>
                </w:tcPr>
                <w:p w14:paraId="738D5282">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47D8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216" w:type="dxa"/>
                  <w:gridSpan w:val="2"/>
                  <w:noWrap w:val="0"/>
                  <w:vAlign w:val="center"/>
                </w:tcPr>
                <w:p w14:paraId="01EE335E">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4.成品包装</w:t>
                  </w:r>
                </w:p>
              </w:tc>
              <w:tc>
                <w:tcPr>
                  <w:tcW w:w="2984" w:type="dxa"/>
                  <w:noWrap w:val="0"/>
                  <w:vAlign w:val="center"/>
                </w:tcPr>
                <w:p w14:paraId="360FCFD2">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default" w:ascii="Times New Roman" w:hAnsi="Times New Roman" w:eastAsia="宋体" w:cs="Times New Roman"/>
                      <w:sz w:val="21"/>
                      <w:szCs w:val="21"/>
                      <w:highlight w:val="none"/>
                    </w:rPr>
                    <w:t>卸料口应完全封闭，如不能封闭应采取局部集气除尘措施。卸料口地面应及时清扫，地面无明显积尘。</w:t>
                  </w:r>
                </w:p>
              </w:tc>
              <w:tc>
                <w:tcPr>
                  <w:tcW w:w="2191" w:type="dxa"/>
                  <w:noWrap w:val="0"/>
                  <w:vAlign w:val="center"/>
                </w:tcPr>
                <w:p w14:paraId="7B7E6EE2">
                  <w:pPr>
                    <w:pStyle w:val="30"/>
                    <w:keepNext w:val="0"/>
                    <w:keepLines w:val="0"/>
                    <w:numPr>
                      <w:ilvl w:val="0"/>
                      <w:numId w:val="0"/>
                    </w:numPr>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项目</w:t>
                  </w:r>
                  <w:r>
                    <w:rPr>
                      <w:rFonts w:hint="eastAsia" w:cs="Times New Roman"/>
                      <w:highlight w:val="none"/>
                      <w:lang w:val="en-US" w:eastAsia="zh-CN"/>
                    </w:rPr>
                    <w:t>成品是有一定水气，不会造成粉尘飘逸情况，厂区</w:t>
                  </w:r>
                  <w:r>
                    <w:rPr>
                      <w:rFonts w:hint="default" w:ascii="Times New Roman" w:hAnsi="Times New Roman" w:eastAsia="宋体" w:cs="Times New Roman"/>
                      <w:sz w:val="21"/>
                      <w:szCs w:val="21"/>
                      <w:highlight w:val="none"/>
                    </w:rPr>
                    <w:t>地面及时清扫</w:t>
                  </w:r>
                  <w:r>
                    <w:rPr>
                      <w:rFonts w:hint="eastAsia" w:cs="Times New Roman"/>
                      <w:sz w:val="21"/>
                      <w:szCs w:val="21"/>
                      <w:highlight w:val="none"/>
                      <w:lang w:val="en-US" w:eastAsia="zh-CN"/>
                    </w:rPr>
                    <w:t>清理</w:t>
                  </w:r>
                  <w:r>
                    <w:rPr>
                      <w:rFonts w:hint="default" w:ascii="Times New Roman" w:hAnsi="Times New Roman" w:eastAsia="宋体" w:cs="Times New Roman"/>
                      <w:sz w:val="21"/>
                      <w:szCs w:val="21"/>
                      <w:highlight w:val="none"/>
                    </w:rPr>
                    <w:t>，地面无明显</w:t>
                  </w:r>
                  <w:r>
                    <w:rPr>
                      <w:rFonts w:hint="eastAsia" w:cs="Times New Roman"/>
                      <w:sz w:val="21"/>
                      <w:szCs w:val="21"/>
                      <w:highlight w:val="none"/>
                      <w:lang w:val="en-US" w:eastAsia="zh-CN"/>
                    </w:rPr>
                    <w:t>积料</w:t>
                  </w:r>
                </w:p>
              </w:tc>
              <w:tc>
                <w:tcPr>
                  <w:tcW w:w="887" w:type="dxa"/>
                  <w:noWrap w:val="0"/>
                  <w:vAlign w:val="center"/>
                </w:tcPr>
                <w:p w14:paraId="0AC8978E">
                  <w:pPr>
                    <w:keepNext w:val="0"/>
                    <w:keepLines w:val="0"/>
                    <w:suppressLineNumbers w:val="0"/>
                    <w:bidi w:val="0"/>
                    <w:spacing w:before="0" w:beforeAutospacing="0" w:after="0" w:afterAutospacing="0"/>
                    <w:ind w:left="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符合</w:t>
                  </w:r>
                </w:p>
              </w:tc>
            </w:tr>
            <w:tr w14:paraId="106E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216" w:type="dxa"/>
                  <w:gridSpan w:val="2"/>
                  <w:noWrap w:val="0"/>
                  <w:vAlign w:val="center"/>
                </w:tcPr>
                <w:p w14:paraId="5BD907A3">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rPr>
                    <w:t>5</w:t>
                  </w:r>
                  <w:r>
                    <w:rPr>
                      <w:rFonts w:hint="default" w:ascii="Times New Roman" w:hAnsi="Times New Roman" w:cs="Times New Roman"/>
                      <w:lang w:eastAsia="zh-CN"/>
                    </w:rPr>
                    <w:t>.</w:t>
                  </w:r>
                  <w:r>
                    <w:rPr>
                      <w:rFonts w:hint="default" w:ascii="Times New Roman" w:hAnsi="Times New Roman" w:cs="Times New Roman"/>
                    </w:rPr>
                    <w:t>工</w:t>
                  </w:r>
                  <w:r>
                    <w:rPr>
                      <w:rFonts w:hint="default" w:ascii="Times New Roman" w:hAnsi="Times New Roman" w:cs="Times New Roman"/>
                      <w:highlight w:val="none"/>
                    </w:rPr>
                    <w:t>艺过程</w:t>
                  </w:r>
                </w:p>
              </w:tc>
              <w:tc>
                <w:tcPr>
                  <w:tcW w:w="2984" w:type="dxa"/>
                  <w:noWrap w:val="0"/>
                  <w:vAlign w:val="center"/>
                </w:tcPr>
                <w:p w14:paraId="68BE631D">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eastAsia="zh-CN"/>
                    </w:rPr>
                  </w:pPr>
                  <w:r>
                    <w:rPr>
                      <w:rFonts w:hint="default" w:ascii="Times New Roman" w:hAnsi="Times New Roman" w:eastAsia="宋体" w:cs="Times New Roman"/>
                      <w:sz w:val="21"/>
                      <w:szCs w:val="21"/>
                    </w:rPr>
                    <w:t>各种物料破碎、筛分、配料、混料等过程应在封闭厂房内进行，并采取局部收尘/抑尘措施。破碎筛分设备在进、出料口和配料混料过程等产尘点应设置集气除尘设施。各生产工序的车间地面干净，无积料、积灰现象。生产车间不得有可见烟粉尘外逸。</w:t>
                  </w:r>
                </w:p>
              </w:tc>
              <w:tc>
                <w:tcPr>
                  <w:tcW w:w="2191" w:type="dxa"/>
                  <w:noWrap w:val="0"/>
                  <w:vAlign w:val="center"/>
                </w:tcPr>
                <w:p w14:paraId="4EBA9474">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本项目生产工艺在</w:t>
                  </w:r>
                  <w:r>
                    <w:rPr>
                      <w:rFonts w:hint="eastAsia" w:cs="Times New Roman"/>
                      <w:lang w:val="en-US" w:eastAsia="zh-CN"/>
                    </w:rPr>
                    <w:t>辣椒、牛骨</w:t>
                  </w:r>
                  <w:r>
                    <w:rPr>
                      <w:rFonts w:hint="default" w:ascii="Times New Roman" w:hAnsi="Times New Roman" w:eastAsia="宋体" w:cs="Times New Roman"/>
                      <w:sz w:val="21"/>
                      <w:szCs w:val="21"/>
                    </w:rPr>
                    <w:t>破碎、筛分、配料</w:t>
                  </w:r>
                  <w:r>
                    <w:rPr>
                      <w:rFonts w:hint="eastAsia" w:cs="Times New Roman"/>
                      <w:sz w:val="21"/>
                      <w:szCs w:val="21"/>
                      <w:lang w:val="en-US" w:eastAsia="zh-CN"/>
                    </w:rPr>
                    <w:t>等过程中无粉尘废气产生，在油辣椒炒制是会有油烟产生通过设置油烟净化器进行处理后，</w:t>
                  </w:r>
                  <w:r>
                    <w:rPr>
                      <w:rFonts w:hint="default" w:ascii="Times New Roman" w:hAnsi="Times New Roman" w:cs="Times New Roman"/>
                    </w:rPr>
                    <w:t>各生产工序的车间地面干净，无积料、积灰现象</w:t>
                  </w:r>
                  <w:r>
                    <w:rPr>
                      <w:rFonts w:hint="default" w:ascii="Times New Roman" w:hAnsi="Times New Roman" w:cs="Times New Roman"/>
                      <w:lang w:eastAsia="zh-CN"/>
                    </w:rPr>
                    <w:t>，</w:t>
                  </w:r>
                  <w:r>
                    <w:rPr>
                      <w:rFonts w:hint="default" w:ascii="Times New Roman" w:hAnsi="Times New Roman" w:cs="Times New Roman"/>
                    </w:rPr>
                    <w:t>生产车间</w:t>
                  </w:r>
                  <w:r>
                    <w:rPr>
                      <w:rFonts w:hint="default" w:ascii="Times New Roman" w:hAnsi="Times New Roman" w:cs="Times New Roman"/>
                      <w:lang w:val="en-US" w:eastAsia="zh-CN"/>
                    </w:rPr>
                    <w:t>无</w:t>
                  </w:r>
                  <w:r>
                    <w:rPr>
                      <w:rFonts w:hint="default" w:ascii="Times New Roman" w:hAnsi="Times New Roman" w:cs="Times New Roman"/>
                    </w:rPr>
                    <w:t>可见烟粉尘外逸。</w:t>
                  </w:r>
                </w:p>
              </w:tc>
              <w:tc>
                <w:tcPr>
                  <w:tcW w:w="887" w:type="dxa"/>
                  <w:noWrap w:val="0"/>
                  <w:vAlign w:val="center"/>
                </w:tcPr>
                <w:p w14:paraId="7C64FD69">
                  <w:pPr>
                    <w:keepNext w:val="0"/>
                    <w:keepLines w:val="0"/>
                    <w:suppressLineNumbers w:val="0"/>
                    <w:bidi w:val="0"/>
                    <w:spacing w:before="0" w:beforeAutospacing="0" w:after="0" w:afterAutospacing="0"/>
                    <w:ind w:left="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符合</w:t>
                  </w:r>
                </w:p>
              </w:tc>
            </w:tr>
            <w:tr w14:paraId="350C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16" w:type="dxa"/>
                  <w:gridSpan w:val="2"/>
                  <w:noWrap w:val="0"/>
                  <w:vAlign w:val="center"/>
                </w:tcPr>
                <w:p w14:paraId="500B6A6F">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运输方式</w:t>
                  </w:r>
                </w:p>
              </w:tc>
              <w:tc>
                <w:tcPr>
                  <w:tcW w:w="2984" w:type="dxa"/>
                  <w:noWrap w:val="0"/>
                  <w:vAlign w:val="center"/>
                </w:tcPr>
                <w:p w14:paraId="2CE8CC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①公路运输。物料公路运输使用达到国五及以上排放标准重型载货车辆（含燃气）或新能源车辆比例（A 级 100%，B 级不低于 80%），其他车辆达到国四排放标准；</w:t>
                  </w:r>
                </w:p>
                <w:p w14:paraId="710578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②厂内运输车辆。达到国五及以上排放标准（含燃气）或使用新能源车辆的比例（A 级 100%，B 级不低于 80%），其他车辆达到国四排放标准；</w:t>
                  </w:r>
                </w:p>
                <w:p w14:paraId="6B28BD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③危险品及危废运输。国五及以上或新能源车辆（A 级/B级 100%）；</w:t>
                  </w:r>
                </w:p>
                <w:p w14:paraId="1D46161F">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④厂内非道路移动机械。国三及以上排放标准或使用新能源机械（A 级/B 级 100%）。</w:t>
                  </w:r>
                </w:p>
              </w:tc>
              <w:tc>
                <w:tcPr>
                  <w:tcW w:w="2191" w:type="dxa"/>
                  <w:noWrap w:val="0"/>
                  <w:vAlign w:val="center"/>
                </w:tcPr>
                <w:p w14:paraId="0D9446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①公路运输。物料公路运输使用达到国五及以上排放标准重型载货车辆（含燃气）或新能源车辆比例（A 级 100%），其他车辆达到国四排放标准；</w:t>
                  </w:r>
                </w:p>
                <w:p w14:paraId="1D25C3E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②厂内运输车辆。达到国五及以上排放标准（含燃气）或使用新能源车辆的比例（A 级 100%），其他车辆达到国四排放标准；</w:t>
                  </w:r>
                </w:p>
                <w:p w14:paraId="3D25AC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③危险品及危废运输。国五及以上或新能源车辆（A 级/B级 100%）；</w:t>
                  </w:r>
                </w:p>
                <w:p w14:paraId="40756F3A">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④厂内非道路移动机械。国三及以上排放标准或使用新能源机械（A 级/B 级 100%）</w:t>
                  </w:r>
                </w:p>
              </w:tc>
              <w:tc>
                <w:tcPr>
                  <w:tcW w:w="887" w:type="dxa"/>
                  <w:noWrap w:val="0"/>
                  <w:vAlign w:val="center"/>
                </w:tcPr>
                <w:p w14:paraId="65492B07">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161B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trPr>
              <w:tc>
                <w:tcPr>
                  <w:tcW w:w="1216" w:type="dxa"/>
                  <w:gridSpan w:val="2"/>
                  <w:noWrap w:val="0"/>
                  <w:vAlign w:val="center"/>
                </w:tcPr>
                <w:p w14:paraId="70980552">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运输监管</w:t>
                  </w:r>
                </w:p>
              </w:tc>
              <w:tc>
                <w:tcPr>
                  <w:tcW w:w="2984" w:type="dxa"/>
                  <w:noWrap w:val="0"/>
                  <w:vAlign w:val="center"/>
                </w:tcPr>
                <w:p w14:paraId="0485E7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lang w:val="en-US" w:eastAsia="zh-CN"/>
                    </w:rPr>
                    <w:t>厂区货运车辆进出大门口：日均进出货物 150 吨（或载货车辆日进出 10 辆次）及以上（货物包括原料、辅料、燃料、产品和其他与生产相关物料）的企业，或纳入我省重点行业年产值1000万及以上的企业，拟申报A、B级企业时，应参照《重污染天气重点行业移动源应急管理技</w:t>
                  </w:r>
                  <w:r>
                    <w:rPr>
                      <w:rFonts w:hint="default" w:ascii="Times New Roman" w:hAnsi="Times New Roman" w:cs="Times New Roman"/>
                      <w:u w:val="none"/>
                      <w:lang w:val="en-US" w:eastAsia="zh-CN"/>
                    </w:rPr>
                    <w:t>术指南》建立门禁视频监控系统和电子台账；其他企业建立电子台账。安装高清视频监控系统并能保留数据6个月以上。</w:t>
                  </w:r>
                </w:p>
              </w:tc>
              <w:tc>
                <w:tcPr>
                  <w:tcW w:w="2191" w:type="dxa"/>
                  <w:noWrap w:val="0"/>
                  <w:vAlign w:val="center"/>
                </w:tcPr>
                <w:p w14:paraId="651A255D">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highlight w:val="none"/>
                      <w:lang w:val="en-US" w:eastAsia="zh-CN"/>
                    </w:rPr>
                  </w:pPr>
                  <w:r>
                    <w:rPr>
                      <w:rFonts w:hint="default" w:ascii="Times New Roman" w:hAnsi="Times New Roman" w:cs="Times New Roman"/>
                      <w:lang w:val="en-US" w:eastAsia="zh-CN"/>
                    </w:rPr>
                    <w:t>本项目日均进出货物未达到150吨，本项目</w:t>
                  </w:r>
                  <w:r>
                    <w:rPr>
                      <w:rFonts w:hint="eastAsia" w:cs="Times New Roman"/>
                      <w:lang w:val="en-US" w:eastAsia="zh-CN"/>
                    </w:rPr>
                    <w:t>按照其他企业类别建立电子台账，</w:t>
                  </w:r>
                  <w:r>
                    <w:rPr>
                      <w:rFonts w:hint="default" w:ascii="Times New Roman" w:hAnsi="Times New Roman" w:cs="Times New Roman"/>
                      <w:lang w:val="en-US" w:eastAsia="zh-CN"/>
                    </w:rPr>
                    <w:t>拟安装高清视频监控系统并能保留数据6个月以上</w:t>
                  </w:r>
                </w:p>
              </w:tc>
              <w:tc>
                <w:tcPr>
                  <w:tcW w:w="887" w:type="dxa"/>
                  <w:noWrap w:val="0"/>
                  <w:vAlign w:val="center"/>
                </w:tcPr>
                <w:p w14:paraId="75D5DCDA">
                  <w:pPr>
                    <w:keepNext w:val="0"/>
                    <w:keepLines w:val="0"/>
                    <w:suppressLineNumbers w:val="0"/>
                    <w:bidi w:val="0"/>
                    <w:spacing w:before="0" w:beforeAutospacing="0" w:after="0" w:afterAutospacing="0"/>
                    <w:ind w:left="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符合</w:t>
                  </w:r>
                </w:p>
              </w:tc>
            </w:tr>
            <w:tr w14:paraId="1E4F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16" w:type="dxa"/>
                  <w:gridSpan w:val="2"/>
                  <w:noWrap w:val="0"/>
                  <w:vAlign w:val="center"/>
                </w:tcPr>
                <w:p w14:paraId="2776D793">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环境管理</w:t>
                  </w:r>
                </w:p>
                <w:p w14:paraId="48E93B43">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要求</w:t>
                  </w:r>
                </w:p>
              </w:tc>
              <w:tc>
                <w:tcPr>
                  <w:tcW w:w="2984" w:type="dxa"/>
                  <w:noWrap w:val="0"/>
                  <w:vAlign w:val="center"/>
                </w:tcPr>
                <w:p w14:paraId="37C47B53">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（1）环保档案资料齐全</w:t>
                  </w:r>
                </w:p>
                <w:p w14:paraId="0E70A3F1">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①环评批复文件和竣工验收文件/现状评估文件；</w:t>
                  </w:r>
                </w:p>
                <w:p w14:paraId="398FED21">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②废气治理设施运行管理规程；</w:t>
                  </w:r>
                </w:p>
                <w:p w14:paraId="3968C9D7">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③一年内废气监测报告；</w:t>
                  </w:r>
                </w:p>
                <w:p w14:paraId="57F63D56">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④国家版排污许可证，并按要求开展自行监测和信息披露，有规范的排气筒监测平台和排污口标识</w:t>
                  </w:r>
                </w:p>
                <w:p w14:paraId="024DD301">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（2）台账记录信息完整</w:t>
                  </w:r>
                </w:p>
                <w:p w14:paraId="5B1ACA84">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①生产设施运行管理信息（生产时间、运行负荷、产品产量等）；</w:t>
                  </w:r>
                </w:p>
                <w:p w14:paraId="5E783357">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②废气污染治理设施运行管理信息（除尘滤料、活性炭等更换量和时间）；</w:t>
                  </w:r>
                </w:p>
                <w:p w14:paraId="0D8C5EB2">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③监测记录信息（主要污染排放口废气排放记录（手工监测和在线监测）等）；</w:t>
                  </w:r>
                </w:p>
                <w:p w14:paraId="4952D71A">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④主要原辅材料、燃料消耗记录（A、B级企业必需）；</w:t>
                  </w:r>
                </w:p>
                <w:p w14:paraId="7B761F21">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⑤电消耗记录（已安装用电监管设备的 A、B级企业必需）。</w:t>
                  </w:r>
                </w:p>
                <w:p w14:paraId="3B250D28">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（3）人员配置合理</w:t>
                  </w:r>
                </w:p>
                <w:p w14:paraId="08C1AD66">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配备专/兼职环保人员，并具备相应的环境管理能力（学历、培训、从业经验等）。</w:t>
                  </w:r>
                </w:p>
              </w:tc>
              <w:tc>
                <w:tcPr>
                  <w:tcW w:w="2191" w:type="dxa"/>
                  <w:noWrap w:val="0"/>
                  <w:vAlign w:val="center"/>
                </w:tcPr>
                <w:p w14:paraId="0506E52F">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本项目处于环评阶段，待建成投产后，拟按要求保证环保档案资料齐全</w:t>
                  </w:r>
                </w:p>
                <w:p w14:paraId="77F4AC28">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①环评批复文件和竣工验收文件/现状评估文件；</w:t>
                  </w:r>
                </w:p>
                <w:p w14:paraId="1AE064D2">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②废气治理设施运行管理规程；</w:t>
                  </w:r>
                </w:p>
                <w:p w14:paraId="6EEC615A">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③一年内废气监测报告；</w:t>
                  </w:r>
                </w:p>
                <w:p w14:paraId="6FDE507E">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④国家版排污许可证，并按要求开展自行监测和信息披露，有规范的排气筒监测平台和排污口标识</w:t>
                  </w:r>
                </w:p>
                <w:p w14:paraId="6B697FDA">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（2）台账记录信息完整</w:t>
                  </w:r>
                </w:p>
                <w:p w14:paraId="010B16E2">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①生产设施运行管理信息（生产时间、运行负荷、产品产量等）；</w:t>
                  </w:r>
                </w:p>
                <w:p w14:paraId="09A52CEB">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②废气污染治理设施运行管理信息（除尘滤料、活性炭等更换量和时间）；</w:t>
                  </w:r>
                </w:p>
                <w:p w14:paraId="4CC0CAD9">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③监测记录信息（主要污染排放口废气排放记录（手工监测和在线监测）等）；</w:t>
                  </w:r>
                </w:p>
                <w:p w14:paraId="73E3A0E2">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（3）人员配置合理</w:t>
                  </w:r>
                </w:p>
                <w:p w14:paraId="4CEF25A0">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配备专/兼职环保人员，并具备相应的环境管理能力（学历、培训、从业经验等）。</w:t>
                  </w:r>
                </w:p>
              </w:tc>
              <w:tc>
                <w:tcPr>
                  <w:tcW w:w="887" w:type="dxa"/>
                  <w:noWrap w:val="0"/>
                  <w:vAlign w:val="center"/>
                </w:tcPr>
                <w:p w14:paraId="703E0187">
                  <w:pPr>
                    <w:keepNext w:val="0"/>
                    <w:keepLines w:val="0"/>
                    <w:suppressLineNumbers w:val="0"/>
                    <w:bidi w:val="0"/>
                    <w:spacing w:before="0" w:beforeAutospacing="0" w:after="0" w:afterAutospacing="0"/>
                    <w:ind w:left="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符合</w:t>
                  </w:r>
                </w:p>
              </w:tc>
            </w:tr>
            <w:tr w14:paraId="694D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16" w:type="dxa"/>
                  <w:gridSpan w:val="2"/>
                  <w:noWrap w:val="0"/>
                  <w:vAlign w:val="center"/>
                </w:tcPr>
                <w:p w14:paraId="31FE73B4">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其他控制</w:t>
                  </w:r>
                </w:p>
                <w:p w14:paraId="2B6C41E1">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要求</w:t>
                  </w:r>
                </w:p>
              </w:tc>
              <w:tc>
                <w:tcPr>
                  <w:tcW w:w="2984" w:type="dxa"/>
                  <w:noWrap w:val="0"/>
                  <w:vAlign w:val="center"/>
                </w:tcPr>
                <w:p w14:paraId="4E0FEC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（1）生产工艺和装备</w:t>
                  </w:r>
                </w:p>
                <w:p w14:paraId="5B37A99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不属于《产业结构调整指导目录（2019 年版）》淘汰类，不属于省级和市级政府部门明确列入已经限期淘汰类项目。</w:t>
                  </w:r>
                </w:p>
                <w:p w14:paraId="0F7800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（2）污染治理副产物</w:t>
                  </w:r>
                </w:p>
                <w:p w14:paraId="078A14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p w14:paraId="323336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（3）用电量/视频监管</w:t>
                  </w:r>
                </w:p>
                <w:p w14:paraId="3C9EC3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 A、B 级企业，应在主要生产设备（投料口、卸料口等位置）安装视频监控设施，相关数据保存三个月以上。</w:t>
                  </w:r>
                </w:p>
                <w:p w14:paraId="51F165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（4）厂容厂貌</w:t>
                  </w:r>
                </w:p>
                <w:p w14:paraId="396B89F0">
                  <w:pPr>
                    <w:pStyle w:val="30"/>
                    <w:keepNext w:val="0"/>
                    <w:keepLines w:val="0"/>
                    <w:suppressLineNumbers w:val="0"/>
                    <w:bidi w:val="0"/>
                    <w:spacing w:before="0" w:beforeAutospacing="0" w:after="0" w:afterAutospacing="0"/>
                    <w:ind w:right="0"/>
                    <w:jc w:val="left"/>
                    <w:rPr>
                      <w:rFonts w:hint="default" w:ascii="Times New Roman" w:hAnsi="Times New Roman" w:cs="Times New Roman"/>
                      <w:lang w:val="en-US" w:eastAsia="zh-CN"/>
                    </w:rPr>
                  </w:pPr>
                  <w:r>
                    <w:rPr>
                      <w:rFonts w:hint="default" w:ascii="Times New Roman" w:hAnsi="Times New Roman" w:cs="Times New Roman"/>
                      <w:lang w:val="en-US" w:eastAsia="zh-CN"/>
                    </w:rPr>
                    <w:t>厂区内道路、原辅材料和燃料堆场等路面应硬化。厂区内道路采取定期清扫、洒水等措施，保持清洁，路面无明显可见积尘。其他未利用地优先绿化，或进行硬化，无成片裸露土地。</w:t>
                  </w:r>
                </w:p>
              </w:tc>
              <w:tc>
                <w:tcPr>
                  <w:tcW w:w="2191" w:type="dxa"/>
                  <w:noWrap w:val="0"/>
                  <w:vAlign w:val="center"/>
                </w:tcPr>
                <w:p w14:paraId="6E4632D8">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highlight w:val="none"/>
                      <w:lang w:val="en-US" w:eastAsia="zh-CN"/>
                    </w:rPr>
                  </w:pPr>
                  <w:r>
                    <w:rPr>
                      <w:rFonts w:hint="default" w:ascii="Times New Roman" w:hAnsi="Times New Roman" w:cs="Times New Roman"/>
                      <w:lang w:val="en-US" w:eastAsia="zh-CN"/>
                    </w:rPr>
                    <w:t>本项目：（1）生产工艺和装备</w:t>
                  </w:r>
                  <w:r>
                    <w:rPr>
                      <w:rFonts w:hint="eastAsia" w:cs="Times New Roman"/>
                      <w:lang w:val="en-US" w:eastAsia="zh-CN"/>
                    </w:rPr>
                    <w:t>不</w:t>
                  </w:r>
                  <w:r>
                    <w:rPr>
                      <w:rFonts w:hint="default" w:ascii="Times New Roman" w:hAnsi="Times New Roman" w:cs="Times New Roman"/>
                      <w:lang w:val="en-US" w:eastAsia="zh-CN"/>
                    </w:rPr>
                    <w:t>属于《产业结构调整指导目录（20</w:t>
                  </w:r>
                  <w:r>
                    <w:rPr>
                      <w:rFonts w:hint="eastAsia" w:cs="Times New Roman"/>
                      <w:lang w:val="en-US" w:eastAsia="zh-CN"/>
                    </w:rPr>
                    <w:t>24</w:t>
                  </w:r>
                  <w:r>
                    <w:rPr>
                      <w:rFonts w:hint="default" w:ascii="Times New Roman" w:hAnsi="Times New Roman" w:cs="Times New Roman"/>
                      <w:lang w:val="en-US" w:eastAsia="zh-CN"/>
                    </w:rPr>
                    <w:t>年版）》淘汰类</w:t>
                  </w:r>
                  <w:r>
                    <w:rPr>
                      <w:rFonts w:hint="eastAsia" w:cs="Times New Roman"/>
                      <w:lang w:val="en-US" w:eastAsia="zh-CN"/>
                    </w:rPr>
                    <w:t>，属于鼓励类</w:t>
                  </w:r>
                  <w:r>
                    <w:rPr>
                      <w:rFonts w:hint="default" w:ascii="Times New Roman" w:hAnsi="Times New Roman" w:cs="Times New Roman"/>
                      <w:lang w:val="en-US" w:eastAsia="zh-CN"/>
                    </w:rPr>
                    <w:t>，不属于省级和市级政府部门明确列入已经限</w:t>
                  </w:r>
                  <w:r>
                    <w:rPr>
                      <w:rFonts w:hint="default" w:ascii="Times New Roman" w:hAnsi="Times New Roman" w:cs="Times New Roman"/>
                      <w:highlight w:val="none"/>
                      <w:lang w:val="en-US" w:eastAsia="zh-CN"/>
                    </w:rPr>
                    <w:t>期淘汰类项目。</w:t>
                  </w:r>
                </w:p>
                <w:p w14:paraId="55B0B19B">
                  <w:pPr>
                    <w:pStyle w:val="30"/>
                    <w:keepNext w:val="0"/>
                    <w:keepLines w:val="0"/>
                    <w:numPr>
                      <w:ilvl w:val="0"/>
                      <w:numId w:val="1"/>
                    </w:numPr>
                    <w:suppressLineNumbers w:val="0"/>
                    <w:bidi w:val="0"/>
                    <w:spacing w:before="0" w:beforeAutospacing="0" w:after="0" w:afterAutospacing="0"/>
                    <w:ind w:left="0" w:right="0"/>
                    <w:jc w:val="left"/>
                    <w:rPr>
                      <w:rFonts w:hint="eastAsia" w:cs="Times New Roman"/>
                      <w:highlight w:val="none"/>
                      <w:lang w:val="en-US" w:eastAsia="zh-CN"/>
                    </w:rPr>
                  </w:pPr>
                  <w:r>
                    <w:rPr>
                      <w:rFonts w:hint="default" w:ascii="Times New Roman" w:hAnsi="Times New Roman" w:cs="Times New Roman"/>
                      <w:highlight w:val="none"/>
                      <w:lang w:val="en-US" w:eastAsia="zh-CN"/>
                    </w:rPr>
                    <w:t>本项目</w:t>
                  </w:r>
                  <w:r>
                    <w:rPr>
                      <w:rFonts w:hint="eastAsia" w:cs="Times New Roman"/>
                      <w:highlight w:val="none"/>
                      <w:lang w:val="en-US" w:eastAsia="zh-CN"/>
                    </w:rPr>
                    <w:t>不涉及除尘器等处理装置</w:t>
                  </w:r>
                </w:p>
                <w:p w14:paraId="04F1DEBB">
                  <w:pPr>
                    <w:pStyle w:val="30"/>
                    <w:keepNext w:val="0"/>
                    <w:keepLines w:val="0"/>
                    <w:numPr>
                      <w:ilvl w:val="0"/>
                      <w:numId w:val="0"/>
                    </w:numPr>
                    <w:suppressLineNumbers w:val="0"/>
                    <w:bidi w:val="0"/>
                    <w:spacing w:before="0" w:beforeAutospacing="0" w:after="0" w:afterAutospacing="0"/>
                    <w:ind w:right="0" w:rightChars="0"/>
                    <w:jc w:val="left"/>
                    <w:rPr>
                      <w:rFonts w:hint="default" w:ascii="Times New Roman" w:hAnsi="Times New Roman" w:cs="Times New Roman"/>
                      <w:lang w:val="en-US" w:eastAsia="zh-CN"/>
                    </w:rPr>
                  </w:pPr>
                  <w:r>
                    <w:rPr>
                      <w:rFonts w:hint="default" w:ascii="Times New Roman" w:hAnsi="Times New Roman" w:cs="Times New Roman"/>
                      <w:lang w:val="en-US" w:eastAsia="zh-CN"/>
                    </w:rPr>
                    <w:t>（3）用电量/视频监管按照《河南省涉气排污单位污染治理设施用电监管技术指南（试行）》要求安装用电监管设备（有自动在线监控系统的企业除外），用电监管数据直接上传至省、市生态环境部门的污染治理设施用电监管平台服务器</w:t>
                  </w:r>
                </w:p>
                <w:p w14:paraId="60B30DA9">
                  <w:pPr>
                    <w:pStyle w:val="30"/>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（4）厂容厂貌</w:t>
                  </w:r>
                </w:p>
                <w:p w14:paraId="262AEF9E">
                  <w:pPr>
                    <w:pStyle w:val="30"/>
                    <w:keepNext w:val="0"/>
                    <w:keepLines w:val="0"/>
                    <w:suppressLineNumbers w:val="0"/>
                    <w:bidi w:val="0"/>
                    <w:spacing w:before="0" w:beforeAutospacing="0" w:after="0" w:afterAutospacing="0"/>
                    <w:ind w:right="0"/>
                    <w:jc w:val="left"/>
                    <w:rPr>
                      <w:rFonts w:hint="default" w:ascii="Times New Roman" w:hAnsi="Times New Roman" w:cs="Times New Roman"/>
                      <w:lang w:val="en-US" w:eastAsia="zh-CN"/>
                    </w:rPr>
                  </w:pPr>
                  <w:r>
                    <w:rPr>
                      <w:rFonts w:hint="default" w:ascii="Times New Roman" w:hAnsi="Times New Roman" w:cs="Times New Roman"/>
                      <w:lang w:val="en-US" w:eastAsia="zh-CN"/>
                    </w:rPr>
                    <w:t>厂区内道路、原辅材料等路面应硬化。厂区内道路采取定期清扫、洒水等措施，保持清洁，路面无明显可见积尘。其他未利用地优先绿化，或进行硬化，无成片裸露土地。</w:t>
                  </w:r>
                </w:p>
              </w:tc>
              <w:tc>
                <w:tcPr>
                  <w:tcW w:w="887" w:type="dxa"/>
                  <w:noWrap w:val="0"/>
                  <w:vAlign w:val="center"/>
                </w:tcPr>
                <w:p w14:paraId="400EBCD0">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4869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16" w:type="dxa"/>
                  <w:gridSpan w:val="2"/>
                  <w:noWrap w:val="0"/>
                  <w:vAlign w:val="center"/>
                </w:tcPr>
                <w:p w14:paraId="5FC5BFD9">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排放限值</w:t>
                  </w:r>
                </w:p>
                <w:p w14:paraId="169BDB9A">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要求</w:t>
                  </w:r>
                </w:p>
              </w:tc>
              <w:tc>
                <w:tcPr>
                  <w:tcW w:w="2984" w:type="dxa"/>
                  <w:noWrap w:val="0"/>
                  <w:vAlign w:val="center"/>
                </w:tcPr>
                <w:p w14:paraId="35D70F6F">
                  <w:pPr>
                    <w:pStyle w:val="30"/>
                    <w:keepNext w:val="0"/>
                    <w:keepLines w:val="0"/>
                    <w:suppressLineNumbers w:val="0"/>
                    <w:bidi w:val="0"/>
                    <w:spacing w:before="0" w:beforeAutospacing="0" w:after="0" w:afterAutospacing="0"/>
                    <w:ind w:left="0" w:right="0"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PM：10mg/m³</w:t>
                  </w:r>
                </w:p>
              </w:tc>
              <w:tc>
                <w:tcPr>
                  <w:tcW w:w="2191" w:type="dxa"/>
                  <w:noWrap w:val="0"/>
                  <w:vAlign w:val="center"/>
                </w:tcPr>
                <w:p w14:paraId="20C18B76">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本项目拟执行PM：10mg/m³限值要求</w:t>
                  </w:r>
                </w:p>
              </w:tc>
              <w:tc>
                <w:tcPr>
                  <w:tcW w:w="887" w:type="dxa"/>
                  <w:noWrap w:val="0"/>
                  <w:vAlign w:val="center"/>
                </w:tcPr>
                <w:p w14:paraId="46F0C768">
                  <w:pPr>
                    <w:pStyle w:val="30"/>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54AE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16" w:type="dxa"/>
                  <w:gridSpan w:val="2"/>
                  <w:shd w:val="clear" w:color="auto" w:fill="auto"/>
                  <w:noWrap w:val="0"/>
                  <w:vAlign w:val="center"/>
                </w:tcPr>
                <w:p w14:paraId="29EFCD0F">
                  <w:pPr>
                    <w:pStyle w:val="3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en-US" w:eastAsia="zh-CN"/>
                    </w:rPr>
                    <w:t>差异化</w:t>
                  </w:r>
                </w:p>
                <w:p w14:paraId="3A2FDA49">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sz w:val="21"/>
                      <w:szCs w:val="21"/>
                      <w:u w:val="none"/>
                      <w:lang w:val="en-US" w:eastAsia="zh-CN"/>
                    </w:rPr>
                    <w:t>指标</w:t>
                  </w:r>
                </w:p>
              </w:tc>
              <w:tc>
                <w:tcPr>
                  <w:tcW w:w="2984" w:type="dxa"/>
                  <w:shd w:val="clear" w:color="auto" w:fill="auto"/>
                  <w:noWrap w:val="0"/>
                  <w:vAlign w:val="center"/>
                </w:tcPr>
                <w:p w14:paraId="2AE51729">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i w:val="0"/>
                      <w:iCs w:val="0"/>
                      <w:caps w:val="0"/>
                      <w:color w:val="000000"/>
                      <w:spacing w:val="0"/>
                      <w:sz w:val="21"/>
                      <w:szCs w:val="21"/>
                      <w:u w:val="none"/>
                    </w:rPr>
                  </w:pPr>
                  <w:r>
                    <w:rPr>
                      <w:rFonts w:hint="default" w:ascii="Times New Roman" w:hAnsi="Times New Roman" w:eastAsia="宋体" w:cs="Times New Roman"/>
                      <w:b/>
                      <w:bCs/>
                      <w:i w:val="0"/>
                      <w:iCs w:val="0"/>
                      <w:caps w:val="0"/>
                      <w:color w:val="000000"/>
                      <w:spacing w:val="0"/>
                      <w:sz w:val="21"/>
                      <w:szCs w:val="21"/>
                      <w:u w:val="none"/>
                    </w:rPr>
                    <w:t>涉</w:t>
                  </w:r>
                  <w:r>
                    <w:rPr>
                      <w:rFonts w:hint="eastAsia" w:cs="Times New Roman"/>
                      <w:b/>
                      <w:bCs/>
                      <w:i w:val="0"/>
                      <w:iCs w:val="0"/>
                      <w:caps w:val="0"/>
                      <w:color w:val="000000"/>
                      <w:spacing w:val="0"/>
                      <w:sz w:val="21"/>
                      <w:szCs w:val="21"/>
                      <w:u w:val="none"/>
                      <w:lang w:val="en-US" w:eastAsia="zh-CN"/>
                    </w:rPr>
                    <w:t>锅炉</w:t>
                  </w:r>
                  <w:r>
                    <w:rPr>
                      <w:rFonts w:hint="default" w:ascii="Times New Roman" w:hAnsi="Times New Roman" w:eastAsia="宋体" w:cs="Times New Roman"/>
                      <w:b/>
                      <w:bCs/>
                      <w:i w:val="0"/>
                      <w:iCs w:val="0"/>
                      <w:caps w:val="0"/>
                      <w:color w:val="000000"/>
                      <w:spacing w:val="0"/>
                      <w:sz w:val="21"/>
                      <w:szCs w:val="21"/>
                      <w:u w:val="none"/>
                    </w:rPr>
                    <w:t>企业绩效分级指标</w:t>
                  </w:r>
                </w:p>
                <w:p w14:paraId="0498B3FD">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i w:val="0"/>
                      <w:iCs w:val="0"/>
                      <w:caps w:val="0"/>
                      <w:color w:val="000000"/>
                      <w:spacing w:val="0"/>
                      <w:sz w:val="21"/>
                      <w:szCs w:val="21"/>
                      <w:u w:val="none"/>
                    </w:rPr>
                    <w:t>（</w:t>
                  </w:r>
                  <w:r>
                    <w:rPr>
                      <w:rFonts w:hint="default" w:ascii="Times New Roman" w:hAnsi="Times New Roman" w:eastAsia="宋体" w:cs="Times New Roman"/>
                      <w:b/>
                      <w:bCs/>
                      <w:i w:val="0"/>
                      <w:iCs w:val="0"/>
                      <w:caps w:val="0"/>
                      <w:color w:val="000000"/>
                      <w:spacing w:val="0"/>
                      <w:sz w:val="21"/>
                      <w:szCs w:val="21"/>
                      <w:u w:val="none"/>
                      <w:lang w:val="en-US" w:eastAsia="zh-CN"/>
                    </w:rPr>
                    <w:t>A</w:t>
                  </w:r>
                  <w:r>
                    <w:rPr>
                      <w:rFonts w:hint="default" w:ascii="Times New Roman" w:hAnsi="Times New Roman" w:eastAsia="宋体" w:cs="Times New Roman"/>
                      <w:b/>
                      <w:bCs/>
                      <w:i w:val="0"/>
                      <w:iCs w:val="0"/>
                      <w:caps w:val="0"/>
                      <w:color w:val="000000"/>
                      <w:spacing w:val="0"/>
                      <w:sz w:val="21"/>
                      <w:szCs w:val="21"/>
                      <w:u w:val="none"/>
                    </w:rPr>
                    <w:t>级企业）</w:t>
                  </w:r>
                </w:p>
              </w:tc>
              <w:tc>
                <w:tcPr>
                  <w:tcW w:w="2191" w:type="dxa"/>
                  <w:shd w:val="clear" w:color="auto" w:fill="auto"/>
                  <w:noWrap w:val="0"/>
                  <w:vAlign w:val="center"/>
                </w:tcPr>
                <w:p w14:paraId="30D5974D">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sz w:val="21"/>
                      <w:szCs w:val="21"/>
                      <w:u w:val="none"/>
                      <w:lang w:val="en-US" w:eastAsia="zh-CN"/>
                    </w:rPr>
                    <w:t>企业对标情况</w:t>
                  </w:r>
                </w:p>
              </w:tc>
              <w:tc>
                <w:tcPr>
                  <w:tcW w:w="887" w:type="dxa"/>
                  <w:shd w:val="clear" w:color="auto" w:fill="auto"/>
                  <w:noWrap w:val="0"/>
                  <w:vAlign w:val="center"/>
                </w:tcPr>
                <w:p w14:paraId="598361CF">
                  <w:pPr>
                    <w:pStyle w:val="3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en-US" w:eastAsia="zh-CN"/>
                    </w:rPr>
                    <w:t>符合性</w:t>
                  </w:r>
                </w:p>
                <w:p w14:paraId="1A4FAC92">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sz w:val="21"/>
                      <w:szCs w:val="21"/>
                      <w:u w:val="none"/>
                      <w:lang w:val="en-US" w:eastAsia="zh-CN"/>
                    </w:rPr>
                    <w:t>分析</w:t>
                  </w:r>
                </w:p>
              </w:tc>
            </w:tr>
            <w:tr w14:paraId="024A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16" w:type="dxa"/>
                  <w:gridSpan w:val="2"/>
                  <w:shd w:val="clear" w:color="auto" w:fill="auto"/>
                  <w:noWrap w:val="0"/>
                  <w:vAlign w:val="center"/>
                </w:tcPr>
                <w:p w14:paraId="1240BAFE">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能源类型</w:t>
                  </w:r>
                </w:p>
              </w:tc>
              <w:tc>
                <w:tcPr>
                  <w:tcW w:w="2984" w:type="dxa"/>
                  <w:shd w:val="clear" w:color="auto" w:fill="auto"/>
                  <w:noWrap w:val="0"/>
                  <w:vAlign w:val="center"/>
                </w:tcPr>
                <w:p w14:paraId="539863C8">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highlight w:val="yellow"/>
                      <w:u w:val="none"/>
                      <w:lang w:val="en-US" w:eastAsia="zh-CN"/>
                    </w:rPr>
                  </w:pPr>
                  <w:r>
                    <w:rPr>
                      <w:rFonts w:hint="default" w:ascii="Times New Roman" w:hAnsi="Times New Roman" w:eastAsia="宋体" w:cs="Times New Roman"/>
                      <w:b w:val="0"/>
                      <w:bCs w:val="0"/>
                      <w:sz w:val="21"/>
                      <w:szCs w:val="21"/>
                      <w:u w:val="none"/>
                    </w:rPr>
                    <w:t>以电、天然气为能源</w:t>
                  </w:r>
                </w:p>
              </w:tc>
              <w:tc>
                <w:tcPr>
                  <w:tcW w:w="2191" w:type="dxa"/>
                  <w:shd w:val="clear" w:color="auto" w:fill="auto"/>
                  <w:noWrap w:val="0"/>
                  <w:vAlign w:val="center"/>
                </w:tcPr>
                <w:p w14:paraId="328AA85F">
                  <w:pPr>
                    <w:pStyle w:val="30"/>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i w:val="0"/>
                      <w:iCs w:val="0"/>
                      <w:caps w:val="0"/>
                      <w:color w:val="000000"/>
                      <w:spacing w:val="0"/>
                      <w:sz w:val="21"/>
                      <w:szCs w:val="21"/>
                      <w:u w:val="none"/>
                      <w:lang w:val="en-US" w:eastAsia="zh-CN"/>
                    </w:rPr>
                  </w:pPr>
                  <w:r>
                    <w:rPr>
                      <w:rFonts w:hint="default" w:ascii="Times New Roman" w:hAnsi="Times New Roman" w:eastAsia="宋体" w:cs="Times New Roman"/>
                      <w:i w:val="0"/>
                      <w:iCs w:val="0"/>
                      <w:caps w:val="0"/>
                      <w:color w:val="000000"/>
                      <w:spacing w:val="0"/>
                      <w:sz w:val="21"/>
                      <w:szCs w:val="21"/>
                      <w:u w:val="none"/>
                    </w:rPr>
                    <w:t>本项目以</w:t>
                  </w:r>
                  <w:r>
                    <w:rPr>
                      <w:rFonts w:hint="eastAsia" w:ascii="Times New Roman" w:hAnsi="Times New Roman" w:eastAsia="宋体" w:cs="Times New Roman"/>
                      <w:i w:val="0"/>
                      <w:iCs w:val="0"/>
                      <w:caps w:val="0"/>
                      <w:color w:val="000000"/>
                      <w:spacing w:val="0"/>
                      <w:sz w:val="21"/>
                      <w:szCs w:val="21"/>
                      <w:u w:val="none"/>
                      <w:lang w:val="en-US" w:eastAsia="zh-CN"/>
                    </w:rPr>
                    <w:t>天然气</w:t>
                  </w:r>
                </w:p>
                <w:p w14:paraId="749AC139">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i w:val="0"/>
                      <w:iCs w:val="0"/>
                      <w:caps w:val="0"/>
                      <w:color w:val="000000"/>
                      <w:spacing w:val="0"/>
                      <w:sz w:val="21"/>
                      <w:szCs w:val="21"/>
                      <w:u w:val="none"/>
                    </w:rPr>
                    <w:t>为能源</w:t>
                  </w:r>
                </w:p>
              </w:tc>
              <w:tc>
                <w:tcPr>
                  <w:tcW w:w="887" w:type="dxa"/>
                  <w:shd w:val="clear" w:color="auto" w:fill="auto"/>
                  <w:noWrap w:val="0"/>
                  <w:vAlign w:val="center"/>
                </w:tcPr>
                <w:p w14:paraId="1BCA0136">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符合</w:t>
                  </w:r>
                </w:p>
              </w:tc>
            </w:tr>
            <w:tr w14:paraId="7E1E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16" w:type="dxa"/>
                  <w:gridSpan w:val="2"/>
                  <w:shd w:val="clear" w:color="auto" w:fill="auto"/>
                  <w:noWrap w:val="0"/>
                  <w:vAlign w:val="center"/>
                </w:tcPr>
                <w:p w14:paraId="6DDDF548">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生产工艺</w:t>
                  </w:r>
                </w:p>
              </w:tc>
              <w:tc>
                <w:tcPr>
                  <w:tcW w:w="2984" w:type="dxa"/>
                  <w:shd w:val="clear" w:color="auto" w:fill="auto"/>
                  <w:noWrap w:val="0"/>
                  <w:vAlign w:val="center"/>
                </w:tcPr>
                <w:p w14:paraId="7E12C910">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属于《产业结构调整指导目录（2019年版）》鼓励类和允许类；</w:t>
                  </w:r>
                </w:p>
                <w:p w14:paraId="2D908781">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2.符合相关行业产业政策；</w:t>
                  </w:r>
                </w:p>
                <w:p w14:paraId="1311E353">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3.符合河南省相关政策要求；</w:t>
                  </w:r>
                </w:p>
                <w:p w14:paraId="7EE21C3A">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highlight w:val="yellow"/>
                      <w:lang w:val="en-US" w:eastAsia="zh-CN"/>
                    </w:rPr>
                  </w:pPr>
                  <w:r>
                    <w:rPr>
                      <w:rFonts w:hint="default" w:ascii="Times New Roman" w:hAnsi="Times New Roman" w:eastAsia="宋体" w:cs="Times New Roman"/>
                      <w:b w:val="0"/>
                      <w:bCs w:val="0"/>
                      <w:sz w:val="21"/>
                      <w:szCs w:val="21"/>
                    </w:rPr>
                    <w:t>4.符合市级规划。</w:t>
                  </w:r>
                </w:p>
              </w:tc>
              <w:tc>
                <w:tcPr>
                  <w:tcW w:w="2191" w:type="dxa"/>
                  <w:shd w:val="clear" w:color="auto" w:fill="auto"/>
                  <w:noWrap w:val="0"/>
                  <w:vAlign w:val="center"/>
                </w:tcPr>
                <w:p w14:paraId="4FC17DD0">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i w:val="0"/>
                      <w:iCs w:val="0"/>
                      <w:caps w:val="0"/>
                      <w:color w:val="000000"/>
                      <w:spacing w:val="0"/>
                      <w:sz w:val="21"/>
                      <w:szCs w:val="21"/>
                    </w:rPr>
                    <w:t>本项目属于《产业结构调整指导目录（2024年）》鼓励类项目，符合相关行业政策、河南相关政策和规划要求。</w:t>
                  </w:r>
                </w:p>
              </w:tc>
              <w:tc>
                <w:tcPr>
                  <w:tcW w:w="887" w:type="dxa"/>
                  <w:shd w:val="clear" w:color="auto" w:fill="auto"/>
                  <w:noWrap w:val="0"/>
                  <w:vAlign w:val="center"/>
                </w:tcPr>
                <w:p w14:paraId="27F45B0B">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符合</w:t>
                  </w:r>
                </w:p>
              </w:tc>
            </w:tr>
            <w:tr w14:paraId="652F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1216" w:type="dxa"/>
                  <w:gridSpan w:val="2"/>
                  <w:shd w:val="clear" w:color="auto" w:fill="auto"/>
                  <w:noWrap w:val="0"/>
                  <w:vAlign w:val="center"/>
                </w:tcPr>
                <w:p w14:paraId="2637C0D9">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污染治理技术</w:t>
                  </w:r>
                </w:p>
              </w:tc>
              <w:tc>
                <w:tcPr>
                  <w:tcW w:w="2984" w:type="dxa"/>
                  <w:shd w:val="clear" w:color="auto" w:fill="auto"/>
                  <w:noWrap w:val="0"/>
                  <w:vAlign w:val="center"/>
                </w:tcPr>
                <w:p w14:paraId="6C988ED7">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电窑：PM采用袋式除尘、电袋复合除尘、湿电除尘、静电除尘等高效除尘技术。</w:t>
                  </w:r>
                </w:p>
                <w:p w14:paraId="08F37845">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2.燃气锅炉/炉窑：（1）PM</w:t>
                  </w:r>
                  <w:r>
                    <w:rPr>
                      <w:rFonts w:hint="default" w:ascii="Times New Roman" w:hAnsi="Times New Roman" w:eastAsia="宋体" w:cs="Times New Roman"/>
                      <w:b w:val="0"/>
                      <w:bCs w:val="0"/>
                      <w:sz w:val="21"/>
                      <w:szCs w:val="21"/>
                      <w:vertAlign w:val="superscript"/>
                    </w:rPr>
                    <w:t>【1】</w:t>
                  </w:r>
                  <w:r>
                    <w:rPr>
                      <w:rFonts w:hint="default" w:ascii="Times New Roman" w:hAnsi="Times New Roman" w:eastAsia="宋体" w:cs="Times New Roman"/>
                      <w:b w:val="0"/>
                      <w:bCs w:val="0"/>
                      <w:sz w:val="21"/>
                      <w:szCs w:val="21"/>
                    </w:rPr>
                    <w:t>采用袋式除尘、静电除尘、湿电 除尘等高效除尘技术；（2）NOx</w:t>
                  </w:r>
                  <w:r>
                    <w:rPr>
                      <w:rFonts w:hint="default" w:ascii="Times New Roman" w:hAnsi="Times New Roman" w:eastAsia="宋体" w:cs="Times New Roman"/>
                      <w:b w:val="0"/>
                      <w:bCs w:val="0"/>
                      <w:sz w:val="21"/>
                      <w:szCs w:val="21"/>
                      <w:vertAlign w:val="superscript"/>
                    </w:rPr>
                    <w:t>【2】</w:t>
                  </w:r>
                  <w:r>
                    <w:rPr>
                      <w:rFonts w:hint="default" w:ascii="Times New Roman" w:hAnsi="Times New Roman" w:eastAsia="宋体" w:cs="Times New Roman"/>
                      <w:b w:val="0"/>
                      <w:bCs w:val="0"/>
                      <w:sz w:val="21"/>
                      <w:szCs w:val="21"/>
                    </w:rPr>
                    <w:t>采用低氮燃烧或SNCR/SCR等技术。</w:t>
                  </w:r>
                </w:p>
                <w:p w14:paraId="052A1648">
                  <w:pPr>
                    <w:pStyle w:val="30"/>
                    <w:keepNext w:val="0"/>
                    <w:keepLines w:val="0"/>
                    <w:numPr>
                      <w:ilvl w:val="0"/>
                      <w:numId w:val="0"/>
                    </w:numPr>
                    <w:suppressLineNumbers w:val="0"/>
                    <w:bidi w:val="0"/>
                    <w:spacing w:before="0" w:beforeAutospacing="0" w:after="0" w:afterAutospacing="0"/>
                    <w:ind w:right="0" w:rightChars="0"/>
                    <w:jc w:val="both"/>
                    <w:rPr>
                      <w:rFonts w:hint="default" w:ascii="Times New Roman" w:hAnsi="Times New Roman" w:eastAsia="宋体" w:cs="Times New Roman"/>
                      <w:b w:val="0"/>
                      <w:bCs w:val="0"/>
                      <w:sz w:val="21"/>
                      <w:szCs w:val="21"/>
                      <w:highlight w:val="yellow"/>
                      <w:lang w:val="en-US" w:eastAsia="zh-CN"/>
                    </w:rPr>
                  </w:pPr>
                  <w:r>
                    <w:rPr>
                      <w:rFonts w:hint="default" w:ascii="Times New Roman" w:hAnsi="Times New Roman" w:eastAsia="宋体" w:cs="Times New Roman"/>
                      <w:b w:val="0"/>
                      <w:bCs w:val="0"/>
                      <w:sz w:val="21"/>
                      <w:szCs w:val="21"/>
                    </w:rPr>
                    <w:t>3.其他工序（非锅炉/炉窑）：PM采用覆膜袋式除尘或其他先进除尘工艺。</w:t>
                  </w:r>
                </w:p>
              </w:tc>
              <w:tc>
                <w:tcPr>
                  <w:tcW w:w="2191" w:type="dxa"/>
                  <w:shd w:val="clear" w:color="auto" w:fill="auto"/>
                  <w:noWrap w:val="0"/>
                  <w:vAlign w:val="center"/>
                </w:tcPr>
                <w:p w14:paraId="343472CF">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rPr>
                    <w:t>燃气锅炉在PM稳定达到排放限值情况下可不采用除尘工艺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i w:val="0"/>
                      <w:iCs w:val="0"/>
                      <w:caps w:val="0"/>
                      <w:color w:val="000000"/>
                      <w:spacing w:val="0"/>
                      <w:sz w:val="21"/>
                      <w:szCs w:val="21"/>
                    </w:rPr>
                    <w:t>项目</w:t>
                  </w:r>
                  <w:r>
                    <w:rPr>
                      <w:rFonts w:hint="eastAsia" w:cs="Times New Roman"/>
                      <w:i w:val="0"/>
                      <w:iCs w:val="0"/>
                      <w:caps w:val="0"/>
                      <w:color w:val="000000"/>
                      <w:spacing w:val="0"/>
                      <w:sz w:val="21"/>
                      <w:szCs w:val="21"/>
                      <w:lang w:val="en-US" w:eastAsia="zh-CN"/>
                    </w:rPr>
                    <w:t>锅炉</w:t>
                  </w:r>
                  <w:r>
                    <w:rPr>
                      <w:rFonts w:hint="default" w:ascii="Times New Roman" w:hAnsi="Times New Roman" w:eastAsia="宋体" w:cs="Times New Roman"/>
                      <w:i w:val="0"/>
                      <w:iCs w:val="0"/>
                      <w:caps w:val="0"/>
                      <w:color w:val="000000"/>
                      <w:spacing w:val="0"/>
                      <w:sz w:val="21"/>
                      <w:szCs w:val="21"/>
                    </w:rPr>
                    <w:t>燃烧废气中NOx采用低氮燃烧</w:t>
                  </w:r>
                  <w:r>
                    <w:rPr>
                      <w:rFonts w:hint="eastAsia" w:cs="Times New Roman"/>
                      <w:i w:val="0"/>
                      <w:iCs w:val="0"/>
                      <w:caps w:val="0"/>
                      <w:color w:val="000000"/>
                      <w:spacing w:val="0"/>
                      <w:sz w:val="21"/>
                      <w:szCs w:val="21"/>
                      <w:lang w:val="en-US" w:eastAsia="zh-CN"/>
                    </w:rPr>
                    <w:t>装置</w:t>
                  </w:r>
                  <w:r>
                    <w:rPr>
                      <w:rFonts w:hint="eastAsia" w:ascii="Times New Roman" w:hAnsi="Times New Roman" w:eastAsia="宋体" w:cs="Times New Roman"/>
                      <w:i w:val="0"/>
                      <w:iCs w:val="0"/>
                      <w:caps w:val="0"/>
                      <w:color w:val="000000"/>
                      <w:spacing w:val="0"/>
                      <w:sz w:val="21"/>
                      <w:szCs w:val="21"/>
                      <w:lang w:val="en-US" w:eastAsia="zh-CN"/>
                    </w:rPr>
                    <w:t>符合污染治理技术要求</w:t>
                  </w:r>
                </w:p>
              </w:tc>
              <w:tc>
                <w:tcPr>
                  <w:tcW w:w="887" w:type="dxa"/>
                  <w:shd w:val="clear" w:color="auto" w:fill="auto"/>
                  <w:noWrap w:val="0"/>
                  <w:vAlign w:val="center"/>
                </w:tcPr>
                <w:p w14:paraId="7B1B17AC">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符合</w:t>
                  </w:r>
                </w:p>
              </w:tc>
            </w:tr>
            <w:tr w14:paraId="2DFB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36" w:type="dxa"/>
                  <w:shd w:val="clear" w:color="auto" w:fill="auto"/>
                  <w:noWrap w:val="0"/>
                  <w:vAlign w:val="center"/>
                </w:tcPr>
                <w:p w14:paraId="781CD7B1">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排放限值</w:t>
                  </w:r>
                </w:p>
              </w:tc>
              <w:tc>
                <w:tcPr>
                  <w:tcW w:w="780" w:type="dxa"/>
                  <w:shd w:val="clear" w:color="auto" w:fill="auto"/>
                  <w:noWrap w:val="0"/>
                  <w:vAlign w:val="center"/>
                </w:tcPr>
                <w:p w14:paraId="7EA427C3">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锅炉</w:t>
                  </w:r>
                </w:p>
              </w:tc>
              <w:tc>
                <w:tcPr>
                  <w:tcW w:w="2984" w:type="dxa"/>
                  <w:shd w:val="clear" w:color="auto" w:fill="auto"/>
                  <w:noWrap w:val="0"/>
                  <w:vAlign w:val="center"/>
                </w:tcPr>
                <w:p w14:paraId="61DCE641">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highlight w:val="yellow"/>
                      <w:lang w:val="en-US" w:eastAsia="zh-CN"/>
                    </w:rPr>
                  </w:pPr>
                  <w:r>
                    <w:rPr>
                      <w:rFonts w:hint="default" w:ascii="Times New Roman" w:hAnsi="Times New Roman" w:eastAsia="宋体" w:cs="Times New Roman"/>
                      <w:b w:val="0"/>
                      <w:bCs w:val="0"/>
                      <w:sz w:val="21"/>
                      <w:szCs w:val="21"/>
                    </w:rPr>
                    <w:t>PM、SO</w:t>
                  </w:r>
                  <w:r>
                    <w:rPr>
                      <w:rFonts w:hint="default" w:ascii="Times New Roman" w:hAnsi="Times New Roman" w:eastAsia="宋体" w:cs="Times New Roman"/>
                      <w:b w:val="0"/>
                      <w:bCs w:val="0"/>
                      <w:sz w:val="21"/>
                      <w:szCs w:val="21"/>
                      <w:vertAlign w:val="subscript"/>
                    </w:rPr>
                    <w:t>2</w:t>
                  </w:r>
                  <w:r>
                    <w:rPr>
                      <w:rFonts w:hint="default" w:ascii="Times New Roman" w:hAnsi="Times New Roman" w:eastAsia="宋体" w:cs="Times New Roman"/>
                      <w:b w:val="0"/>
                      <w:bCs w:val="0"/>
                      <w:sz w:val="21"/>
                      <w:szCs w:val="21"/>
                    </w:rPr>
                    <w:t>、NOx排放浓度分别不高于：燃气：</w:t>
                  </w:r>
                  <w:r>
                    <w:rPr>
                      <w:rFonts w:hint="eastAsia" w:cs="Times New Roman"/>
                      <w:b w:val="0"/>
                      <w:bCs w:val="0"/>
                      <w:sz w:val="21"/>
                      <w:szCs w:val="21"/>
                      <w:lang w:val="en-US" w:eastAsia="zh-CN"/>
                    </w:rPr>
                    <w:t>5</w:t>
                  </w:r>
                  <w:r>
                    <w:rPr>
                      <w:rFonts w:hint="default" w:ascii="Times New Roman" w:hAnsi="Times New Roman" w:eastAsia="宋体" w:cs="Times New Roman"/>
                      <w:b w:val="0"/>
                      <w:bCs w:val="0"/>
                      <w:sz w:val="21"/>
                      <w:szCs w:val="21"/>
                    </w:rPr>
                    <w:t>、</w:t>
                  </w:r>
                  <w:r>
                    <w:rPr>
                      <w:rFonts w:hint="eastAsia" w:cs="Times New Roman"/>
                      <w:b w:val="0"/>
                      <w:bCs w:val="0"/>
                      <w:sz w:val="21"/>
                      <w:szCs w:val="21"/>
                      <w:lang w:val="en-US" w:eastAsia="zh-CN"/>
                    </w:rPr>
                    <w:t>10</w:t>
                  </w:r>
                  <w:r>
                    <w:rPr>
                      <w:rFonts w:hint="default" w:ascii="Times New Roman" w:hAnsi="Times New Roman" w:eastAsia="宋体" w:cs="Times New Roman"/>
                      <w:b w:val="0"/>
                      <w:bCs w:val="0"/>
                      <w:sz w:val="21"/>
                      <w:szCs w:val="21"/>
                    </w:rPr>
                    <w:t>、</w:t>
                  </w:r>
                  <w:r>
                    <w:rPr>
                      <w:rFonts w:hint="eastAsia" w:cs="Times New Roman"/>
                      <w:b w:val="0"/>
                      <w:bCs w:val="0"/>
                      <w:sz w:val="21"/>
                      <w:szCs w:val="21"/>
                      <w:lang w:val="en-US" w:eastAsia="zh-CN"/>
                    </w:rPr>
                    <w:t>3</w:t>
                  </w:r>
                  <w:r>
                    <w:rPr>
                      <w:rFonts w:hint="default" w:ascii="Times New Roman" w:hAnsi="Times New Roman" w:eastAsia="宋体" w:cs="Times New Roman"/>
                      <w:b w:val="0"/>
                      <w:bCs w:val="0"/>
                      <w:sz w:val="21"/>
                      <w:szCs w:val="21"/>
                    </w:rPr>
                    <w:t>0mg/m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（基准含氧量：3.5%</w:t>
                  </w:r>
                </w:p>
              </w:tc>
              <w:tc>
                <w:tcPr>
                  <w:tcW w:w="2191" w:type="dxa"/>
                  <w:shd w:val="clear" w:color="auto" w:fill="auto"/>
                  <w:noWrap w:val="0"/>
                  <w:vAlign w:val="center"/>
                </w:tcPr>
                <w:p w14:paraId="4E5BDBF8">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i w:val="0"/>
                      <w:iCs w:val="0"/>
                      <w:caps w:val="0"/>
                      <w:color w:val="000000"/>
                      <w:spacing w:val="0"/>
                      <w:sz w:val="21"/>
                      <w:szCs w:val="21"/>
                    </w:rPr>
                    <w:t>PM、SO</w:t>
                  </w:r>
                  <w:r>
                    <w:rPr>
                      <w:rFonts w:hint="default" w:ascii="Times New Roman" w:hAnsi="Times New Roman" w:eastAsia="宋体" w:cs="Times New Roman"/>
                      <w:i w:val="0"/>
                      <w:iCs w:val="0"/>
                      <w:caps w:val="0"/>
                      <w:color w:val="000000"/>
                      <w:spacing w:val="0"/>
                      <w:sz w:val="21"/>
                      <w:szCs w:val="21"/>
                      <w:vertAlign w:val="subscript"/>
                    </w:rPr>
                    <w:t>2</w:t>
                  </w:r>
                  <w:r>
                    <w:rPr>
                      <w:rFonts w:hint="default" w:ascii="Times New Roman" w:hAnsi="Times New Roman" w:eastAsia="宋体" w:cs="Times New Roman"/>
                      <w:i w:val="0"/>
                      <w:iCs w:val="0"/>
                      <w:caps w:val="0"/>
                      <w:color w:val="000000"/>
                      <w:spacing w:val="0"/>
                      <w:sz w:val="21"/>
                      <w:szCs w:val="21"/>
                    </w:rPr>
                    <w:t>、NOx排放浓度均不高于</w:t>
                  </w:r>
                  <w:r>
                    <w:rPr>
                      <w:rFonts w:hint="eastAsia" w:cs="Times New Roman"/>
                      <w:i w:val="0"/>
                      <w:iCs w:val="0"/>
                      <w:caps w:val="0"/>
                      <w:color w:val="000000"/>
                      <w:spacing w:val="0"/>
                      <w:sz w:val="21"/>
                      <w:szCs w:val="21"/>
                      <w:lang w:eastAsia="zh-CN"/>
                    </w:rPr>
                    <w:t>：</w:t>
                  </w:r>
                  <w:r>
                    <w:rPr>
                      <w:rFonts w:hint="default" w:ascii="Times New Roman" w:hAnsi="Times New Roman" w:eastAsia="宋体" w:cs="Times New Roman"/>
                      <w:i w:val="0"/>
                      <w:iCs w:val="0"/>
                      <w:caps w:val="0"/>
                      <w:color w:val="000000"/>
                      <w:spacing w:val="0"/>
                      <w:sz w:val="21"/>
                      <w:szCs w:val="21"/>
                    </w:rPr>
                    <w:t>燃气：</w:t>
                  </w:r>
                  <w:r>
                    <w:rPr>
                      <w:rFonts w:hint="eastAsia" w:cs="Times New Roman"/>
                      <w:i w:val="0"/>
                      <w:iCs w:val="0"/>
                      <w:caps w:val="0"/>
                      <w:color w:val="000000"/>
                      <w:spacing w:val="0"/>
                      <w:sz w:val="21"/>
                      <w:szCs w:val="21"/>
                      <w:lang w:val="en-US" w:eastAsia="zh-CN"/>
                    </w:rPr>
                    <w:t>5</w:t>
                  </w:r>
                  <w:r>
                    <w:rPr>
                      <w:rFonts w:hint="default" w:ascii="Times New Roman" w:hAnsi="Times New Roman" w:eastAsia="宋体" w:cs="Times New Roman"/>
                      <w:i w:val="0"/>
                      <w:iCs w:val="0"/>
                      <w:caps w:val="0"/>
                      <w:color w:val="000000"/>
                      <w:spacing w:val="0"/>
                      <w:sz w:val="21"/>
                      <w:szCs w:val="21"/>
                    </w:rPr>
                    <w:t>、</w:t>
                  </w:r>
                  <w:r>
                    <w:rPr>
                      <w:rFonts w:hint="eastAsia" w:cs="Times New Roman"/>
                      <w:i w:val="0"/>
                      <w:iCs w:val="0"/>
                      <w:caps w:val="0"/>
                      <w:color w:val="000000"/>
                      <w:spacing w:val="0"/>
                      <w:sz w:val="21"/>
                      <w:szCs w:val="21"/>
                      <w:lang w:val="en-US" w:eastAsia="zh-CN"/>
                    </w:rPr>
                    <w:t>10</w:t>
                  </w:r>
                  <w:r>
                    <w:rPr>
                      <w:rFonts w:hint="default" w:ascii="Times New Roman" w:hAnsi="Times New Roman" w:eastAsia="宋体" w:cs="Times New Roman"/>
                      <w:i w:val="0"/>
                      <w:iCs w:val="0"/>
                      <w:caps w:val="0"/>
                      <w:color w:val="000000"/>
                      <w:spacing w:val="0"/>
                      <w:sz w:val="21"/>
                      <w:szCs w:val="21"/>
                    </w:rPr>
                    <w:t>、</w:t>
                  </w:r>
                  <w:r>
                    <w:rPr>
                      <w:rFonts w:hint="eastAsia" w:cs="Times New Roman"/>
                      <w:i w:val="0"/>
                      <w:iCs w:val="0"/>
                      <w:caps w:val="0"/>
                      <w:color w:val="000000"/>
                      <w:spacing w:val="0"/>
                      <w:sz w:val="21"/>
                      <w:szCs w:val="21"/>
                      <w:lang w:val="en-US" w:eastAsia="zh-CN"/>
                    </w:rPr>
                    <w:t>3</w:t>
                  </w:r>
                  <w:r>
                    <w:rPr>
                      <w:rFonts w:hint="default" w:ascii="Times New Roman" w:hAnsi="Times New Roman" w:eastAsia="宋体" w:cs="Times New Roman"/>
                      <w:i w:val="0"/>
                      <w:iCs w:val="0"/>
                      <w:caps w:val="0"/>
                      <w:color w:val="000000"/>
                      <w:spacing w:val="0"/>
                      <w:sz w:val="21"/>
                      <w:szCs w:val="21"/>
                    </w:rPr>
                    <w:t>0mg/m</w:t>
                  </w:r>
                  <w:r>
                    <w:rPr>
                      <w:rFonts w:hint="default" w:ascii="Times New Roman" w:hAnsi="Times New Roman" w:eastAsia="宋体" w:cs="Times New Roman"/>
                      <w:i w:val="0"/>
                      <w:iCs w:val="0"/>
                      <w:caps w:val="0"/>
                      <w:color w:val="000000"/>
                      <w:spacing w:val="0"/>
                      <w:sz w:val="21"/>
                      <w:szCs w:val="21"/>
                      <w:vertAlign w:val="superscript"/>
                    </w:rPr>
                    <w:t>3</w:t>
                  </w:r>
                  <w:r>
                    <w:rPr>
                      <w:rFonts w:hint="default" w:ascii="Times New Roman" w:hAnsi="Times New Roman" w:eastAsia="宋体" w:cs="Times New Roman"/>
                      <w:i w:val="0"/>
                      <w:iCs w:val="0"/>
                      <w:caps w:val="0"/>
                      <w:color w:val="000000"/>
                      <w:spacing w:val="0"/>
                      <w:sz w:val="21"/>
                      <w:szCs w:val="21"/>
                    </w:rPr>
                    <w:t>（基准含氧量：</w:t>
                  </w:r>
                  <w:r>
                    <w:rPr>
                      <w:rFonts w:hint="default" w:ascii="Times New Roman" w:hAnsi="Times New Roman" w:eastAsia="宋体" w:cs="Times New Roman"/>
                      <w:b w:val="0"/>
                      <w:bCs w:val="0"/>
                      <w:sz w:val="21"/>
                      <w:szCs w:val="21"/>
                    </w:rPr>
                    <w:t>3.5%</w:t>
                  </w:r>
                </w:p>
              </w:tc>
              <w:tc>
                <w:tcPr>
                  <w:tcW w:w="887" w:type="dxa"/>
                  <w:shd w:val="clear" w:color="auto" w:fill="auto"/>
                  <w:noWrap w:val="0"/>
                  <w:vAlign w:val="center"/>
                </w:tcPr>
                <w:p w14:paraId="0F41501D">
                  <w:pPr>
                    <w:pStyle w:val="30"/>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符合</w:t>
                  </w:r>
                </w:p>
              </w:tc>
            </w:tr>
          </w:tbl>
          <w:p w14:paraId="7A701E7C">
            <w:pPr>
              <w:pStyle w:val="17"/>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由上表分析可知，</w:t>
            </w:r>
            <w:r>
              <w:rPr>
                <w:rFonts w:hint="default" w:ascii="Times New Roman" w:hAnsi="Times New Roman" w:eastAsia="宋体" w:cs="Times New Roman"/>
                <w:b w:val="0"/>
                <w:bCs w:val="0"/>
                <w:color w:val="auto"/>
                <w:kern w:val="0"/>
                <w:sz w:val="24"/>
                <w:szCs w:val="24"/>
                <w:highlight w:val="none"/>
                <w:lang w:val="en-US" w:eastAsia="zh-CN"/>
              </w:rPr>
              <w:t>本项目建设符合《</w:t>
            </w:r>
            <w:r>
              <w:rPr>
                <w:rFonts w:hint="default" w:ascii="Times New Roman" w:hAnsi="Times New Roman" w:eastAsia="宋体" w:cs="Times New Roman"/>
                <w:b w:val="0"/>
                <w:bCs w:val="0"/>
                <w:kern w:val="28"/>
                <w:sz w:val="24"/>
                <w:szCs w:val="40"/>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4"/>
                <w:szCs w:val="40"/>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rPr>
              <w:t>中相关要</w:t>
            </w:r>
            <w:r>
              <w:rPr>
                <w:rFonts w:hint="default" w:ascii="Times New Roman" w:hAnsi="Times New Roman" w:eastAsia="宋体" w:cs="Times New Roman"/>
                <w:color w:val="auto"/>
                <w:kern w:val="0"/>
                <w:sz w:val="24"/>
                <w:szCs w:val="24"/>
                <w:highlight w:val="none"/>
                <w:lang w:val="en-US" w:eastAsia="zh-CN"/>
              </w:rPr>
              <w:t>求</w:t>
            </w:r>
            <w:r>
              <w:rPr>
                <w:rFonts w:hint="default" w:ascii="Times New Roman" w:hAnsi="Times New Roman" w:eastAsia="宋体" w:cs="Times New Roman"/>
                <w:color w:val="auto"/>
                <w:sz w:val="24"/>
                <w:szCs w:val="24"/>
                <w:highlight w:val="none"/>
              </w:rPr>
              <w:t>。</w:t>
            </w:r>
          </w:p>
          <w:p w14:paraId="24224C86">
            <w:pPr>
              <w:pStyle w:val="28"/>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val="0"/>
                <w:color w:val="auto"/>
                <w:kern w:val="28"/>
                <w:sz w:val="24"/>
                <w:szCs w:val="40"/>
                <w:highlight w:val="none"/>
                <w:lang w:val="en-US" w:eastAsia="zh-CN" w:bidi="ar-SA"/>
              </w:rPr>
            </w:pPr>
            <w:r>
              <w:rPr>
                <w:rFonts w:hint="eastAsia" w:ascii="Times New Roman" w:hAnsi="Times New Roman" w:cs="Times New Roman"/>
                <w:b/>
                <w:bCs w:val="0"/>
                <w:color w:val="auto"/>
                <w:kern w:val="28"/>
                <w:sz w:val="24"/>
                <w:szCs w:val="40"/>
                <w:highlight w:val="none"/>
                <w:lang w:val="en-US" w:eastAsia="zh-CN" w:bidi="ar-SA"/>
              </w:rPr>
              <w:t>13</w:t>
            </w:r>
            <w:r>
              <w:rPr>
                <w:rFonts w:hint="default" w:ascii="Times New Roman" w:hAnsi="Times New Roman" w:cs="Times New Roman"/>
                <w:b/>
                <w:bCs w:val="0"/>
                <w:color w:val="auto"/>
                <w:kern w:val="28"/>
                <w:sz w:val="24"/>
                <w:szCs w:val="40"/>
                <w:highlight w:val="none"/>
                <w:lang w:val="en-US" w:eastAsia="zh-CN" w:bidi="ar-SA"/>
              </w:rPr>
              <w:t>、与《河南省人民政府关于河南省空气质量持续改善行动计划的通知》（豫政〔2024〕12号）</w:t>
            </w:r>
          </w:p>
          <w:p w14:paraId="2859E9FA">
            <w:pPr>
              <w:pStyle w:val="6"/>
              <w:keepNext w:val="0"/>
              <w:keepLines w:val="0"/>
              <w:pageBreakBefore w:val="0"/>
              <w:widowControl w:val="0"/>
              <w:numPr>
                <w:ilvl w:val="0"/>
                <w:numId w:val="0"/>
              </w:numPr>
              <w:suppressLineNumbers w:val="0"/>
              <w:kinsoku/>
              <w:wordWrap/>
              <w:overflowPunct/>
              <w:topLinePunct w:val="0"/>
              <w:bidi w:val="0"/>
              <w:spacing w:before="0" w:beforeAutospacing="0" w:after="0" w:afterAutospacing="0" w:line="500" w:lineRule="exact"/>
              <w:ind w:right="0"/>
              <w:jc w:val="center"/>
              <w:textAlignment w:val="auto"/>
              <w:rPr>
                <w:rFonts w:hint="default" w:ascii="Times New Roman" w:hAnsi="Times New Roman" w:eastAsia="黑体" w:cs="Times New Roman"/>
                <w:b w:val="0"/>
                <w:color w:val="auto"/>
                <w:kern w:val="0"/>
                <w:sz w:val="24"/>
                <w:szCs w:val="24"/>
                <w:highlight w:val="none"/>
                <w:u w:val="none"/>
                <w:lang w:val="en-US" w:eastAsia="zh-CN" w:bidi="ar-SA"/>
              </w:rPr>
            </w:pPr>
            <w:r>
              <w:rPr>
                <w:rFonts w:hint="default" w:ascii="Times New Roman" w:hAnsi="Times New Roman" w:eastAsia="黑体" w:cs="Times New Roman"/>
                <w:b w:val="0"/>
                <w:color w:val="auto"/>
                <w:kern w:val="0"/>
                <w:sz w:val="24"/>
                <w:szCs w:val="24"/>
                <w:highlight w:val="none"/>
                <w:u w:val="none"/>
                <w:lang w:val="en-US" w:eastAsia="zh-CN" w:bidi="ar-SA"/>
              </w:rPr>
              <w:t>表1-7 本项目建设内容与上述文件符合性分析一览表</w:t>
            </w:r>
          </w:p>
          <w:tbl>
            <w:tblPr>
              <w:tblStyle w:val="21"/>
              <w:tblW w:w="73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1024"/>
              <w:gridCol w:w="3408"/>
              <w:gridCol w:w="1402"/>
              <w:gridCol w:w="810"/>
            </w:tblGrid>
            <w:tr w14:paraId="70377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8" w:hRule="atLeast"/>
                <w:jc w:val="center"/>
              </w:trPr>
              <w:tc>
                <w:tcPr>
                  <w:tcW w:w="713" w:type="dxa"/>
                  <w:tcBorders>
                    <w:tl2br w:val="nil"/>
                    <w:tr2bl w:val="nil"/>
                  </w:tcBorders>
                  <w:noWrap w:val="0"/>
                  <w:vAlign w:val="center"/>
                </w:tcPr>
                <w:p w14:paraId="29ADF1D0">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en-US"/>
                    </w:rPr>
                  </w:pPr>
                  <w:r>
                    <w:rPr>
                      <w:rFonts w:hint="default" w:ascii="Times New Roman" w:hAnsi="Times New Roman" w:eastAsia="宋体" w:cs="Times New Roman"/>
                      <w:b/>
                      <w:bCs/>
                      <w:color w:val="auto"/>
                      <w:kern w:val="2"/>
                      <w:sz w:val="21"/>
                      <w:szCs w:val="21"/>
                      <w:highlight w:val="none"/>
                      <w:u w:val="none"/>
                      <w:lang w:val="en-US" w:eastAsia="zh-CN" w:bidi="ar-SA"/>
                    </w:rPr>
                    <w:t>文件名称</w:t>
                  </w:r>
                </w:p>
              </w:tc>
              <w:tc>
                <w:tcPr>
                  <w:tcW w:w="1024" w:type="dxa"/>
                  <w:tcBorders>
                    <w:tl2br w:val="nil"/>
                    <w:tr2bl w:val="nil"/>
                  </w:tcBorders>
                  <w:noWrap w:val="0"/>
                  <w:vAlign w:val="center"/>
                </w:tcPr>
                <w:p w14:paraId="7D66ABF3">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en-US" w:eastAsia="zh-CN" w:bidi="ar-SA"/>
                    </w:rPr>
                    <w:t>类别</w:t>
                  </w:r>
                </w:p>
              </w:tc>
              <w:tc>
                <w:tcPr>
                  <w:tcW w:w="3408" w:type="dxa"/>
                  <w:tcBorders>
                    <w:tl2br w:val="nil"/>
                    <w:tr2bl w:val="nil"/>
                  </w:tcBorders>
                  <w:noWrap w:val="0"/>
                  <w:vAlign w:val="center"/>
                </w:tcPr>
                <w:p w14:paraId="0818C142">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实施方案</w:t>
                  </w:r>
                  <w:r>
                    <w:rPr>
                      <w:rFonts w:hint="default" w:ascii="Times New Roman" w:hAnsi="Times New Roman" w:eastAsia="宋体" w:cs="Times New Roman"/>
                      <w:b/>
                      <w:bCs/>
                      <w:color w:val="auto"/>
                      <w:kern w:val="2"/>
                      <w:sz w:val="21"/>
                      <w:szCs w:val="21"/>
                      <w:highlight w:val="none"/>
                      <w:u w:val="none"/>
                      <w:lang w:val="en-US" w:eastAsia="zh-CN" w:bidi="ar-SA"/>
                    </w:rPr>
                    <w:t>具体</w:t>
                  </w:r>
                  <w:r>
                    <w:rPr>
                      <w:rFonts w:hint="default" w:ascii="Times New Roman" w:hAnsi="Times New Roman" w:eastAsia="宋体" w:cs="Times New Roman"/>
                      <w:b/>
                      <w:bCs/>
                      <w:color w:val="auto"/>
                      <w:kern w:val="2"/>
                      <w:sz w:val="21"/>
                      <w:szCs w:val="21"/>
                      <w:highlight w:val="none"/>
                      <w:u w:val="none"/>
                      <w:lang w:val="zh-CN" w:eastAsia="zh-CN" w:bidi="ar-SA"/>
                    </w:rPr>
                    <w:t>相关要求</w:t>
                  </w:r>
                </w:p>
              </w:tc>
              <w:tc>
                <w:tcPr>
                  <w:tcW w:w="1402" w:type="dxa"/>
                  <w:tcBorders>
                    <w:tl2br w:val="nil"/>
                    <w:tr2bl w:val="nil"/>
                  </w:tcBorders>
                  <w:noWrap w:val="0"/>
                  <w:vAlign w:val="center"/>
                </w:tcPr>
                <w:p w14:paraId="76D3CABE">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本项目情况</w:t>
                  </w:r>
                </w:p>
              </w:tc>
              <w:tc>
                <w:tcPr>
                  <w:tcW w:w="810" w:type="dxa"/>
                  <w:tcBorders>
                    <w:tl2br w:val="nil"/>
                    <w:tr2bl w:val="nil"/>
                  </w:tcBorders>
                  <w:noWrap w:val="0"/>
                  <w:vAlign w:val="center"/>
                </w:tcPr>
                <w:p w14:paraId="6C63F8F7">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符合性</w:t>
                  </w:r>
                </w:p>
              </w:tc>
            </w:tr>
            <w:tr w14:paraId="56EB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55" w:hRule="atLeast"/>
                <w:jc w:val="center"/>
              </w:trPr>
              <w:tc>
                <w:tcPr>
                  <w:tcW w:w="713" w:type="dxa"/>
                  <w:vMerge w:val="restart"/>
                  <w:tcBorders>
                    <w:tl2br w:val="nil"/>
                    <w:tr2bl w:val="nil"/>
                  </w:tcBorders>
                  <w:noWrap w:val="0"/>
                  <w:vAlign w:val="center"/>
                </w:tcPr>
                <w:p w14:paraId="462D09D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val="0"/>
                      <w:bCs/>
                      <w:color w:val="auto"/>
                      <w:kern w:val="28"/>
                      <w:sz w:val="21"/>
                      <w:szCs w:val="21"/>
                      <w:highlight w:val="none"/>
                      <w:lang w:val="en-US" w:eastAsia="zh-CN" w:bidi="ar-SA"/>
                    </w:rPr>
                    <w:t>河南省人民政府关于河南省空气质量持续改善行动计划的通知</w:t>
                  </w:r>
                </w:p>
              </w:tc>
              <w:tc>
                <w:tcPr>
                  <w:tcW w:w="1024" w:type="dxa"/>
                  <w:tcBorders>
                    <w:tl2br w:val="nil"/>
                    <w:tr2bl w:val="nil"/>
                  </w:tcBorders>
                  <w:noWrap w:val="0"/>
                  <w:vAlign w:val="center"/>
                </w:tcPr>
                <w:p w14:paraId="13D8FD35">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rPr>
                    <w:t>严把“两高”项目准入关口</w:t>
                  </w:r>
                </w:p>
              </w:tc>
              <w:tc>
                <w:tcPr>
                  <w:tcW w:w="3408" w:type="dxa"/>
                  <w:tcBorders>
                    <w:tl2br w:val="nil"/>
                    <w:tr2bl w:val="nil"/>
                  </w:tcBorders>
                  <w:noWrap w:val="0"/>
                  <w:vAlign w:val="center"/>
                </w:tcPr>
                <w:p w14:paraId="27D7EFE7">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rPr>
                    <w:t>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A级或国内清洁生产先进水平。推进钢铁、焦化、烧结一体化布局，大幅减少独立烧结、球团和热轧企业及工序，推动高炉－转炉长流程炼钢转型为电炉短流程炼钢，淘汰落后煤炭洗选产能。统筹落实国家“以钢定焦”有关要求，研究制定焦化行业产能退出实施方案。到2025年，全省短流程炼钢产量占比达15%以上，郑州市钢铁企业全部退出。</w:t>
                  </w:r>
                </w:p>
              </w:tc>
              <w:tc>
                <w:tcPr>
                  <w:tcW w:w="1402" w:type="dxa"/>
                  <w:tcBorders>
                    <w:tl2br w:val="nil"/>
                    <w:tr2bl w:val="nil"/>
                  </w:tcBorders>
                  <w:noWrap w:val="0"/>
                  <w:vAlign w:val="center"/>
                </w:tcPr>
                <w:p w14:paraId="08308747">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kern w:val="0"/>
                      <w:sz w:val="21"/>
                      <w:szCs w:val="21"/>
                      <w:highlight w:val="none"/>
                      <w:lang w:val="en-US" w:eastAsia="zh-CN"/>
                    </w:rPr>
                    <w:t>本项目属于其他调味品、发酵制品制造行业，主要产品都为轻工食品，项目不属于“两高”项目，锅炉使用天然气为原料属于清洁能源，不涉及钢铁、煤炭使用项目</w:t>
                  </w:r>
                </w:p>
              </w:tc>
              <w:tc>
                <w:tcPr>
                  <w:tcW w:w="810" w:type="dxa"/>
                  <w:tcBorders>
                    <w:tl2br w:val="nil"/>
                    <w:tr2bl w:val="nil"/>
                  </w:tcBorders>
                  <w:noWrap w:val="0"/>
                  <w:vAlign w:val="center"/>
                </w:tcPr>
                <w:p w14:paraId="6A482FB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相符</w:t>
                  </w:r>
                </w:p>
              </w:tc>
            </w:tr>
            <w:tr w14:paraId="34049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13" w:hRule="atLeast"/>
                <w:jc w:val="center"/>
              </w:trPr>
              <w:tc>
                <w:tcPr>
                  <w:tcW w:w="713" w:type="dxa"/>
                  <w:vMerge w:val="continue"/>
                  <w:tcBorders>
                    <w:tl2br w:val="nil"/>
                    <w:tr2bl w:val="nil"/>
                  </w:tcBorders>
                  <w:noWrap w:val="0"/>
                  <w:vAlign w:val="center"/>
                </w:tcPr>
                <w:p w14:paraId="3301EF3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1024" w:type="dxa"/>
                  <w:tcBorders>
                    <w:tl2br w:val="nil"/>
                    <w:tr2bl w:val="nil"/>
                  </w:tcBorders>
                  <w:noWrap w:val="0"/>
                  <w:vAlign w:val="center"/>
                </w:tcPr>
                <w:p w14:paraId="7D4A426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rPr>
                    <w:t>实施工业炉窑清洁能源替代</w:t>
                  </w:r>
                </w:p>
              </w:tc>
              <w:tc>
                <w:tcPr>
                  <w:tcW w:w="3408" w:type="dxa"/>
                  <w:tcBorders>
                    <w:tl2br w:val="nil"/>
                    <w:tr2bl w:val="nil"/>
                  </w:tcBorders>
                  <w:noWrap w:val="0"/>
                  <w:vAlign w:val="center"/>
                </w:tcPr>
                <w:p w14:paraId="173DE1A3">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rPr>
                    <w:t>全省不再新增燃料类煤气发生炉，新（改、扩）建加热炉、热处理炉、干燥炉、熔化炉原则上采用清洁低碳能源。2024年年底前，分散建设的燃料类煤气发生炉完成清洁能源替代或园区集中供气改造。2025年年底前，使用高污染燃料的加热炉、热处理炉、干燥炉、熔化炉改用清洁低碳能源，淘汰不能稳定达标的燃煤锅炉和以煤、石油焦、渣油、重油等为燃料的工业窑炉，完成固定床间歇式煤气发生炉新型煤气化工艺改造。</w:t>
                  </w:r>
                </w:p>
              </w:tc>
              <w:tc>
                <w:tcPr>
                  <w:tcW w:w="1402" w:type="dxa"/>
                  <w:tcBorders>
                    <w:tl2br w:val="nil"/>
                    <w:tr2bl w:val="nil"/>
                  </w:tcBorders>
                  <w:noWrap w:val="0"/>
                  <w:vAlign w:val="center"/>
                </w:tcPr>
                <w:p w14:paraId="3C9023CB">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val="0"/>
                      <w:color w:val="auto"/>
                      <w:kern w:val="0"/>
                      <w:sz w:val="21"/>
                      <w:szCs w:val="21"/>
                      <w:highlight w:val="none"/>
                      <w:u w:val="none"/>
                      <w:lang w:val="en-US" w:eastAsia="zh-CN"/>
                    </w:rPr>
                    <w:t>本项目锅炉是为食品加工部分工序提供蒸汽，不使用高污染燃料，以天然气为原料，属于清洁低碳能源</w:t>
                  </w:r>
                </w:p>
              </w:tc>
              <w:tc>
                <w:tcPr>
                  <w:tcW w:w="810" w:type="dxa"/>
                  <w:tcBorders>
                    <w:tl2br w:val="nil"/>
                    <w:tr2bl w:val="nil"/>
                  </w:tcBorders>
                  <w:noWrap w:val="0"/>
                  <w:vAlign w:val="center"/>
                </w:tcPr>
                <w:p w14:paraId="72C95DE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相符</w:t>
                  </w:r>
                </w:p>
              </w:tc>
            </w:tr>
            <w:tr w14:paraId="0EF5B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5" w:hRule="atLeast"/>
                <w:jc w:val="center"/>
              </w:trPr>
              <w:tc>
                <w:tcPr>
                  <w:tcW w:w="713" w:type="dxa"/>
                  <w:vMerge w:val="continue"/>
                  <w:tcBorders>
                    <w:tl2br w:val="nil"/>
                    <w:tr2bl w:val="nil"/>
                  </w:tcBorders>
                  <w:noWrap w:val="0"/>
                  <w:vAlign w:val="center"/>
                </w:tcPr>
                <w:p w14:paraId="2D691F6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1024" w:type="dxa"/>
                  <w:tcBorders>
                    <w:tl2br w:val="nil"/>
                    <w:tr2bl w:val="nil"/>
                  </w:tcBorders>
                  <w:noWrap w:val="0"/>
                  <w:vAlign w:val="center"/>
                </w:tcPr>
                <w:p w14:paraId="264DDA2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fill="FFFFFF"/>
                    </w:rPr>
                    <w:t>开展低效失效污染治理设施排查整治</w:t>
                  </w:r>
                </w:p>
              </w:tc>
              <w:tc>
                <w:tcPr>
                  <w:tcW w:w="3408" w:type="dxa"/>
                  <w:tcBorders>
                    <w:tl2br w:val="nil"/>
                    <w:tr2bl w:val="nil"/>
                  </w:tcBorders>
                  <w:noWrap w:val="0"/>
                  <w:vAlign w:val="center"/>
                </w:tcPr>
                <w:p w14:paraId="1EFA279F">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fill="FFFFFF"/>
                    </w:rPr>
                    <w:t>对涉工业炉窑、涉VOCs行业以及燃煤、燃油、燃生物质锅炉，开展低效失效大气污染治理设施排查整治，建立排查整治清单，淘汰不成熟、不适用、无法稳定达标排放的治理工艺；整治关键组件缺失、质量低劣、自动化水平低的治理设施，提升设施运行维护水平；健全监测监控体系，提升自动监测和人工监测数据质量。2024年6月底前完成排查工作，2024年10月底前未配套高效除尘、脱硫、脱硝设施的企业完成升级改造，未按时完成改造提升的纳入秋冬季生产调控范围。</w:t>
                  </w:r>
                </w:p>
              </w:tc>
              <w:tc>
                <w:tcPr>
                  <w:tcW w:w="1402" w:type="dxa"/>
                  <w:tcBorders>
                    <w:tl2br w:val="nil"/>
                    <w:tr2bl w:val="nil"/>
                  </w:tcBorders>
                  <w:noWrap w:val="0"/>
                  <w:vAlign w:val="center"/>
                </w:tcPr>
                <w:p w14:paraId="26C3CD87">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项目选用</w:t>
                  </w:r>
                  <w:r>
                    <w:rPr>
                      <w:rFonts w:hint="default" w:ascii="Times New Roman" w:hAnsi="Times New Roman" w:eastAsia="宋体" w:cs="Times New Roman"/>
                      <w:i w:val="0"/>
                      <w:iCs w:val="0"/>
                      <w:caps w:val="0"/>
                      <w:color w:val="000000"/>
                      <w:spacing w:val="0"/>
                      <w:sz w:val="21"/>
                      <w:szCs w:val="21"/>
                      <w:highlight w:val="none"/>
                      <w:shd w:val="clear" w:fill="FFFFFF"/>
                    </w:rPr>
                    <w:t>成熟、适用、稳定达标排放的治理工艺</w:t>
                  </w:r>
                  <w:r>
                    <w:rPr>
                      <w:rFonts w:hint="default" w:ascii="Times New Roman" w:hAnsi="Times New Roman" w:eastAsia="宋体" w:cs="Times New Roman"/>
                      <w:i w:val="0"/>
                      <w:iCs w:val="0"/>
                      <w:caps w:val="0"/>
                      <w:color w:val="000000"/>
                      <w:spacing w:val="0"/>
                      <w:sz w:val="21"/>
                      <w:szCs w:val="21"/>
                      <w:highlight w:val="none"/>
                      <w:shd w:val="clear" w:fill="FFFFFF"/>
                      <w:lang w:eastAsia="zh-CN"/>
                    </w:rPr>
                    <w:t>，</w:t>
                  </w:r>
                  <w:r>
                    <w:rPr>
                      <w:rFonts w:hint="default" w:ascii="Times New Roman" w:hAnsi="Times New Roman" w:eastAsia="宋体" w:cs="Times New Roman"/>
                      <w:i w:val="0"/>
                      <w:iCs w:val="0"/>
                      <w:caps w:val="0"/>
                      <w:color w:val="000000"/>
                      <w:spacing w:val="0"/>
                      <w:sz w:val="21"/>
                      <w:szCs w:val="21"/>
                      <w:highlight w:val="none"/>
                      <w:shd w:val="clear" w:fill="FFFFFF"/>
                      <w:lang w:val="en-US" w:eastAsia="zh-CN"/>
                    </w:rPr>
                    <w:t>有合理性分析，</w:t>
                  </w:r>
                  <w:r>
                    <w:rPr>
                      <w:rFonts w:hint="default" w:ascii="Times New Roman" w:hAnsi="Times New Roman" w:eastAsia="宋体" w:cs="Times New Roman"/>
                      <w:i w:val="0"/>
                      <w:iCs w:val="0"/>
                      <w:caps w:val="0"/>
                      <w:color w:val="000000"/>
                      <w:spacing w:val="0"/>
                      <w:sz w:val="21"/>
                      <w:szCs w:val="21"/>
                      <w:highlight w:val="none"/>
                      <w:shd w:val="clear" w:fill="FFFFFF"/>
                    </w:rPr>
                    <w:t>自动化水平</w:t>
                  </w:r>
                  <w:r>
                    <w:rPr>
                      <w:rFonts w:hint="default" w:ascii="Times New Roman" w:hAnsi="Times New Roman" w:eastAsia="宋体" w:cs="Times New Roman"/>
                      <w:i w:val="0"/>
                      <w:iCs w:val="0"/>
                      <w:caps w:val="0"/>
                      <w:color w:val="000000"/>
                      <w:spacing w:val="0"/>
                      <w:sz w:val="21"/>
                      <w:szCs w:val="21"/>
                      <w:highlight w:val="none"/>
                      <w:shd w:val="clear" w:fill="FFFFFF"/>
                      <w:lang w:val="en-US" w:eastAsia="zh-CN"/>
                    </w:rPr>
                    <w:t>中等</w:t>
                  </w:r>
                  <w:r>
                    <w:rPr>
                      <w:rFonts w:hint="default" w:ascii="Times New Roman" w:hAnsi="Times New Roman" w:eastAsia="宋体" w:cs="Times New Roman"/>
                      <w:i w:val="0"/>
                      <w:iCs w:val="0"/>
                      <w:caps w:val="0"/>
                      <w:color w:val="000000"/>
                      <w:spacing w:val="0"/>
                      <w:sz w:val="21"/>
                      <w:szCs w:val="21"/>
                      <w:highlight w:val="none"/>
                      <w:shd w:val="clear" w:fill="FFFFFF"/>
                    </w:rPr>
                    <w:t>的治理设施，提升设施运行维护水平</w:t>
                  </w:r>
                  <w:r>
                    <w:rPr>
                      <w:rFonts w:hint="default" w:ascii="Times New Roman" w:hAnsi="Times New Roman" w:eastAsia="宋体" w:cs="Times New Roman"/>
                      <w:i w:val="0"/>
                      <w:iCs w:val="0"/>
                      <w:caps w:val="0"/>
                      <w:color w:val="000000"/>
                      <w:spacing w:val="0"/>
                      <w:sz w:val="21"/>
                      <w:szCs w:val="21"/>
                      <w:highlight w:val="none"/>
                      <w:shd w:val="clear" w:fill="FFFFFF"/>
                      <w:lang w:eastAsia="zh-CN"/>
                    </w:rPr>
                    <w:t>，</w:t>
                  </w:r>
                  <w:r>
                    <w:rPr>
                      <w:rFonts w:hint="default" w:ascii="Times New Roman" w:hAnsi="Times New Roman" w:eastAsia="宋体" w:cs="Times New Roman"/>
                      <w:i w:val="0"/>
                      <w:iCs w:val="0"/>
                      <w:caps w:val="0"/>
                      <w:color w:val="000000"/>
                      <w:spacing w:val="0"/>
                      <w:sz w:val="21"/>
                      <w:szCs w:val="21"/>
                      <w:highlight w:val="none"/>
                      <w:shd w:val="clear" w:fill="FFFFFF"/>
                      <w:lang w:val="en-US" w:eastAsia="zh-CN"/>
                    </w:rPr>
                    <w:t>按要求进行</w:t>
                  </w:r>
                  <w:r>
                    <w:rPr>
                      <w:rFonts w:hint="default" w:ascii="Times New Roman" w:hAnsi="Times New Roman" w:eastAsia="宋体" w:cs="Times New Roman"/>
                      <w:i w:val="0"/>
                      <w:iCs w:val="0"/>
                      <w:caps w:val="0"/>
                      <w:color w:val="000000"/>
                      <w:spacing w:val="0"/>
                      <w:sz w:val="21"/>
                      <w:szCs w:val="21"/>
                      <w:highlight w:val="none"/>
                      <w:shd w:val="clear" w:fill="FFFFFF"/>
                    </w:rPr>
                    <w:t>监测监控</w:t>
                  </w:r>
                  <w:r>
                    <w:rPr>
                      <w:rFonts w:hint="default" w:ascii="Times New Roman" w:hAnsi="Times New Roman" w:eastAsia="宋体" w:cs="Times New Roman"/>
                      <w:i w:val="0"/>
                      <w:iCs w:val="0"/>
                      <w:caps w:val="0"/>
                      <w:color w:val="000000"/>
                      <w:spacing w:val="0"/>
                      <w:sz w:val="21"/>
                      <w:szCs w:val="21"/>
                      <w:highlight w:val="none"/>
                      <w:shd w:val="clear" w:fill="FFFFFF"/>
                      <w:lang w:eastAsia="zh-CN"/>
                    </w:rPr>
                    <w:t>。</w:t>
                  </w:r>
                </w:p>
              </w:tc>
              <w:tc>
                <w:tcPr>
                  <w:tcW w:w="810" w:type="dxa"/>
                  <w:tcBorders>
                    <w:tl2br w:val="nil"/>
                    <w:tr2bl w:val="nil"/>
                  </w:tcBorders>
                  <w:noWrap w:val="0"/>
                  <w:vAlign w:val="center"/>
                </w:tcPr>
                <w:p w14:paraId="7022ED3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相符</w:t>
                  </w:r>
                </w:p>
              </w:tc>
            </w:tr>
          </w:tbl>
          <w:p w14:paraId="5F7F14AB">
            <w:pPr>
              <w:pStyle w:val="34"/>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
                <w:bCs/>
                <w:color w:val="auto"/>
                <w:kern w:val="2"/>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lang w:val="en-US" w:eastAsia="zh-CN"/>
              </w:rPr>
              <w:t>由上表分析可知，本项目建设符合《</w:t>
            </w:r>
            <w:r>
              <w:rPr>
                <w:rFonts w:hint="default" w:ascii="Times New Roman" w:hAnsi="Times New Roman" w:cs="Times New Roman"/>
                <w:color w:val="auto"/>
                <w:kern w:val="0"/>
                <w:sz w:val="24"/>
                <w:szCs w:val="24"/>
                <w:highlight w:val="none"/>
                <w:lang w:val="en-US" w:eastAsia="zh-CN"/>
              </w:rPr>
              <w:t>河南省人民政府关于河南省空气质量持续改善行动计划的通知</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豫</w:t>
            </w:r>
            <w:r>
              <w:rPr>
                <w:rFonts w:hint="default" w:ascii="Times New Roman" w:hAnsi="Times New Roman" w:eastAsia="宋体" w:cs="Times New Roman"/>
                <w:color w:val="auto"/>
                <w:kern w:val="0"/>
                <w:sz w:val="24"/>
                <w:szCs w:val="24"/>
                <w:highlight w:val="none"/>
                <w:lang w:val="en-US" w:eastAsia="zh-CN"/>
              </w:rPr>
              <w:t>政〔202</w:t>
            </w:r>
            <w:r>
              <w:rPr>
                <w:rFonts w:hint="default" w:ascii="Times New Roman" w:hAnsi="Times New Roman"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lang w:val="en-US" w:eastAsia="zh-CN"/>
              </w:rPr>
              <w:t>号）中相关要求</w:t>
            </w:r>
            <w:r>
              <w:rPr>
                <w:rFonts w:hint="default" w:ascii="Times New Roman" w:hAnsi="Times New Roman" w:eastAsia="宋体" w:cs="Times New Roman"/>
                <w:color w:val="auto"/>
                <w:sz w:val="24"/>
                <w:szCs w:val="24"/>
                <w:highlight w:val="none"/>
              </w:rPr>
              <w:t>。</w:t>
            </w:r>
          </w:p>
          <w:p w14:paraId="1F9609B2">
            <w:pPr>
              <w:pStyle w:val="28"/>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val="0"/>
                <w:color w:val="auto"/>
                <w:kern w:val="28"/>
                <w:sz w:val="24"/>
                <w:szCs w:val="40"/>
                <w:highlight w:val="none"/>
                <w:lang w:val="en-US" w:eastAsia="zh-CN" w:bidi="ar-SA"/>
              </w:rPr>
            </w:pPr>
            <w:r>
              <w:rPr>
                <w:rFonts w:hint="eastAsia" w:ascii="Times New Roman" w:cs="Times New Roman"/>
                <w:b/>
                <w:bCs w:val="0"/>
                <w:color w:val="auto"/>
                <w:kern w:val="28"/>
                <w:sz w:val="24"/>
                <w:szCs w:val="40"/>
                <w:highlight w:val="none"/>
                <w:lang w:val="en-US" w:eastAsia="zh-CN" w:bidi="ar-SA"/>
              </w:rPr>
              <w:t>14、与关于印发平顶山市“十四五”生态环境保护和生态经济发展规划的通知》（平政〔2023〕10号）相符性分析</w:t>
            </w:r>
          </w:p>
          <w:p w14:paraId="32A92AB0">
            <w:pPr>
              <w:pStyle w:val="6"/>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500" w:lineRule="exact"/>
              <w:ind w:right="0"/>
              <w:jc w:val="center"/>
              <w:textAlignment w:val="auto"/>
              <w:rPr>
                <w:rFonts w:hint="eastAsia" w:ascii="Times New Roman" w:hAnsi="Times New Roman" w:eastAsia="黑体" w:cs="Times New Roman"/>
                <w:b w:val="0"/>
                <w:color w:val="auto"/>
                <w:kern w:val="0"/>
                <w:sz w:val="24"/>
                <w:szCs w:val="24"/>
                <w:u w:val="none"/>
                <w:lang w:val="en-US" w:eastAsia="zh-CN" w:bidi="ar-SA"/>
              </w:rPr>
            </w:pPr>
            <w:r>
              <w:rPr>
                <w:rFonts w:hint="eastAsia" w:ascii="Times New Roman" w:hAnsi="Times New Roman" w:eastAsia="黑体" w:cs="Times New Roman"/>
                <w:b w:val="0"/>
                <w:color w:val="auto"/>
                <w:kern w:val="0"/>
                <w:sz w:val="24"/>
                <w:szCs w:val="24"/>
                <w:u w:val="none"/>
                <w:lang w:val="en-US" w:eastAsia="zh-CN" w:bidi="ar-SA"/>
              </w:rPr>
              <w:t>表</w:t>
            </w:r>
            <w:r>
              <w:rPr>
                <w:rFonts w:hint="eastAsia" w:eastAsia="黑体" w:cs="Times New Roman"/>
                <w:b w:val="0"/>
                <w:color w:val="auto"/>
                <w:kern w:val="0"/>
                <w:sz w:val="24"/>
                <w:szCs w:val="24"/>
                <w:u w:val="none"/>
                <w:lang w:val="en-US" w:eastAsia="zh-CN" w:bidi="ar-SA"/>
              </w:rPr>
              <w:t>1-8</w:t>
            </w:r>
            <w:r>
              <w:rPr>
                <w:rFonts w:hint="eastAsia" w:ascii="Times New Roman" w:hAnsi="Times New Roman" w:eastAsia="黑体" w:cs="Times New Roman"/>
                <w:b w:val="0"/>
                <w:color w:val="auto"/>
                <w:kern w:val="0"/>
                <w:sz w:val="24"/>
                <w:szCs w:val="24"/>
                <w:u w:val="none"/>
                <w:lang w:val="en-US" w:eastAsia="zh-CN" w:bidi="ar-SA"/>
              </w:rPr>
              <w:t xml:space="preserve"> </w:t>
            </w:r>
            <w:r>
              <w:rPr>
                <w:rFonts w:hint="eastAsia" w:eastAsia="黑体" w:cs="Times New Roman"/>
                <w:b w:val="0"/>
                <w:color w:val="auto"/>
                <w:kern w:val="0"/>
                <w:sz w:val="24"/>
                <w:szCs w:val="24"/>
                <w:u w:val="none"/>
                <w:lang w:val="en-US" w:eastAsia="zh-CN" w:bidi="ar-SA"/>
              </w:rPr>
              <w:t>本项目</w:t>
            </w:r>
            <w:r>
              <w:rPr>
                <w:rFonts w:hint="eastAsia" w:ascii="Times New Roman" w:hAnsi="Times New Roman" w:eastAsia="黑体" w:cs="Times New Roman"/>
                <w:b w:val="0"/>
                <w:color w:val="auto"/>
                <w:kern w:val="0"/>
                <w:sz w:val="24"/>
                <w:szCs w:val="24"/>
                <w:u w:val="none"/>
                <w:lang w:val="en-US" w:eastAsia="zh-CN" w:bidi="ar-SA"/>
              </w:rPr>
              <w:t>建设内容与上述文件符合性分析一览表</w:t>
            </w:r>
          </w:p>
          <w:tbl>
            <w:tblPr>
              <w:tblStyle w:val="21"/>
              <w:tblW w:w="7458"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Layout w:type="fixed"/>
              <w:tblCellMar>
                <w:top w:w="0" w:type="dxa"/>
                <w:left w:w="108" w:type="dxa"/>
                <w:bottom w:w="0" w:type="dxa"/>
                <w:right w:w="108" w:type="dxa"/>
              </w:tblCellMar>
            </w:tblPr>
            <w:tblGrid>
              <w:gridCol w:w="884"/>
              <w:gridCol w:w="971"/>
              <w:gridCol w:w="3513"/>
              <w:gridCol w:w="1268"/>
              <w:gridCol w:w="822"/>
            </w:tblGrid>
            <w:tr w14:paraId="0C014B15">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549" w:hRule="atLeast"/>
                <w:jc w:val="center"/>
              </w:trPr>
              <w:tc>
                <w:tcPr>
                  <w:tcW w:w="884" w:type="dxa"/>
                  <w:tcBorders>
                    <w:tl2br w:val="nil"/>
                    <w:tr2bl w:val="nil"/>
                  </w:tcBorders>
                  <w:noWrap w:val="0"/>
                  <w:vAlign w:val="center"/>
                </w:tcPr>
                <w:p w14:paraId="1BCB218A">
                  <w:pPr>
                    <w:keepNext w:val="0"/>
                    <w:keepLines w:val="0"/>
                    <w:suppressLineNumbers w:val="0"/>
                    <w:autoSpaceDE w:val="0"/>
                    <w:autoSpaceDN w:val="0"/>
                    <w:spacing w:before="0" w:beforeAutospacing="0" w:after="0" w:afterAutospacing="0" w:line="240" w:lineRule="auto"/>
                    <w:ind w:left="0" w:right="0"/>
                    <w:jc w:val="center"/>
                    <w:rPr>
                      <w:rFonts w:hint="eastAsia" w:cs="Times New Roman"/>
                      <w:b/>
                      <w:bCs/>
                      <w:color w:val="auto"/>
                      <w:kern w:val="2"/>
                      <w:sz w:val="21"/>
                      <w:szCs w:val="21"/>
                      <w:u w:val="none"/>
                      <w:lang w:val="en-US" w:eastAsia="zh-CN" w:bidi="ar-SA"/>
                    </w:rPr>
                  </w:pPr>
                  <w:r>
                    <w:rPr>
                      <w:rFonts w:hint="eastAsia" w:cs="Times New Roman"/>
                      <w:b/>
                      <w:bCs/>
                      <w:color w:val="auto"/>
                      <w:kern w:val="2"/>
                      <w:sz w:val="21"/>
                      <w:szCs w:val="21"/>
                      <w:u w:val="none"/>
                      <w:lang w:val="en-US" w:eastAsia="zh-CN" w:bidi="ar-SA"/>
                    </w:rPr>
                    <w:t>文件</w:t>
                  </w:r>
                </w:p>
                <w:p w14:paraId="472F4AF1">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u w:val="none"/>
                      <w:lang w:val="en-US"/>
                    </w:rPr>
                  </w:pPr>
                  <w:r>
                    <w:rPr>
                      <w:rFonts w:hint="eastAsia" w:cs="Times New Roman"/>
                      <w:b/>
                      <w:bCs/>
                      <w:color w:val="auto"/>
                      <w:kern w:val="2"/>
                      <w:sz w:val="21"/>
                      <w:szCs w:val="21"/>
                      <w:u w:val="none"/>
                      <w:lang w:val="en-US" w:eastAsia="zh-CN" w:bidi="ar-SA"/>
                    </w:rPr>
                    <w:t>名称</w:t>
                  </w:r>
                </w:p>
              </w:tc>
              <w:tc>
                <w:tcPr>
                  <w:tcW w:w="971" w:type="dxa"/>
                  <w:tcBorders>
                    <w:tl2br w:val="nil"/>
                    <w:tr2bl w:val="nil"/>
                  </w:tcBorders>
                  <w:noWrap w:val="0"/>
                  <w:vAlign w:val="center"/>
                </w:tcPr>
                <w:p w14:paraId="052AD513">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u w:val="none"/>
                      <w:lang w:val="zh-CN"/>
                    </w:rPr>
                  </w:pPr>
                  <w:r>
                    <w:rPr>
                      <w:rFonts w:hint="eastAsia" w:cs="Times New Roman"/>
                      <w:b/>
                      <w:bCs/>
                      <w:color w:val="auto"/>
                      <w:kern w:val="2"/>
                      <w:sz w:val="21"/>
                      <w:szCs w:val="21"/>
                      <w:u w:val="none"/>
                      <w:lang w:val="en-US" w:eastAsia="zh-CN" w:bidi="ar-SA"/>
                    </w:rPr>
                    <w:t>类别</w:t>
                  </w:r>
                </w:p>
              </w:tc>
              <w:tc>
                <w:tcPr>
                  <w:tcW w:w="3513" w:type="dxa"/>
                  <w:tcBorders>
                    <w:tl2br w:val="nil"/>
                    <w:tr2bl w:val="nil"/>
                  </w:tcBorders>
                  <w:noWrap w:val="0"/>
                  <w:vAlign w:val="center"/>
                </w:tcPr>
                <w:p w14:paraId="27821D41">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u w:val="none"/>
                      <w:lang w:val="zh-CN"/>
                    </w:rPr>
                  </w:pPr>
                  <w:r>
                    <w:rPr>
                      <w:rFonts w:hint="eastAsia" w:ascii="Times New Roman" w:hAnsi="Times New Roman" w:eastAsia="宋体" w:cs="Times New Roman"/>
                      <w:b/>
                      <w:bCs/>
                      <w:color w:val="auto"/>
                      <w:kern w:val="2"/>
                      <w:sz w:val="21"/>
                      <w:szCs w:val="21"/>
                      <w:u w:val="none"/>
                      <w:lang w:val="zh-CN" w:eastAsia="zh-CN" w:bidi="ar-SA"/>
                    </w:rPr>
                    <w:t>实施方案</w:t>
                  </w:r>
                  <w:r>
                    <w:rPr>
                      <w:rFonts w:hint="eastAsia" w:cs="Times New Roman"/>
                      <w:b/>
                      <w:bCs/>
                      <w:color w:val="auto"/>
                      <w:kern w:val="2"/>
                      <w:sz w:val="21"/>
                      <w:szCs w:val="21"/>
                      <w:u w:val="none"/>
                      <w:lang w:val="en-US" w:eastAsia="zh-CN" w:bidi="ar-SA"/>
                    </w:rPr>
                    <w:t>具体</w:t>
                  </w:r>
                  <w:r>
                    <w:rPr>
                      <w:rFonts w:hint="eastAsia" w:ascii="Times New Roman" w:hAnsi="Times New Roman" w:eastAsia="宋体" w:cs="Times New Roman"/>
                      <w:b/>
                      <w:bCs/>
                      <w:color w:val="auto"/>
                      <w:kern w:val="2"/>
                      <w:sz w:val="21"/>
                      <w:szCs w:val="21"/>
                      <w:u w:val="none"/>
                      <w:lang w:val="zh-CN" w:eastAsia="zh-CN" w:bidi="ar-SA"/>
                    </w:rPr>
                    <w:t>相关要求</w:t>
                  </w:r>
                </w:p>
              </w:tc>
              <w:tc>
                <w:tcPr>
                  <w:tcW w:w="1268" w:type="dxa"/>
                  <w:tcBorders>
                    <w:tl2br w:val="nil"/>
                    <w:tr2bl w:val="nil"/>
                  </w:tcBorders>
                  <w:noWrap w:val="0"/>
                  <w:vAlign w:val="center"/>
                </w:tcPr>
                <w:p w14:paraId="64A075DD">
                  <w:pPr>
                    <w:keepNext w:val="0"/>
                    <w:keepLines w:val="0"/>
                    <w:suppressLineNumbers w:val="0"/>
                    <w:autoSpaceDE w:val="0"/>
                    <w:autoSpaceDN w:val="0"/>
                    <w:spacing w:before="0" w:beforeAutospacing="0" w:after="0" w:afterAutospacing="0" w:line="240" w:lineRule="auto"/>
                    <w:ind w:left="0" w:right="0"/>
                    <w:jc w:val="center"/>
                    <w:rPr>
                      <w:rFonts w:hint="eastAsia" w:cs="Times New Roman"/>
                      <w:b/>
                      <w:bCs/>
                      <w:color w:val="auto"/>
                      <w:kern w:val="2"/>
                      <w:sz w:val="21"/>
                      <w:szCs w:val="21"/>
                      <w:u w:val="none"/>
                      <w:lang w:val="zh-CN" w:eastAsia="zh-CN" w:bidi="ar-SA"/>
                    </w:rPr>
                  </w:pPr>
                  <w:r>
                    <w:rPr>
                      <w:rFonts w:hint="eastAsia" w:cs="Times New Roman"/>
                      <w:b/>
                      <w:bCs/>
                      <w:color w:val="auto"/>
                      <w:kern w:val="2"/>
                      <w:sz w:val="21"/>
                      <w:szCs w:val="21"/>
                      <w:u w:val="none"/>
                      <w:lang w:val="zh-CN" w:eastAsia="zh-CN" w:bidi="ar-SA"/>
                    </w:rPr>
                    <w:t>本项目</w:t>
                  </w:r>
                </w:p>
                <w:p w14:paraId="43939C32">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u w:val="none"/>
                      <w:lang w:val="zh-CN"/>
                    </w:rPr>
                  </w:pPr>
                  <w:r>
                    <w:rPr>
                      <w:rFonts w:hint="eastAsia" w:ascii="Times New Roman" w:hAnsi="Times New Roman" w:eastAsia="宋体" w:cs="Times New Roman"/>
                      <w:b/>
                      <w:bCs/>
                      <w:color w:val="auto"/>
                      <w:kern w:val="2"/>
                      <w:sz w:val="21"/>
                      <w:szCs w:val="21"/>
                      <w:u w:val="none"/>
                      <w:lang w:val="zh-CN" w:eastAsia="zh-CN" w:bidi="ar-SA"/>
                    </w:rPr>
                    <w:t>情况</w:t>
                  </w:r>
                </w:p>
              </w:tc>
              <w:tc>
                <w:tcPr>
                  <w:tcW w:w="822" w:type="dxa"/>
                  <w:tcBorders>
                    <w:tl2br w:val="nil"/>
                    <w:tr2bl w:val="nil"/>
                  </w:tcBorders>
                  <w:noWrap w:val="0"/>
                  <w:vAlign w:val="center"/>
                </w:tcPr>
                <w:p w14:paraId="58D189E0">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u w:val="none"/>
                      <w:lang w:val="zh-CN"/>
                    </w:rPr>
                  </w:pPr>
                  <w:r>
                    <w:rPr>
                      <w:rFonts w:hint="eastAsia" w:ascii="Times New Roman" w:hAnsi="Times New Roman" w:eastAsia="宋体" w:cs="Times New Roman"/>
                      <w:b/>
                      <w:bCs/>
                      <w:color w:val="auto"/>
                      <w:kern w:val="2"/>
                      <w:sz w:val="21"/>
                      <w:szCs w:val="21"/>
                      <w:u w:val="none"/>
                      <w:lang w:val="zh-CN" w:eastAsia="zh-CN" w:bidi="ar-SA"/>
                    </w:rPr>
                    <w:t>符合性</w:t>
                  </w:r>
                </w:p>
              </w:tc>
            </w:tr>
            <w:tr w14:paraId="04002EA2">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2668" w:hRule="atLeast"/>
                <w:jc w:val="center"/>
              </w:trPr>
              <w:tc>
                <w:tcPr>
                  <w:tcW w:w="884" w:type="dxa"/>
                  <w:vMerge w:val="restart"/>
                  <w:tcBorders>
                    <w:tl2br w:val="nil"/>
                    <w:tr2bl w:val="nil"/>
                  </w:tcBorders>
                  <w:noWrap w:val="0"/>
                  <w:vAlign w:val="center"/>
                </w:tcPr>
                <w:p w14:paraId="17264D1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平顶山市人民政府关于印发平顶山市“十四五”生态环境保护和生态经济发展规划的通知</w:t>
                  </w:r>
                </w:p>
                <w:p w14:paraId="155771B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 平政〔2023〕10号</w:t>
                  </w:r>
                </w:p>
              </w:tc>
              <w:tc>
                <w:tcPr>
                  <w:tcW w:w="971" w:type="dxa"/>
                  <w:tcBorders>
                    <w:tl2br w:val="nil"/>
                    <w:tr2bl w:val="nil"/>
                  </w:tcBorders>
                  <w:noWrap w:val="0"/>
                  <w:vAlign w:val="center"/>
                </w:tcPr>
                <w:p w14:paraId="712FB84E">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实施生态环境分区管控</w:t>
                  </w:r>
                </w:p>
              </w:tc>
              <w:tc>
                <w:tcPr>
                  <w:tcW w:w="3513" w:type="dxa"/>
                  <w:tcBorders>
                    <w:tl2br w:val="nil"/>
                    <w:tr2bl w:val="nil"/>
                  </w:tcBorders>
                  <w:noWrap w:val="0"/>
                  <w:vAlign w:val="center"/>
                </w:tcPr>
                <w:p w14:paraId="6A6F85E8">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立足资源环境承载能力，完善“三线一单”生态环境分区管控体系，建立动态更新和调整机制。将“三线一单”作为推进污染防治、生态修复、环境风险防控等工作的重要依据，强化“三线一单”在地方立法、政策制定、环境准入、园区管理.执法监管等领域的应用，从源头预防环境污染和生态破坏，强化重点生态功</w:t>
                  </w:r>
                  <w:r>
                    <w:rPr>
                      <w:rFonts w:hint="eastAsia" w:cs="Times New Roman"/>
                      <w:color w:val="auto"/>
                      <w:sz w:val="21"/>
                      <w:szCs w:val="21"/>
                      <w:u w:val="none"/>
                      <w:lang w:val="en-US" w:eastAsia="zh-CN"/>
                    </w:rPr>
                    <w:t>能</w:t>
                  </w:r>
                  <w:r>
                    <w:rPr>
                      <w:rFonts w:hint="eastAsia" w:ascii="Times New Roman" w:hAnsi="Times New Roman" w:eastAsia="宋体" w:cs="Times New Roman"/>
                      <w:color w:val="auto"/>
                      <w:sz w:val="21"/>
                      <w:szCs w:val="21"/>
                      <w:u w:val="none"/>
                      <w:lang w:val="en-US" w:eastAsia="zh-CN"/>
                    </w:rPr>
                    <w:t>区生态保护和修复，加强农产品主产区的耕地保护，严控开发强度;推进城市化发展区集约绿色低碳发展。</w:t>
                  </w:r>
                </w:p>
              </w:tc>
              <w:tc>
                <w:tcPr>
                  <w:tcW w:w="1268" w:type="dxa"/>
                  <w:tcBorders>
                    <w:tl2br w:val="nil"/>
                    <w:tr2bl w:val="nil"/>
                  </w:tcBorders>
                  <w:noWrap w:val="0"/>
                  <w:vAlign w:val="center"/>
                </w:tcPr>
                <w:p w14:paraId="7E9AD3A0">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本项目符合“三线一单”生态环境分区管控体系要求。</w:t>
                  </w:r>
                </w:p>
              </w:tc>
              <w:tc>
                <w:tcPr>
                  <w:tcW w:w="822" w:type="dxa"/>
                  <w:tcBorders>
                    <w:tl2br w:val="nil"/>
                    <w:tr2bl w:val="nil"/>
                  </w:tcBorders>
                  <w:noWrap w:val="0"/>
                  <w:vAlign w:val="center"/>
                </w:tcPr>
                <w:p w14:paraId="3B51E8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相符</w:t>
                  </w:r>
                </w:p>
              </w:tc>
            </w:tr>
            <w:tr w14:paraId="22AA410D">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4900" w:hRule="atLeast"/>
                <w:jc w:val="center"/>
              </w:trPr>
              <w:tc>
                <w:tcPr>
                  <w:tcW w:w="884" w:type="dxa"/>
                  <w:vMerge w:val="continue"/>
                  <w:tcBorders>
                    <w:tl2br w:val="nil"/>
                    <w:tr2bl w:val="nil"/>
                  </w:tcBorders>
                  <w:noWrap w:val="0"/>
                  <w:vAlign w:val="center"/>
                </w:tcPr>
                <w:p w14:paraId="2A13E31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p>
              </w:tc>
              <w:tc>
                <w:tcPr>
                  <w:tcW w:w="971" w:type="dxa"/>
                  <w:tcBorders>
                    <w:tl2br w:val="nil"/>
                    <w:tr2bl w:val="nil"/>
                  </w:tcBorders>
                  <w:noWrap w:val="0"/>
                  <w:vAlign w:val="center"/>
                </w:tcPr>
                <w:p w14:paraId="75EABF3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深化重点领域节能减排</w:t>
                  </w:r>
                </w:p>
              </w:tc>
              <w:tc>
                <w:tcPr>
                  <w:tcW w:w="3513" w:type="dxa"/>
                  <w:tcBorders>
                    <w:tl2br w:val="nil"/>
                    <w:tr2bl w:val="nil"/>
                  </w:tcBorders>
                  <w:noWrap w:val="0"/>
                  <w:vAlign w:val="center"/>
                </w:tcPr>
                <w:p w14:paraId="5EA2CFEC">
                  <w:pPr>
                    <w:keepNext w:val="0"/>
                    <w:keepLines w:val="0"/>
                    <w:suppressLineNumbers w:val="0"/>
                    <w:autoSpaceDE w:val="0"/>
                    <w:autoSpaceDN w:val="0"/>
                    <w:spacing w:before="0" w:beforeAutospacing="0" w:after="0" w:afterAutospacing="0" w:line="240" w:lineRule="auto"/>
                    <w:ind w:left="0" w:right="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推动工业领域节能减排综合改造，坚决遏制“两高”(高耗能、高排放)项目盲目发展，以钢铁、焦化、铸造、建材、有色、化工、工业涂装、包装印刷、电镀、制革、造纸、纺织印染、农副食品加工等行业为重点，开展全流程清洁化、循环化、低碳化改造。强化重点用能单位节能管理，对以煤、石油焦、渣油、重油等为燃料的工业炉窑，加快使用清洁低碳能源、工业余热电厂热力等进行替代，开展高耗能、高耗水行业和重点产品资源效率对标提升行动，实施能效、水效领跑者行动。加快推进农业、建筑业、服务业等领域清洁生产，强化农业领域节水增效和清洁能源替代，推进食用菌、烟叶等种植业及农副产品加工行业重点企业燃煤设施清洁化能源替代，2022年年底前完成烟叶烤房“双改”工作。推动煤炭清洁高效利用，加强洁净型煤质量监管。</w:t>
                  </w:r>
                </w:p>
              </w:tc>
              <w:tc>
                <w:tcPr>
                  <w:tcW w:w="1268" w:type="dxa"/>
                  <w:tcBorders>
                    <w:tl2br w:val="nil"/>
                    <w:tr2bl w:val="nil"/>
                  </w:tcBorders>
                  <w:noWrap w:val="0"/>
                  <w:vAlign w:val="center"/>
                </w:tcPr>
                <w:p w14:paraId="77F99E21">
                  <w:pPr>
                    <w:keepNext w:val="0"/>
                    <w:keepLines w:val="0"/>
                    <w:suppressLineNumbers w:val="0"/>
                    <w:autoSpaceDE w:val="0"/>
                    <w:autoSpaceDN w:val="0"/>
                    <w:spacing w:before="0" w:beforeAutospacing="0" w:after="0" w:afterAutospacing="0" w:line="240" w:lineRule="auto"/>
                    <w:ind w:left="0" w:right="0"/>
                    <w:jc w:val="center"/>
                    <w:rPr>
                      <w:rFonts w:hint="default" w:cs="Times New Roman"/>
                      <w:color w:val="auto"/>
                      <w:sz w:val="21"/>
                      <w:szCs w:val="21"/>
                      <w:u w:val="none"/>
                      <w:lang w:val="en-US" w:eastAsia="zh-CN"/>
                    </w:rPr>
                  </w:pPr>
                  <w:r>
                    <w:rPr>
                      <w:rFonts w:hint="eastAsia" w:cs="Times New Roman"/>
                      <w:color w:val="auto"/>
                      <w:sz w:val="21"/>
                      <w:szCs w:val="21"/>
                      <w:highlight w:val="none"/>
                      <w:u w:val="none"/>
                      <w:lang w:val="en-US" w:eastAsia="zh-CN"/>
                    </w:rPr>
                    <w:t>本项目不属于“两高”项目</w:t>
                  </w:r>
                  <w:r>
                    <w:rPr>
                      <w:rFonts w:hint="eastAsia" w:cs="Times New Roman"/>
                      <w:color w:val="auto"/>
                      <w:sz w:val="21"/>
                      <w:szCs w:val="21"/>
                      <w:u w:val="none"/>
                      <w:lang w:val="en-US" w:eastAsia="zh-CN"/>
                    </w:rPr>
                    <w:t>，项目使用的锅炉以天然气为原料，属于清洁能源，NO</w:t>
                  </w:r>
                  <w:r>
                    <w:rPr>
                      <w:rFonts w:hint="eastAsia" w:cs="Times New Roman"/>
                      <w:color w:val="auto"/>
                      <w:sz w:val="21"/>
                      <w:szCs w:val="21"/>
                      <w:u w:val="none"/>
                      <w:vertAlign w:val="subscript"/>
                      <w:lang w:val="en-US" w:eastAsia="zh-CN"/>
                    </w:rPr>
                    <w:t>X</w:t>
                  </w:r>
                  <w:r>
                    <w:rPr>
                      <w:rFonts w:hint="eastAsia" w:cs="Times New Roman"/>
                      <w:color w:val="auto"/>
                      <w:sz w:val="21"/>
                      <w:szCs w:val="21"/>
                      <w:u w:val="none"/>
                      <w:vertAlign w:val="baseline"/>
                      <w:lang w:val="en-US" w:eastAsia="zh-CN"/>
                    </w:rPr>
                    <w:t>采用低氮燃烧装置降低对环境影响，</w:t>
                  </w:r>
                  <w:r>
                    <w:rPr>
                      <w:rFonts w:hint="eastAsia" w:cs="Times New Roman"/>
                      <w:color w:val="auto"/>
                      <w:sz w:val="21"/>
                      <w:szCs w:val="21"/>
                      <w:u w:val="none"/>
                      <w:lang w:val="en-US" w:eastAsia="zh-CN"/>
                    </w:rPr>
                    <w:t>本项目废气排放量较小，并按照相关文件要求实行区域替代方案</w:t>
                  </w:r>
                </w:p>
              </w:tc>
              <w:tc>
                <w:tcPr>
                  <w:tcW w:w="822" w:type="dxa"/>
                  <w:tcBorders>
                    <w:tl2br w:val="nil"/>
                    <w:tr2bl w:val="nil"/>
                  </w:tcBorders>
                  <w:noWrap w:val="0"/>
                  <w:vAlign w:val="center"/>
                </w:tcPr>
                <w:p w14:paraId="1ADC6A8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相符</w:t>
                  </w:r>
                </w:p>
              </w:tc>
            </w:tr>
            <w:tr w14:paraId="468FBA96">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696" w:hRule="atLeast"/>
                <w:jc w:val="center"/>
              </w:trPr>
              <w:tc>
                <w:tcPr>
                  <w:tcW w:w="884" w:type="dxa"/>
                  <w:vMerge w:val="continue"/>
                  <w:tcBorders>
                    <w:tl2br w:val="nil"/>
                    <w:tr2bl w:val="nil"/>
                  </w:tcBorders>
                  <w:noWrap w:val="0"/>
                  <w:vAlign w:val="center"/>
                </w:tcPr>
                <w:p w14:paraId="6C2F5B4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p>
              </w:tc>
              <w:tc>
                <w:tcPr>
                  <w:tcW w:w="971" w:type="dxa"/>
                  <w:tcBorders>
                    <w:tl2br w:val="nil"/>
                    <w:tr2bl w:val="nil"/>
                  </w:tcBorders>
                  <w:noWrap w:val="0"/>
                  <w:vAlign w:val="center"/>
                </w:tcPr>
                <w:p w14:paraId="388E9125">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加强水资源集约利用</w:t>
                  </w:r>
                </w:p>
              </w:tc>
              <w:tc>
                <w:tcPr>
                  <w:tcW w:w="3513" w:type="dxa"/>
                  <w:tcBorders>
                    <w:tl2br w:val="nil"/>
                    <w:tr2bl w:val="nil"/>
                  </w:tcBorders>
                  <w:noWrap w:val="0"/>
                  <w:vAlign w:val="center"/>
                </w:tcPr>
                <w:p w14:paraId="1308CCD7">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强化水资源刚性约束制度，坚持“以水定城、以水定地、以水定人、以水定产”，进一步控制水资源消耗。严格用水全过程管理，强化节水监督考核。因地制宜推进区域再生水循环利用，鼓励工业领域节水和水循环利用，围绕火电、有色、造纸、印染等高耗水行业，加强企业内部工业用水循环利用，鼓励新建、改建、扩建的污水处理广配套建设再生水利用系统，到2025年，市区再生水利用率达到25%以上，因地制宜调整种植结构，推进农业灌溉用水总量控制和定额管理，到2025年，全市灌溉水有效利用系数达到0.638以上</w:t>
                  </w:r>
                </w:p>
              </w:tc>
              <w:tc>
                <w:tcPr>
                  <w:tcW w:w="1268" w:type="dxa"/>
                  <w:tcBorders>
                    <w:tl2br w:val="nil"/>
                    <w:tr2bl w:val="nil"/>
                  </w:tcBorders>
                  <w:noWrap w:val="0"/>
                  <w:vAlign w:val="center"/>
                </w:tcPr>
                <w:p w14:paraId="5192CD0F">
                  <w:pPr>
                    <w:keepNext w:val="0"/>
                    <w:keepLines w:val="0"/>
                    <w:suppressLineNumbers w:val="0"/>
                    <w:autoSpaceDE w:val="0"/>
                    <w:autoSpaceDN w:val="0"/>
                    <w:spacing w:before="0" w:beforeAutospacing="0" w:after="0" w:afterAutospacing="0" w:line="240" w:lineRule="auto"/>
                    <w:ind w:left="0" w:right="0"/>
                    <w:jc w:val="center"/>
                    <w:rPr>
                      <w:rFonts w:hint="default" w:cs="Times New Roman"/>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bidi="ar-SA"/>
                    </w:rPr>
                    <w:t>本项目</w:t>
                  </w:r>
                  <w:r>
                    <w:rPr>
                      <w:rFonts w:hint="default" w:ascii="Times New Roman" w:hAnsi="Times New Roman" w:cs="Times New Roman"/>
                      <w:b w:val="0"/>
                      <w:bCs w:val="0"/>
                      <w:color w:val="auto"/>
                      <w:kern w:val="2"/>
                      <w:sz w:val="21"/>
                      <w:szCs w:val="21"/>
                      <w:highlight w:val="none"/>
                      <w:u w:val="none"/>
                      <w:lang w:val="en-US" w:eastAsia="zh-CN" w:bidi="ar-SA"/>
                    </w:rPr>
                    <w:t>厂区内设置</w:t>
                  </w:r>
                  <w:r>
                    <w:rPr>
                      <w:rFonts w:hint="eastAsia" w:cs="Times New Roman"/>
                      <w:b w:val="0"/>
                      <w:bCs w:val="0"/>
                      <w:color w:val="auto"/>
                      <w:kern w:val="2"/>
                      <w:sz w:val="21"/>
                      <w:szCs w:val="21"/>
                      <w:highlight w:val="none"/>
                      <w:u w:val="none"/>
                      <w:lang w:val="en-US" w:eastAsia="zh-CN" w:bidi="ar-SA"/>
                    </w:rPr>
                    <w:t>隔油</w:t>
                  </w:r>
                  <w:r>
                    <w:rPr>
                      <w:rFonts w:hint="default" w:ascii="Times New Roman" w:hAnsi="Times New Roman" w:cs="Times New Roman"/>
                      <w:b w:val="0"/>
                      <w:bCs w:val="0"/>
                      <w:color w:val="auto"/>
                      <w:kern w:val="2"/>
                      <w:sz w:val="21"/>
                      <w:szCs w:val="21"/>
                      <w:highlight w:val="none"/>
                      <w:u w:val="none"/>
                      <w:lang w:val="en-US" w:eastAsia="zh-CN" w:bidi="ar-SA"/>
                    </w:rPr>
                    <w:t>池</w:t>
                  </w:r>
                  <w:r>
                    <w:rPr>
                      <w:rFonts w:hint="eastAsia" w:cs="Times New Roman"/>
                      <w:b w:val="0"/>
                      <w:bCs w:val="0"/>
                      <w:color w:val="auto"/>
                      <w:kern w:val="2"/>
                      <w:sz w:val="21"/>
                      <w:szCs w:val="21"/>
                      <w:highlight w:val="none"/>
                      <w:u w:val="none"/>
                      <w:lang w:val="en-US" w:eastAsia="zh-CN" w:bidi="ar-SA"/>
                    </w:rPr>
                    <w:t>、化粪池</w:t>
                  </w:r>
                  <w:r>
                    <w:rPr>
                      <w:rFonts w:hint="default" w:ascii="Times New Roman" w:hAnsi="Times New Roman" w:cs="Times New Roman"/>
                      <w:b w:val="0"/>
                      <w:bCs w:val="0"/>
                      <w:color w:val="auto"/>
                      <w:kern w:val="2"/>
                      <w:sz w:val="21"/>
                      <w:szCs w:val="21"/>
                      <w:highlight w:val="none"/>
                      <w:u w:val="none"/>
                      <w:lang w:val="en-US" w:eastAsia="zh-CN" w:bidi="ar-SA"/>
                    </w:rPr>
                    <w:t>等</w:t>
                  </w:r>
                  <w:r>
                    <w:rPr>
                      <w:rFonts w:hint="eastAsia" w:cs="Times New Roman"/>
                      <w:b w:val="0"/>
                      <w:bCs w:val="0"/>
                      <w:color w:val="auto"/>
                      <w:kern w:val="2"/>
                      <w:sz w:val="21"/>
                      <w:szCs w:val="21"/>
                      <w:highlight w:val="none"/>
                      <w:u w:val="none"/>
                      <w:lang w:val="en-US" w:eastAsia="zh-CN" w:bidi="ar-SA"/>
                    </w:rPr>
                    <w:t>基础</w:t>
                  </w:r>
                  <w:r>
                    <w:rPr>
                      <w:rFonts w:hint="default" w:ascii="Times New Roman" w:hAnsi="Times New Roman" w:cs="Times New Roman"/>
                      <w:b w:val="0"/>
                      <w:bCs w:val="0"/>
                      <w:color w:val="auto"/>
                      <w:kern w:val="2"/>
                      <w:sz w:val="21"/>
                      <w:szCs w:val="21"/>
                      <w:highlight w:val="none"/>
                      <w:u w:val="none"/>
                      <w:lang w:val="en-US" w:eastAsia="zh-CN" w:bidi="ar-SA"/>
                    </w:rPr>
                    <w:t>设施，</w:t>
                  </w:r>
                  <w:r>
                    <w:rPr>
                      <w:rFonts w:hint="eastAsia" w:cs="Times New Roman"/>
                      <w:b w:val="0"/>
                      <w:bCs w:val="0"/>
                      <w:color w:val="auto"/>
                      <w:kern w:val="2"/>
                      <w:sz w:val="21"/>
                      <w:szCs w:val="21"/>
                      <w:highlight w:val="none"/>
                      <w:u w:val="none"/>
                      <w:lang w:val="en-US" w:eastAsia="zh-CN" w:bidi="ar-SA"/>
                    </w:rPr>
                    <w:t>对于冷却废水可循环利用的循环利用减少水资源的浪费，一些生产废水和生活污水外排市政污水管网</w:t>
                  </w:r>
                  <w:r>
                    <w:rPr>
                      <w:rFonts w:hint="default" w:ascii="Times New Roman" w:hAnsi="Times New Roman" w:cs="Times New Roman"/>
                      <w:b w:val="0"/>
                      <w:bCs w:val="0"/>
                      <w:color w:val="auto"/>
                      <w:kern w:val="2"/>
                      <w:sz w:val="21"/>
                      <w:szCs w:val="21"/>
                      <w:highlight w:val="none"/>
                      <w:u w:val="none"/>
                      <w:lang w:val="en-US" w:eastAsia="zh-CN" w:bidi="ar-SA"/>
                    </w:rPr>
                    <w:t>。积极推动水资源循环利用</w:t>
                  </w:r>
                  <w:r>
                    <w:rPr>
                      <w:rFonts w:hint="default" w:ascii="Times New Roman" w:hAnsi="Times New Roman" w:eastAsia="宋体" w:cs="Times New Roman"/>
                      <w:b w:val="0"/>
                      <w:bCs/>
                      <w:color w:val="auto"/>
                      <w:u w:val="none"/>
                      <w:lang w:val="en-US" w:eastAsia="zh-CN"/>
                    </w:rPr>
                    <w:t>。</w:t>
                  </w:r>
                </w:p>
              </w:tc>
              <w:tc>
                <w:tcPr>
                  <w:tcW w:w="822" w:type="dxa"/>
                  <w:tcBorders>
                    <w:tl2br w:val="nil"/>
                    <w:tr2bl w:val="nil"/>
                  </w:tcBorders>
                  <w:noWrap w:val="0"/>
                  <w:vAlign w:val="center"/>
                </w:tcPr>
                <w:p w14:paraId="00328DD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相符</w:t>
                  </w:r>
                </w:p>
              </w:tc>
            </w:tr>
          </w:tbl>
          <w:p w14:paraId="1F69FE5C">
            <w:pPr>
              <w:pStyle w:val="28"/>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0" w:firstLineChars="0"/>
              <w:textAlignment w:val="auto"/>
              <w:rPr>
                <w:rFonts w:hint="default" w:ascii="Times New Roman" w:hAnsi="Times New Roman" w:eastAsia="宋体" w:cs="Times New Roman"/>
                <w:b/>
                <w:bCs w:val="0"/>
                <w:color w:val="auto"/>
                <w:kern w:val="28"/>
                <w:sz w:val="24"/>
                <w:szCs w:val="40"/>
                <w:highlight w:val="none"/>
                <w:lang w:val="en-US" w:eastAsia="zh-CN" w:bidi="ar-SA"/>
              </w:rPr>
            </w:pPr>
            <w:r>
              <w:rPr>
                <w:rFonts w:hint="eastAsia" w:ascii="Times New Roman" w:hAnsi="Times New Roman" w:cs="Times New Roman"/>
                <w:b/>
                <w:bCs w:val="0"/>
                <w:color w:val="auto"/>
                <w:kern w:val="28"/>
                <w:sz w:val="24"/>
                <w:szCs w:val="40"/>
                <w:highlight w:val="none"/>
                <w:lang w:val="en-US" w:eastAsia="zh-CN" w:bidi="ar-SA"/>
              </w:rPr>
              <w:t>15</w:t>
            </w:r>
            <w:r>
              <w:rPr>
                <w:rFonts w:hint="default" w:ascii="Times New Roman" w:hAnsi="Times New Roman" w:cs="Times New Roman"/>
                <w:b/>
                <w:bCs w:val="0"/>
                <w:color w:val="auto"/>
                <w:kern w:val="28"/>
                <w:sz w:val="24"/>
                <w:szCs w:val="40"/>
                <w:highlight w:val="none"/>
                <w:lang w:val="en-US" w:eastAsia="zh-CN" w:bidi="ar-SA"/>
              </w:rPr>
              <w:t>、与《</w:t>
            </w:r>
            <w:r>
              <w:rPr>
                <w:rFonts w:hint="eastAsia" w:ascii="Times New Roman" w:hAnsi="Times New Roman" w:cs="Times New Roman"/>
                <w:b/>
                <w:bCs w:val="0"/>
                <w:color w:val="auto"/>
                <w:kern w:val="28"/>
                <w:sz w:val="24"/>
                <w:szCs w:val="40"/>
                <w:highlight w:val="none"/>
                <w:lang w:val="en-US" w:eastAsia="zh-CN" w:bidi="ar-SA"/>
              </w:rPr>
              <w:t>食品生产通用卫生规范</w:t>
            </w:r>
            <w:r>
              <w:rPr>
                <w:rFonts w:hint="default" w:ascii="Times New Roman" w:hAnsi="Times New Roman" w:cs="Times New Roman"/>
                <w:b/>
                <w:bCs w:val="0"/>
                <w:color w:val="auto"/>
                <w:kern w:val="28"/>
                <w:sz w:val="24"/>
                <w:szCs w:val="40"/>
                <w:highlight w:val="none"/>
                <w:lang w:val="en-US" w:eastAsia="zh-CN" w:bidi="ar-SA"/>
              </w:rPr>
              <w:t>》（</w:t>
            </w:r>
            <w:r>
              <w:rPr>
                <w:rFonts w:hint="eastAsia" w:ascii="Times New Roman" w:hAnsi="Times New Roman" w:cs="Times New Roman"/>
                <w:b/>
                <w:bCs w:val="0"/>
                <w:color w:val="auto"/>
                <w:kern w:val="28"/>
                <w:sz w:val="24"/>
                <w:szCs w:val="40"/>
                <w:highlight w:val="none"/>
                <w:lang w:val="en-US" w:eastAsia="zh-CN" w:bidi="ar-SA"/>
              </w:rPr>
              <w:t>GB14881-2013</w:t>
            </w:r>
            <w:r>
              <w:rPr>
                <w:rFonts w:hint="default" w:ascii="Times New Roman" w:hAnsi="Times New Roman" w:cs="Times New Roman"/>
                <w:b/>
                <w:bCs w:val="0"/>
                <w:color w:val="auto"/>
                <w:kern w:val="28"/>
                <w:sz w:val="24"/>
                <w:szCs w:val="40"/>
                <w:highlight w:val="none"/>
                <w:lang w:val="en-US" w:eastAsia="zh-CN" w:bidi="ar-SA"/>
              </w:rPr>
              <w:t>）</w:t>
            </w:r>
            <w:r>
              <w:rPr>
                <w:rFonts w:hint="default" w:ascii="Times New Roman" w:hAnsi="Times New Roman" w:eastAsia="宋体" w:cs="Times New Roman"/>
                <w:b/>
                <w:bCs/>
                <w:kern w:val="0"/>
                <w:sz w:val="24"/>
                <w:u w:val="none"/>
                <w:lang w:eastAsia="zh-CN"/>
              </w:rPr>
              <w:t>的</w:t>
            </w:r>
            <w:r>
              <w:rPr>
                <w:rFonts w:hint="default" w:ascii="Times New Roman" w:hAnsi="Times New Roman" w:eastAsia="宋体" w:cs="Times New Roman"/>
                <w:b/>
                <w:bCs/>
                <w:color w:val="auto"/>
                <w:sz w:val="24"/>
                <w:u w:val="none"/>
              </w:rPr>
              <w:t>相符性</w:t>
            </w:r>
            <w:r>
              <w:rPr>
                <w:rFonts w:hint="default" w:ascii="Times New Roman" w:hAnsi="Times New Roman" w:eastAsia="宋体" w:cs="Times New Roman"/>
                <w:b/>
                <w:bCs/>
                <w:color w:val="auto"/>
                <w:sz w:val="24"/>
                <w:u w:val="none"/>
                <w:lang w:eastAsia="zh-CN"/>
              </w:rPr>
              <w:t>分析</w:t>
            </w:r>
          </w:p>
          <w:p w14:paraId="7FBEA3F6">
            <w:pPr>
              <w:pStyle w:val="6"/>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440" w:lineRule="exact"/>
              <w:ind w:right="0"/>
              <w:jc w:val="center"/>
              <w:textAlignment w:val="auto"/>
              <w:rPr>
                <w:rFonts w:hint="default" w:ascii="Times New Roman" w:hAnsi="Times New Roman" w:eastAsia="黑体" w:cs="Times New Roman"/>
                <w:b w:val="0"/>
                <w:color w:val="auto"/>
                <w:kern w:val="0"/>
                <w:sz w:val="24"/>
                <w:szCs w:val="24"/>
                <w:highlight w:val="none"/>
                <w:u w:val="none"/>
                <w:lang w:val="en-US" w:eastAsia="zh-CN" w:bidi="ar-SA"/>
              </w:rPr>
            </w:pPr>
            <w:r>
              <w:rPr>
                <w:rFonts w:hint="default" w:ascii="Times New Roman" w:hAnsi="Times New Roman" w:eastAsia="黑体" w:cs="Times New Roman"/>
                <w:b w:val="0"/>
                <w:color w:val="auto"/>
                <w:kern w:val="0"/>
                <w:sz w:val="24"/>
                <w:szCs w:val="24"/>
                <w:highlight w:val="none"/>
                <w:u w:val="none"/>
                <w:lang w:val="en-US" w:eastAsia="zh-CN" w:bidi="ar-SA"/>
              </w:rPr>
              <w:t>表1-</w:t>
            </w:r>
            <w:r>
              <w:rPr>
                <w:rFonts w:hint="eastAsia" w:eastAsia="黑体" w:cs="Times New Roman"/>
                <w:b w:val="0"/>
                <w:color w:val="auto"/>
                <w:kern w:val="0"/>
                <w:sz w:val="24"/>
                <w:szCs w:val="24"/>
                <w:highlight w:val="none"/>
                <w:u w:val="none"/>
                <w:lang w:val="en-US" w:eastAsia="zh-CN" w:bidi="ar-SA"/>
              </w:rPr>
              <w:t>9</w:t>
            </w:r>
            <w:r>
              <w:rPr>
                <w:rFonts w:hint="default" w:ascii="Times New Roman" w:hAnsi="Times New Roman" w:eastAsia="黑体" w:cs="Times New Roman"/>
                <w:b w:val="0"/>
                <w:color w:val="auto"/>
                <w:kern w:val="0"/>
                <w:sz w:val="24"/>
                <w:szCs w:val="24"/>
                <w:highlight w:val="none"/>
                <w:u w:val="none"/>
                <w:lang w:val="en-US" w:eastAsia="zh-CN" w:bidi="ar-SA"/>
              </w:rPr>
              <w:t xml:space="preserve"> 本项目建设内容与上述文件符合性分析一览表</w:t>
            </w:r>
          </w:p>
          <w:tbl>
            <w:tblPr>
              <w:tblStyle w:val="21"/>
              <w:tblW w:w="74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666"/>
              <w:gridCol w:w="3155"/>
              <w:gridCol w:w="2204"/>
              <w:gridCol w:w="698"/>
            </w:tblGrid>
            <w:tr w14:paraId="0F95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713" w:type="dxa"/>
                  <w:tcBorders>
                    <w:tl2br w:val="nil"/>
                    <w:tr2bl w:val="nil"/>
                  </w:tcBorders>
                  <w:noWrap w:val="0"/>
                  <w:vAlign w:val="center"/>
                </w:tcPr>
                <w:p w14:paraId="7000A4DB">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en-US"/>
                    </w:rPr>
                  </w:pPr>
                  <w:r>
                    <w:rPr>
                      <w:rFonts w:hint="default" w:ascii="Times New Roman" w:hAnsi="Times New Roman" w:eastAsia="宋体" w:cs="Times New Roman"/>
                      <w:b/>
                      <w:bCs/>
                      <w:color w:val="auto"/>
                      <w:kern w:val="2"/>
                      <w:sz w:val="21"/>
                      <w:szCs w:val="21"/>
                      <w:highlight w:val="none"/>
                      <w:u w:val="none"/>
                      <w:lang w:val="en-US" w:eastAsia="zh-CN" w:bidi="ar-SA"/>
                    </w:rPr>
                    <w:t>文件名称</w:t>
                  </w:r>
                </w:p>
              </w:tc>
              <w:tc>
                <w:tcPr>
                  <w:tcW w:w="666" w:type="dxa"/>
                  <w:tcBorders>
                    <w:tl2br w:val="nil"/>
                    <w:tr2bl w:val="nil"/>
                  </w:tcBorders>
                  <w:noWrap w:val="0"/>
                  <w:vAlign w:val="center"/>
                </w:tcPr>
                <w:p w14:paraId="2E0467C0">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en-US" w:eastAsia="zh-CN" w:bidi="ar-SA"/>
                    </w:rPr>
                    <w:t>类别</w:t>
                  </w:r>
                </w:p>
              </w:tc>
              <w:tc>
                <w:tcPr>
                  <w:tcW w:w="3155" w:type="dxa"/>
                  <w:tcBorders>
                    <w:tl2br w:val="nil"/>
                    <w:tr2bl w:val="nil"/>
                  </w:tcBorders>
                  <w:noWrap w:val="0"/>
                  <w:vAlign w:val="center"/>
                </w:tcPr>
                <w:p w14:paraId="4BE1A210">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方案</w:t>
                  </w:r>
                  <w:r>
                    <w:rPr>
                      <w:rFonts w:hint="default" w:ascii="Times New Roman" w:hAnsi="Times New Roman" w:eastAsia="宋体" w:cs="Times New Roman"/>
                      <w:b/>
                      <w:bCs/>
                      <w:color w:val="auto"/>
                      <w:kern w:val="2"/>
                      <w:sz w:val="21"/>
                      <w:szCs w:val="21"/>
                      <w:highlight w:val="none"/>
                      <w:u w:val="none"/>
                      <w:lang w:val="en-US" w:eastAsia="zh-CN" w:bidi="ar-SA"/>
                    </w:rPr>
                    <w:t>具体</w:t>
                  </w:r>
                  <w:r>
                    <w:rPr>
                      <w:rFonts w:hint="default" w:ascii="Times New Roman" w:hAnsi="Times New Roman" w:eastAsia="宋体" w:cs="Times New Roman"/>
                      <w:b/>
                      <w:bCs/>
                      <w:color w:val="auto"/>
                      <w:kern w:val="2"/>
                      <w:sz w:val="21"/>
                      <w:szCs w:val="21"/>
                      <w:highlight w:val="none"/>
                      <w:u w:val="none"/>
                      <w:lang w:val="zh-CN" w:eastAsia="zh-CN" w:bidi="ar-SA"/>
                    </w:rPr>
                    <w:t>相关要求</w:t>
                  </w:r>
                </w:p>
              </w:tc>
              <w:tc>
                <w:tcPr>
                  <w:tcW w:w="2204" w:type="dxa"/>
                  <w:tcBorders>
                    <w:tl2br w:val="nil"/>
                    <w:tr2bl w:val="nil"/>
                  </w:tcBorders>
                  <w:noWrap w:val="0"/>
                  <w:vAlign w:val="center"/>
                </w:tcPr>
                <w:p w14:paraId="2BEAD4A2">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本项目情况</w:t>
                  </w:r>
                </w:p>
              </w:tc>
              <w:tc>
                <w:tcPr>
                  <w:tcW w:w="698" w:type="dxa"/>
                  <w:tcBorders>
                    <w:tl2br w:val="nil"/>
                    <w:tr2bl w:val="nil"/>
                  </w:tcBorders>
                  <w:noWrap w:val="0"/>
                  <w:vAlign w:val="center"/>
                </w:tcPr>
                <w:p w14:paraId="28F78AD2">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u w:val="none"/>
                      <w:lang w:val="zh-CN"/>
                    </w:rPr>
                  </w:pPr>
                  <w:r>
                    <w:rPr>
                      <w:rFonts w:hint="default" w:ascii="Times New Roman" w:hAnsi="Times New Roman" w:eastAsia="宋体" w:cs="Times New Roman"/>
                      <w:b/>
                      <w:bCs/>
                      <w:color w:val="auto"/>
                      <w:kern w:val="2"/>
                      <w:sz w:val="21"/>
                      <w:szCs w:val="21"/>
                      <w:highlight w:val="none"/>
                      <w:u w:val="none"/>
                      <w:lang w:val="zh-CN" w:eastAsia="zh-CN" w:bidi="ar-SA"/>
                    </w:rPr>
                    <w:t>符合性</w:t>
                  </w:r>
                </w:p>
              </w:tc>
            </w:tr>
            <w:tr w14:paraId="42AA9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13" w:type="dxa"/>
                  <w:vMerge w:val="restart"/>
                  <w:tcBorders>
                    <w:tl2br w:val="nil"/>
                    <w:tr2bl w:val="nil"/>
                  </w:tcBorders>
                  <w:noWrap w:val="0"/>
                  <w:vAlign w:val="center"/>
                </w:tcPr>
                <w:p w14:paraId="1B0699A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食品生产通用卫生规范</w:t>
                  </w:r>
                </w:p>
              </w:tc>
              <w:tc>
                <w:tcPr>
                  <w:tcW w:w="666" w:type="dxa"/>
                  <w:vMerge w:val="restart"/>
                  <w:tcBorders>
                    <w:tl2br w:val="nil"/>
                    <w:tr2bl w:val="nil"/>
                  </w:tcBorders>
                  <w:noWrap w:val="0"/>
                  <w:vAlign w:val="center"/>
                </w:tcPr>
                <w:p w14:paraId="11842D28">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生产</w:t>
                  </w:r>
                </w:p>
                <w:p w14:paraId="5434443D">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选址</w:t>
                  </w:r>
                </w:p>
              </w:tc>
              <w:tc>
                <w:tcPr>
                  <w:tcW w:w="3155" w:type="dxa"/>
                  <w:tcBorders>
                    <w:tl2br w:val="nil"/>
                    <w:tr2bl w:val="nil"/>
                  </w:tcBorders>
                  <w:noWrap w:val="0"/>
                  <w:vAlign w:val="center"/>
                </w:tcPr>
                <w:p w14:paraId="30047075">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厂区不应选择对食品有显著污染的区域；不应选择有害废弃物以及粉尘、有害气体、放射性物质和其他扩散性污染源不能有效清除的地址</w:t>
                  </w:r>
                </w:p>
              </w:tc>
              <w:tc>
                <w:tcPr>
                  <w:tcW w:w="2204" w:type="dxa"/>
                  <w:vMerge w:val="restart"/>
                  <w:tcBorders>
                    <w:tl2br w:val="nil"/>
                    <w:tr2bl w:val="nil"/>
                  </w:tcBorders>
                  <w:noWrap w:val="0"/>
                  <w:vAlign w:val="center"/>
                </w:tcPr>
                <w:p w14:paraId="789FF400">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本项目所在的周围没有较大的环境污染源，厂区不属于较易发生洪涝场所和虫害滋生场所</w:t>
                  </w:r>
                </w:p>
              </w:tc>
              <w:tc>
                <w:tcPr>
                  <w:tcW w:w="698" w:type="dxa"/>
                  <w:tcBorders>
                    <w:tl2br w:val="nil"/>
                    <w:tr2bl w:val="nil"/>
                  </w:tcBorders>
                  <w:noWrap w:val="0"/>
                  <w:vAlign w:val="center"/>
                </w:tcPr>
                <w:p w14:paraId="3B0FB07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相符</w:t>
                  </w:r>
                </w:p>
              </w:tc>
            </w:tr>
            <w:tr w14:paraId="4C36A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1" w:hRule="atLeast"/>
                <w:jc w:val="center"/>
              </w:trPr>
              <w:tc>
                <w:tcPr>
                  <w:tcW w:w="713" w:type="dxa"/>
                  <w:vMerge w:val="continue"/>
                  <w:tcBorders>
                    <w:tl2br w:val="nil"/>
                    <w:tr2bl w:val="nil"/>
                  </w:tcBorders>
                  <w:noWrap w:val="0"/>
                  <w:vAlign w:val="center"/>
                </w:tcPr>
                <w:p w14:paraId="3BF3667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66" w:type="dxa"/>
                  <w:vMerge w:val="continue"/>
                  <w:tcBorders>
                    <w:tl2br w:val="nil"/>
                    <w:tr2bl w:val="nil"/>
                  </w:tcBorders>
                  <w:noWrap w:val="0"/>
                  <w:vAlign w:val="center"/>
                </w:tcPr>
                <w:p w14:paraId="19508D7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3155" w:type="dxa"/>
                  <w:tcBorders>
                    <w:tl2br w:val="nil"/>
                    <w:tr2bl w:val="nil"/>
                  </w:tcBorders>
                  <w:noWrap w:val="0"/>
                  <w:vAlign w:val="center"/>
                </w:tcPr>
                <w:p w14:paraId="47C9D2D9">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厂区不宜择易发生洪涝灾害地区，难以避开时应相符设计必要的防范措施。厂区周围不宜有虫害量孳生的潜在场所，难以避开时应设计必要的防范措施</w:t>
                  </w:r>
                </w:p>
              </w:tc>
              <w:tc>
                <w:tcPr>
                  <w:tcW w:w="2204" w:type="dxa"/>
                  <w:vMerge w:val="continue"/>
                  <w:tcBorders>
                    <w:tl2br w:val="nil"/>
                    <w:tr2bl w:val="nil"/>
                  </w:tcBorders>
                  <w:noWrap w:val="0"/>
                  <w:vAlign w:val="center"/>
                </w:tcPr>
                <w:p w14:paraId="550F6CBD">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98" w:type="dxa"/>
                  <w:tcBorders>
                    <w:tl2br w:val="nil"/>
                    <w:tr2bl w:val="nil"/>
                  </w:tcBorders>
                  <w:noWrap w:val="0"/>
                  <w:vAlign w:val="center"/>
                </w:tcPr>
                <w:p w14:paraId="6D54542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相符</w:t>
                  </w:r>
                </w:p>
              </w:tc>
            </w:tr>
            <w:tr w14:paraId="4F89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6" w:hRule="atLeast"/>
                <w:jc w:val="center"/>
              </w:trPr>
              <w:tc>
                <w:tcPr>
                  <w:tcW w:w="713" w:type="dxa"/>
                  <w:vMerge w:val="continue"/>
                  <w:tcBorders>
                    <w:tl2br w:val="nil"/>
                    <w:tr2bl w:val="nil"/>
                  </w:tcBorders>
                  <w:noWrap w:val="0"/>
                  <w:vAlign w:val="center"/>
                </w:tcPr>
                <w:p w14:paraId="795B33F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66" w:type="dxa"/>
                  <w:vMerge w:val="restart"/>
                  <w:tcBorders>
                    <w:tl2br w:val="nil"/>
                    <w:tr2bl w:val="nil"/>
                  </w:tcBorders>
                  <w:noWrap w:val="0"/>
                  <w:vAlign w:val="center"/>
                </w:tcPr>
                <w:p w14:paraId="6AAD1FD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厂内</w:t>
                  </w:r>
                </w:p>
                <w:p w14:paraId="1656ADC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环境</w:t>
                  </w:r>
                </w:p>
              </w:tc>
              <w:tc>
                <w:tcPr>
                  <w:tcW w:w="3155" w:type="dxa"/>
                  <w:tcBorders>
                    <w:tl2br w:val="nil"/>
                    <w:tr2bl w:val="nil"/>
                  </w:tcBorders>
                  <w:noWrap w:val="0"/>
                  <w:vAlign w:val="center"/>
                </w:tcPr>
                <w:p w14:paraId="68BC9938">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厂区应合理布局，各功能区域划分明显，并有适当的分离或分隔措施，防止交叉污染。宿舍、食堂、职工娱乐设施等生活区应与生产区保持适当距离或分隔</w:t>
                  </w:r>
                </w:p>
              </w:tc>
              <w:tc>
                <w:tcPr>
                  <w:tcW w:w="2204" w:type="dxa"/>
                  <w:tcBorders>
                    <w:tl2br w:val="nil"/>
                    <w:tr2bl w:val="nil"/>
                  </w:tcBorders>
                  <w:noWrap w:val="0"/>
                  <w:vAlign w:val="center"/>
                </w:tcPr>
                <w:p w14:paraId="3A16F120">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本项目厂区内生产车间和生活区相互隔离，并保持一定的距离，</w:t>
                  </w:r>
                  <w:r>
                    <w:rPr>
                      <w:rFonts w:ascii="Times New Roman" w:hAnsi="Times New Roman" w:eastAsia="宋体"/>
                      <w:color w:val="auto"/>
                      <w:kern w:val="0"/>
                      <w:sz w:val="21"/>
                      <w:szCs w:val="21"/>
                    </w:rPr>
                    <w:t>厂区布局合理、各功能区区域划分明确、各区域都有通道隔离</w:t>
                  </w:r>
                </w:p>
              </w:tc>
              <w:tc>
                <w:tcPr>
                  <w:tcW w:w="698" w:type="dxa"/>
                  <w:tcBorders>
                    <w:tl2br w:val="nil"/>
                    <w:tr2bl w:val="nil"/>
                  </w:tcBorders>
                  <w:noWrap w:val="0"/>
                  <w:vAlign w:val="center"/>
                </w:tcPr>
                <w:p w14:paraId="478E5D7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相符</w:t>
                  </w:r>
                </w:p>
              </w:tc>
            </w:tr>
            <w:tr w14:paraId="648F5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91" w:hRule="atLeast"/>
                <w:jc w:val="center"/>
              </w:trPr>
              <w:tc>
                <w:tcPr>
                  <w:tcW w:w="713" w:type="dxa"/>
                  <w:vMerge w:val="continue"/>
                  <w:tcBorders>
                    <w:tl2br w:val="nil"/>
                    <w:tr2bl w:val="nil"/>
                  </w:tcBorders>
                  <w:noWrap w:val="0"/>
                  <w:vAlign w:val="center"/>
                </w:tcPr>
                <w:p w14:paraId="36E9BE9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66" w:type="dxa"/>
                  <w:vMerge w:val="continue"/>
                  <w:tcBorders>
                    <w:tl2br w:val="nil"/>
                    <w:tr2bl w:val="nil"/>
                  </w:tcBorders>
                  <w:noWrap w:val="0"/>
                  <w:vAlign w:val="center"/>
                </w:tcPr>
                <w:p w14:paraId="5525906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000000"/>
                      <w:spacing w:val="0"/>
                      <w:sz w:val="21"/>
                      <w:szCs w:val="21"/>
                      <w:highlight w:val="none"/>
                      <w:shd w:val="clear" w:fill="FFFFFF"/>
                    </w:rPr>
                  </w:pPr>
                </w:p>
              </w:tc>
              <w:tc>
                <w:tcPr>
                  <w:tcW w:w="3155" w:type="dxa"/>
                  <w:tcBorders>
                    <w:tl2br w:val="nil"/>
                    <w:tr2bl w:val="nil"/>
                  </w:tcBorders>
                  <w:noWrap w:val="0"/>
                  <w:vAlign w:val="center"/>
                </w:tcPr>
                <w:p w14:paraId="1BD1AF7D">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000000"/>
                      <w:spacing w:val="0"/>
                      <w:sz w:val="21"/>
                      <w:szCs w:val="21"/>
                      <w:highlight w:val="none"/>
                      <w:shd w:val="clear" w:fill="FFFFFF"/>
                    </w:rPr>
                  </w:pPr>
                  <w:r>
                    <w:rPr>
                      <w:rFonts w:ascii="宋体" w:hAnsi="宋体" w:eastAsia="宋体" w:cs="宋体"/>
                      <w:sz w:val="21"/>
                      <w:szCs w:val="21"/>
                    </w:rPr>
                    <w:t>厂区内的道路应铺设混凝土、沥青、或者其他硬质材料；空地应采取必要措施，如铺设水泥、地砖或铺设草坪等方式，保持环境清洁，防止正常天气下扬尘和积水等现象的发生。厂区绿化应与生车间保持适当距离，植被应定期维护，以防止虫害的孳生。厂区应有适当的排水系统</w:t>
                  </w:r>
                </w:p>
              </w:tc>
              <w:tc>
                <w:tcPr>
                  <w:tcW w:w="2204" w:type="dxa"/>
                  <w:tcBorders>
                    <w:tl2br w:val="nil"/>
                    <w:tr2bl w:val="nil"/>
                  </w:tcBorders>
                  <w:noWrap w:val="0"/>
                  <w:vAlign w:val="center"/>
                </w:tcPr>
                <w:p w14:paraId="6277FA63">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ascii="宋体" w:hAnsi="宋体" w:eastAsia="宋体" w:cs="宋体"/>
                      <w:sz w:val="21"/>
                      <w:szCs w:val="21"/>
                    </w:rPr>
                    <w:t>厂区地面均进行了水泥硬化，道路平整，不易产尘和集水</w:t>
                  </w:r>
                </w:p>
              </w:tc>
              <w:tc>
                <w:tcPr>
                  <w:tcW w:w="698" w:type="dxa"/>
                  <w:tcBorders>
                    <w:tl2br w:val="nil"/>
                    <w:tr2bl w:val="nil"/>
                  </w:tcBorders>
                  <w:noWrap w:val="0"/>
                  <w:vAlign w:val="center"/>
                </w:tcPr>
                <w:p w14:paraId="672049F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相符</w:t>
                  </w:r>
                </w:p>
              </w:tc>
            </w:tr>
          </w:tbl>
          <w:p w14:paraId="07D32656">
            <w:pPr>
              <w:pStyle w:val="34"/>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由上表分析可知，本项目建设符合《</w:t>
            </w:r>
            <w:r>
              <w:rPr>
                <w:rFonts w:hint="eastAsia" w:ascii="Times New Roman" w:hAnsi="Times New Roman" w:cs="Times New Roman"/>
                <w:color w:val="auto"/>
                <w:kern w:val="0"/>
                <w:sz w:val="24"/>
                <w:szCs w:val="24"/>
                <w:highlight w:val="none"/>
                <w:lang w:val="en-US" w:eastAsia="zh-CN"/>
              </w:rPr>
              <w:t>食品生产通用卫生规范</w:t>
            </w:r>
            <w:r>
              <w:rPr>
                <w:rFonts w:hint="default" w:ascii="Times New Roman" w:hAnsi="Times New Roman" w:eastAsia="宋体" w:cs="Times New Roman"/>
                <w:color w:val="auto"/>
                <w:kern w:val="0"/>
                <w:sz w:val="24"/>
                <w:szCs w:val="24"/>
                <w:highlight w:val="none"/>
                <w:lang w:val="en-US" w:eastAsia="zh-CN"/>
              </w:rPr>
              <w:t>》</w:t>
            </w:r>
            <w:r>
              <w:rPr>
                <w:rFonts w:ascii="Times New Roman" w:hAnsi="Times New Roman" w:eastAsia="黑体"/>
                <w:color w:val="auto"/>
                <w:sz w:val="24"/>
                <w:szCs w:val="32"/>
              </w:rPr>
              <w:t>（GB14881-2013）</w:t>
            </w:r>
            <w:r>
              <w:rPr>
                <w:rFonts w:hint="default" w:ascii="Times New Roman" w:hAnsi="Times New Roman" w:eastAsia="宋体" w:cs="Times New Roman"/>
                <w:color w:val="auto"/>
                <w:kern w:val="0"/>
                <w:sz w:val="24"/>
                <w:szCs w:val="24"/>
                <w:highlight w:val="none"/>
                <w:lang w:val="en-US" w:eastAsia="zh-CN"/>
              </w:rPr>
              <w:t>中相关要求</w:t>
            </w:r>
            <w:r>
              <w:rPr>
                <w:rFonts w:hint="default" w:ascii="Times New Roman" w:hAnsi="Times New Roman" w:eastAsia="宋体" w:cs="Times New Roman"/>
                <w:color w:val="auto"/>
                <w:sz w:val="24"/>
                <w:szCs w:val="24"/>
                <w:highlight w:val="none"/>
              </w:rPr>
              <w:t>。</w:t>
            </w:r>
          </w:p>
        </w:tc>
      </w:tr>
    </w:tbl>
    <w:p w14:paraId="6BC621A8">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43"/>
      </w:tblGrid>
      <w:tr w14:paraId="546AC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4" w:hRule="atLeast"/>
          <w:jc w:val="center"/>
        </w:trPr>
        <w:tc>
          <w:tcPr>
            <w:tcW w:w="817" w:type="dxa"/>
            <w:noWrap w:val="0"/>
            <w:vAlign w:val="center"/>
          </w:tcPr>
          <w:p w14:paraId="01D2BDCF">
            <w:pPr>
              <w:pStyle w:val="17"/>
              <w:adjustRightInd w:val="0"/>
              <w:snapToGrid w:val="0"/>
              <w:spacing w:before="0" w:beforeAutospacing="0" w:after="0" w:afterAutospacing="0"/>
              <w:jc w:val="center"/>
              <w:rPr>
                <w:rFonts w:hint="default" w:ascii="Times New Roman" w:hAnsi="Times New Roman" w:cs="Times New Roman"/>
                <w:b/>
                <w:szCs w:val="24"/>
                <w:lang w:val="en-US" w:eastAsia="zh-CN"/>
              </w:rPr>
            </w:pPr>
            <w:r>
              <w:rPr>
                <w:rFonts w:hint="default" w:ascii="Times New Roman" w:hAnsi="Times New Roman" w:cs="Times New Roman"/>
                <w:b/>
                <w:szCs w:val="24"/>
                <w:lang w:val="en-US" w:eastAsia="zh-CN"/>
              </w:rPr>
              <w:t>建设内容</w:t>
            </w:r>
          </w:p>
        </w:tc>
        <w:tc>
          <w:tcPr>
            <w:tcW w:w="8243" w:type="dxa"/>
            <w:noWrap w:val="0"/>
            <w:vAlign w:val="top"/>
          </w:tcPr>
          <w:p w14:paraId="5FDCE0F8">
            <w:pPr>
              <w:pStyle w:val="27"/>
              <w:keepNext w:val="0"/>
              <w:keepLines w:val="0"/>
              <w:pageBreakBefore w:val="0"/>
              <w:widowControl w:val="0"/>
              <w:kinsoku/>
              <w:wordWrap/>
              <w:overflowPunct/>
              <w:topLinePunct w:val="0"/>
              <w:bidi w:val="0"/>
              <w:snapToGrid/>
              <w:spacing w:line="500" w:lineRule="exact"/>
              <w:textAlignment w:val="auto"/>
              <w:rPr>
                <w:rFonts w:hint="default" w:ascii="Times New Roman" w:hAnsi="Times New Roman" w:cs="Times New Roman"/>
                <w:b/>
                <w:bCs/>
              </w:rPr>
            </w:pPr>
            <w:r>
              <w:rPr>
                <w:rFonts w:hint="default" w:ascii="Times New Roman" w:hAnsi="Times New Roman" w:cs="Times New Roman"/>
                <w:b/>
                <w:bCs/>
              </w:rPr>
              <w:t>1、项目由来</w:t>
            </w:r>
          </w:p>
          <w:p w14:paraId="3B6FF6E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ascii="Times New Roman" w:hAnsi="Times New Roman" w:cs="Times New Roman"/>
                <w:color w:val="auto"/>
                <w:kern w:val="0"/>
                <w:sz w:val="24"/>
                <w:lang w:val="zh-CN"/>
              </w:rPr>
            </w:pPr>
            <w:r>
              <w:rPr>
                <w:rFonts w:hint="eastAsia" w:cs="Times New Roman"/>
                <w:color w:val="auto"/>
                <w:sz w:val="24"/>
                <w:lang w:val="en-US" w:eastAsia="zh-CN"/>
              </w:rPr>
              <w:t>叶县嘉航食品</w:t>
            </w:r>
            <w:r>
              <w:rPr>
                <w:rFonts w:hint="default" w:ascii="Times New Roman" w:hAnsi="Times New Roman" w:cs="Times New Roman"/>
                <w:color w:val="auto"/>
                <w:sz w:val="24"/>
                <w:lang w:val="en-US" w:eastAsia="zh-CN"/>
              </w:rPr>
              <w:t>有限公司利用</w:t>
            </w:r>
            <w:r>
              <w:rPr>
                <w:rFonts w:hint="eastAsia" w:cs="Times New Roman"/>
                <w:color w:val="auto"/>
                <w:sz w:val="24"/>
                <w:lang w:val="en-US" w:eastAsia="zh-CN"/>
              </w:rPr>
              <w:t>牛骨、牛油、辣椒、食用盐以及一些香辛料等原料来生产牛骨高汤、辣椒酱、鲜辣椒以及复合调味料</w:t>
            </w:r>
            <w:r>
              <w:rPr>
                <w:rFonts w:hint="default" w:ascii="Times New Roman" w:hAnsi="Times New Roman" w:cs="Times New Roman"/>
                <w:color w:val="auto"/>
                <w:sz w:val="24"/>
                <w:lang w:val="en-US" w:eastAsia="zh-CN"/>
              </w:rPr>
              <w:t>，因此本项目共有</w:t>
            </w:r>
            <w:r>
              <w:rPr>
                <w:rFonts w:hint="eastAsia" w:cs="Times New Roman"/>
                <w:color w:val="auto"/>
                <w:sz w:val="24"/>
                <w:lang w:val="en-US" w:eastAsia="zh-CN"/>
              </w:rPr>
              <w:t>四</w:t>
            </w:r>
            <w:r>
              <w:rPr>
                <w:rFonts w:hint="default" w:ascii="Times New Roman" w:hAnsi="Times New Roman" w:cs="Times New Roman"/>
                <w:color w:val="auto"/>
                <w:sz w:val="24"/>
                <w:lang w:val="en-US" w:eastAsia="zh-CN"/>
              </w:rPr>
              <w:t>条生产线</w:t>
            </w:r>
            <w:r>
              <w:rPr>
                <w:rFonts w:hint="eastAsia" w:cs="Times New Roman"/>
                <w:color w:val="auto"/>
                <w:sz w:val="24"/>
                <w:lang w:val="en-US" w:eastAsia="zh-CN"/>
              </w:rPr>
              <w:t>，叶县嘉航食品</w:t>
            </w:r>
            <w:r>
              <w:rPr>
                <w:rFonts w:hint="default" w:ascii="Times New Roman" w:hAnsi="Times New Roman" w:cs="Times New Roman"/>
                <w:color w:val="auto"/>
                <w:sz w:val="24"/>
                <w:lang w:val="en-US" w:eastAsia="zh-CN"/>
              </w:rPr>
              <w:t>有限公司计</w:t>
            </w:r>
            <w:r>
              <w:rPr>
                <w:rFonts w:hint="default" w:ascii="Times New Roman" w:hAnsi="Times New Roman" w:cs="Times New Roman"/>
                <w:color w:val="auto"/>
                <w:sz w:val="24"/>
                <w:highlight w:val="none"/>
                <w:lang w:val="en-US" w:eastAsia="zh-CN"/>
              </w:rPr>
              <w:t>划投资</w:t>
            </w:r>
            <w:r>
              <w:rPr>
                <w:rFonts w:hint="eastAsia" w:cs="Times New Roman"/>
                <w:color w:val="auto"/>
                <w:sz w:val="24"/>
                <w:highlight w:val="none"/>
                <w:lang w:val="en-US" w:eastAsia="zh-CN"/>
              </w:rPr>
              <w:t>2000</w:t>
            </w:r>
            <w:r>
              <w:rPr>
                <w:rFonts w:hint="default" w:ascii="Times New Roman" w:hAnsi="Times New Roman" w:cs="Times New Roman"/>
                <w:color w:val="auto"/>
                <w:sz w:val="24"/>
                <w:highlight w:val="none"/>
                <w:lang w:val="en-US" w:eastAsia="zh-CN"/>
              </w:rPr>
              <w:t>万元，利用</w:t>
            </w:r>
            <w:bookmarkStart w:id="1" w:name="OLE_LINK1"/>
            <w:r>
              <w:rPr>
                <w:rFonts w:hint="eastAsia" w:cs="Times New Roman"/>
                <w:color w:val="auto"/>
                <w:sz w:val="24"/>
                <w:highlight w:val="none"/>
                <w:lang w:val="en-US" w:eastAsia="zh-CN"/>
              </w:rPr>
              <w:t>平顶山市</w:t>
            </w:r>
            <w:r>
              <w:rPr>
                <w:rFonts w:hint="default" w:ascii="Times New Roman" w:hAnsi="Times New Roman" w:cs="Times New Roman"/>
                <w:color w:val="auto"/>
                <w:sz w:val="24"/>
                <w:highlight w:val="none"/>
                <w:lang w:val="en-US" w:eastAsia="zh-CN"/>
              </w:rPr>
              <w:t>叶县廉村镇</w:t>
            </w:r>
            <w:r>
              <w:rPr>
                <w:rFonts w:hint="eastAsia" w:cs="Times New Roman"/>
                <w:color w:val="auto"/>
                <w:sz w:val="24"/>
                <w:highlight w:val="none"/>
                <w:lang w:val="en-US" w:eastAsia="zh-CN"/>
              </w:rPr>
              <w:t>沙渡口</w:t>
            </w:r>
            <w:r>
              <w:rPr>
                <w:rFonts w:hint="default" w:ascii="Times New Roman" w:hAnsi="Times New Roman" w:cs="Times New Roman"/>
                <w:color w:val="auto"/>
                <w:sz w:val="24"/>
                <w:highlight w:val="none"/>
                <w:lang w:val="en-US" w:eastAsia="zh-CN"/>
              </w:rPr>
              <w:t>村</w:t>
            </w:r>
            <w:bookmarkEnd w:id="1"/>
            <w:r>
              <w:rPr>
                <w:rFonts w:hint="eastAsia" w:cs="Times New Roman"/>
                <w:color w:val="auto"/>
                <w:sz w:val="24"/>
                <w:highlight w:val="none"/>
                <w:lang w:val="en-US" w:eastAsia="zh-CN"/>
              </w:rPr>
              <w:t>空场</w:t>
            </w:r>
            <w:r>
              <w:rPr>
                <w:rFonts w:hint="default" w:ascii="Times New Roman" w:hAnsi="Times New Roman" w:cs="Times New Roman"/>
                <w:color w:val="auto"/>
                <w:sz w:val="24"/>
                <w:highlight w:val="none"/>
                <w:lang w:val="en-US" w:eastAsia="zh-CN"/>
              </w:rPr>
              <w:t>来建设厂区和生产使用</w:t>
            </w:r>
            <w:r>
              <w:rPr>
                <w:rFonts w:hint="eastAsia" w:cs="Times New Roman"/>
                <w:color w:val="auto"/>
                <w:sz w:val="24"/>
                <w:highlight w:val="none"/>
                <w:lang w:val="en-US" w:eastAsia="zh-CN"/>
              </w:rPr>
              <w:t>，已获得</w:t>
            </w:r>
            <w:r>
              <w:rPr>
                <w:rFonts w:hint="default" w:ascii="Times New Roman" w:hAnsi="Times New Roman" w:cs="Times New Roman"/>
                <w:color w:val="auto"/>
                <w:sz w:val="24"/>
                <w:lang w:val="en-US" w:eastAsia="zh-CN"/>
              </w:rPr>
              <w:t>叶县</w:t>
            </w:r>
            <w:r>
              <w:rPr>
                <w:rFonts w:hint="eastAsia" w:cs="Times New Roman"/>
                <w:color w:val="auto"/>
                <w:sz w:val="24"/>
                <w:lang w:val="en-US" w:eastAsia="zh-CN"/>
              </w:rPr>
              <w:t>自然资源局允许建</w:t>
            </w:r>
            <w:r>
              <w:rPr>
                <w:rFonts w:hint="eastAsia" w:cs="Times New Roman"/>
                <w:color w:val="auto"/>
                <w:sz w:val="24"/>
                <w:highlight w:val="none"/>
                <w:lang w:val="en-US" w:eastAsia="zh-CN"/>
              </w:rPr>
              <w:t>设证明（</w:t>
            </w:r>
            <w:r>
              <w:rPr>
                <w:rFonts w:hint="default" w:ascii="Times New Roman" w:hAnsi="Times New Roman" w:cs="Times New Roman"/>
                <w:sz w:val="24"/>
                <w:highlight w:val="none"/>
              </w:rPr>
              <w:t>见附件</w:t>
            </w:r>
            <w:r>
              <w:rPr>
                <w:rFonts w:hint="eastAsia" w:cs="Times New Roman"/>
                <w:sz w:val="24"/>
                <w:highlight w:val="none"/>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kern w:val="0"/>
                <w:sz w:val="24"/>
                <w:lang w:val="zh-CN"/>
              </w:rPr>
              <w:t>。</w:t>
            </w:r>
          </w:p>
          <w:p w14:paraId="7D6372FB">
            <w:pPr>
              <w:keepNext w:val="0"/>
              <w:keepLines w:val="0"/>
              <w:pageBreakBefore w:val="0"/>
              <w:widowControl w:val="0"/>
              <w:kinsoku/>
              <w:wordWrap/>
              <w:overflowPunct/>
              <w:topLinePunct w:val="0"/>
              <w:bidi w:val="0"/>
              <w:snapToGrid/>
              <w:spacing w:line="500" w:lineRule="exact"/>
              <w:ind w:firstLine="480"/>
              <w:textAlignment w:val="auto"/>
              <w:rPr>
                <w:rFonts w:hint="default" w:ascii="Times New Roman" w:hAnsi="Times New Roman" w:eastAsia="宋体" w:cs="Times New Roman"/>
                <w:b w:val="0"/>
                <w:bCs w:val="0"/>
                <w:sz w:val="24"/>
                <w:u w:val="none"/>
                <w:lang w:eastAsia="zh-CN"/>
              </w:rPr>
            </w:pPr>
            <w:r>
              <w:rPr>
                <w:rFonts w:hint="default" w:ascii="Times New Roman" w:hAnsi="Times New Roman" w:cs="Times New Roman"/>
                <w:sz w:val="24"/>
              </w:rPr>
              <w:t>受</w:t>
            </w:r>
            <w:r>
              <w:rPr>
                <w:rFonts w:hint="eastAsia" w:cs="Times New Roman"/>
                <w:color w:val="auto"/>
                <w:sz w:val="24"/>
                <w:lang w:val="en-US" w:eastAsia="zh-CN"/>
              </w:rPr>
              <w:t>叶县嘉航食品</w:t>
            </w:r>
            <w:r>
              <w:rPr>
                <w:rFonts w:hint="default" w:ascii="Times New Roman" w:hAnsi="Times New Roman" w:cs="Times New Roman"/>
                <w:color w:val="auto"/>
                <w:sz w:val="24"/>
                <w:lang w:val="en-US" w:eastAsia="zh-CN"/>
              </w:rPr>
              <w:t>有限公司</w:t>
            </w:r>
            <w:r>
              <w:rPr>
                <w:rFonts w:hint="default" w:ascii="Times New Roman" w:hAnsi="Times New Roman" w:cs="Times New Roman"/>
                <w:sz w:val="24"/>
              </w:rPr>
              <w:t>的委托，我公司承担了该项目环境影响报告表的编制工作，委托书见</w:t>
            </w:r>
            <w:r>
              <w:rPr>
                <w:rFonts w:hint="default" w:ascii="Times New Roman" w:hAnsi="Times New Roman" w:cs="Times New Roman"/>
                <w:sz w:val="24"/>
                <w:highlight w:val="none"/>
              </w:rPr>
              <w:t>附件</w:t>
            </w:r>
            <w:r>
              <w:rPr>
                <w:rFonts w:hint="eastAsia" w:cs="Times New Roman"/>
                <w:sz w:val="24"/>
                <w:highlight w:val="none"/>
                <w:lang w:val="en-US" w:eastAsia="zh-CN"/>
              </w:rPr>
              <w:t>2</w:t>
            </w:r>
            <w:r>
              <w:rPr>
                <w:rFonts w:hint="default" w:ascii="Times New Roman" w:hAnsi="Times New Roman" w:cs="Times New Roman"/>
                <w:sz w:val="24"/>
              </w:rPr>
              <w:t>。接受委托后，我单位评价人员在对项目建设现场勘察及收集有关资料进行分析的基础上，依据国家有关法规和环境影响评价技术导则，编制了该项目环境影响报告表。</w:t>
            </w:r>
          </w:p>
          <w:p w14:paraId="3B32D4AE">
            <w:pPr>
              <w:pStyle w:val="27"/>
              <w:keepNext w:val="0"/>
              <w:keepLines w:val="0"/>
              <w:pageBreakBefore w:val="0"/>
              <w:widowControl w:val="0"/>
              <w:kinsoku/>
              <w:wordWrap/>
              <w:overflowPunct/>
              <w:topLinePunct w:val="0"/>
              <w:bidi w:val="0"/>
              <w:snapToGrid/>
              <w:spacing w:line="500" w:lineRule="exact"/>
              <w:textAlignment w:val="auto"/>
              <w:rPr>
                <w:rFonts w:hint="default" w:ascii="Times New Roman" w:hAnsi="Times New Roman" w:cs="Times New Roman"/>
                <w:b/>
                <w:bCs/>
              </w:rPr>
            </w:pPr>
            <w:r>
              <w:rPr>
                <w:rFonts w:hint="default" w:ascii="Times New Roman" w:hAnsi="Times New Roman" w:cs="Times New Roman"/>
                <w:b/>
                <w:bCs/>
              </w:rPr>
              <w:t>2、</w:t>
            </w:r>
            <w:r>
              <w:rPr>
                <w:rFonts w:hint="default" w:ascii="Times New Roman" w:hAnsi="Times New Roman" w:cs="Times New Roman"/>
                <w:b/>
                <w:bCs/>
                <w:lang w:val="en-US" w:eastAsia="zh-CN"/>
              </w:rPr>
              <w:t>项目组成及建设</w:t>
            </w:r>
            <w:r>
              <w:rPr>
                <w:rFonts w:hint="default" w:ascii="Times New Roman" w:hAnsi="Times New Roman" w:cs="Times New Roman"/>
                <w:b/>
                <w:bCs/>
              </w:rPr>
              <w:t>内容</w:t>
            </w:r>
          </w:p>
          <w:p w14:paraId="697F380C">
            <w:pPr>
              <w:keepNext w:val="0"/>
              <w:keepLines w:val="0"/>
              <w:pageBreakBefore w:val="0"/>
              <w:widowControl w:val="0"/>
              <w:kinsoku/>
              <w:wordWrap/>
              <w:overflowPunct/>
              <w:topLinePunct w:val="0"/>
              <w:bidi w:val="0"/>
              <w:snapToGrid/>
              <w:spacing w:line="500" w:lineRule="exact"/>
              <w:ind w:firstLine="480" w:firstLineChars="200"/>
              <w:textAlignment w:val="auto"/>
              <w:rPr>
                <w:rFonts w:hint="default" w:ascii="Times New Roman" w:hAnsi="Times New Roman" w:eastAsia="黑体" w:cs="Times New Roman"/>
                <w:sz w:val="24"/>
              </w:rPr>
            </w:pPr>
            <w:r>
              <w:rPr>
                <w:rFonts w:hint="default" w:ascii="Times New Roman" w:hAnsi="Times New Roman" w:cs="Times New Roman"/>
                <w:sz w:val="24"/>
              </w:rPr>
              <w:t>本项目为新建项目，本项目主要建设内容见表2-1。</w:t>
            </w:r>
          </w:p>
          <w:p w14:paraId="50929BC9">
            <w:pPr>
              <w:keepNext w:val="0"/>
              <w:keepLines w:val="0"/>
              <w:pageBreakBefore w:val="0"/>
              <w:widowControl w:val="0"/>
              <w:kinsoku/>
              <w:wordWrap/>
              <w:overflowPunct/>
              <w:topLinePunct w:val="0"/>
              <w:bidi w:val="0"/>
              <w:snapToGrid/>
              <w:spacing w:line="50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w:t>
            </w:r>
            <w:r>
              <w:rPr>
                <w:rFonts w:hint="default" w:ascii="Times New Roman" w:hAnsi="Times New Roman" w:eastAsia="黑体" w:cs="Times New Roman"/>
                <w:sz w:val="24"/>
                <w:highlight w:val="none"/>
                <w:lang w:val="en-US" w:eastAsia="zh-CN"/>
              </w:rPr>
              <w:t>2-1</w:t>
            </w:r>
            <w:r>
              <w:rPr>
                <w:rFonts w:hint="default" w:ascii="Times New Roman" w:hAnsi="Times New Roman" w:eastAsia="黑体" w:cs="Times New Roman"/>
                <w:sz w:val="24"/>
                <w:highlight w:val="none"/>
              </w:rPr>
              <w:t xml:space="preserve">  项目</w:t>
            </w:r>
            <w:r>
              <w:rPr>
                <w:rFonts w:hint="default" w:ascii="Times New Roman" w:hAnsi="Times New Roman" w:eastAsia="黑体" w:cs="Times New Roman"/>
                <w:sz w:val="24"/>
                <w:highlight w:val="none"/>
                <w:lang w:val="en-US" w:eastAsia="zh-CN"/>
              </w:rPr>
              <w:t>组成及建设内容</w:t>
            </w:r>
            <w:r>
              <w:rPr>
                <w:rFonts w:hint="default" w:ascii="Times New Roman" w:hAnsi="Times New Roman" w:eastAsia="黑体" w:cs="Times New Roman"/>
                <w:sz w:val="24"/>
                <w:highlight w:val="none"/>
              </w:rPr>
              <w:t>一览表</w:t>
            </w:r>
          </w:p>
          <w:tbl>
            <w:tblPr>
              <w:tblStyle w:val="21"/>
              <w:tblW w:w="79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5"/>
              <w:gridCol w:w="1195"/>
              <w:gridCol w:w="4857"/>
              <w:gridCol w:w="721"/>
            </w:tblGrid>
            <w:tr w14:paraId="002F56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185" w:type="dxa"/>
                  <w:tcBorders>
                    <w:tl2br w:val="nil"/>
                    <w:tr2bl w:val="nil"/>
                  </w:tcBorders>
                  <w:noWrap w:val="0"/>
                  <w:vAlign w:val="center"/>
                </w:tcPr>
                <w:p w14:paraId="5DA64FCD">
                  <w:pPr>
                    <w:jc w:val="center"/>
                    <w:rPr>
                      <w:rFonts w:hint="default" w:ascii="Times New Roman" w:hAnsi="Times New Roman" w:cs="Times New Roman"/>
                    </w:rPr>
                  </w:pPr>
                  <w:r>
                    <w:rPr>
                      <w:rFonts w:hint="default" w:ascii="Times New Roman" w:hAnsi="Times New Roman" w:cs="Times New Roman"/>
                      <w:lang w:val="en-US" w:eastAsia="zh-CN"/>
                    </w:rPr>
                    <w:t>项目</w:t>
                  </w:r>
                  <w:r>
                    <w:rPr>
                      <w:rFonts w:hint="default" w:ascii="Times New Roman" w:hAnsi="Times New Roman" w:cs="Times New Roman"/>
                    </w:rPr>
                    <w:t>组成</w:t>
                  </w:r>
                </w:p>
              </w:tc>
              <w:tc>
                <w:tcPr>
                  <w:tcW w:w="1195" w:type="dxa"/>
                  <w:tcBorders>
                    <w:tl2br w:val="nil"/>
                    <w:tr2bl w:val="nil"/>
                  </w:tcBorders>
                  <w:noWrap w:val="0"/>
                  <w:vAlign w:val="center"/>
                </w:tcPr>
                <w:p w14:paraId="490DD4EF">
                  <w:pPr>
                    <w:jc w:val="center"/>
                    <w:rPr>
                      <w:rFonts w:hint="default" w:ascii="Times New Roman" w:hAnsi="Times New Roman" w:cs="Times New Roman"/>
                    </w:rPr>
                  </w:pPr>
                  <w:r>
                    <w:rPr>
                      <w:rFonts w:hint="default" w:ascii="Times New Roman" w:hAnsi="Times New Roman" w:cs="Times New Roman"/>
                    </w:rPr>
                    <w:t>工程名称</w:t>
                  </w:r>
                </w:p>
              </w:tc>
              <w:tc>
                <w:tcPr>
                  <w:tcW w:w="4857" w:type="dxa"/>
                  <w:tcBorders>
                    <w:tl2br w:val="nil"/>
                    <w:tr2bl w:val="nil"/>
                  </w:tcBorders>
                  <w:noWrap w:val="0"/>
                  <w:vAlign w:val="center"/>
                </w:tcPr>
                <w:p w14:paraId="626CF6EF">
                  <w:pPr>
                    <w:jc w:val="center"/>
                    <w:rPr>
                      <w:rFonts w:hint="default" w:ascii="Times New Roman" w:hAnsi="Times New Roman" w:cs="Times New Roman"/>
                    </w:rPr>
                  </w:pPr>
                  <w:r>
                    <w:rPr>
                      <w:rFonts w:hint="default" w:ascii="Times New Roman" w:hAnsi="Times New Roman" w:cs="Times New Roman"/>
                    </w:rPr>
                    <w:t>建设内容</w:t>
                  </w:r>
                </w:p>
              </w:tc>
              <w:tc>
                <w:tcPr>
                  <w:tcW w:w="721" w:type="dxa"/>
                  <w:tcBorders>
                    <w:tl2br w:val="nil"/>
                    <w:tr2bl w:val="nil"/>
                  </w:tcBorders>
                  <w:noWrap w:val="0"/>
                  <w:vAlign w:val="center"/>
                </w:tcPr>
                <w:p w14:paraId="485DB4F6">
                  <w:pPr>
                    <w:jc w:val="center"/>
                    <w:rPr>
                      <w:rFonts w:hint="default" w:ascii="Times New Roman" w:hAnsi="Times New Roman" w:cs="Times New Roman"/>
                    </w:rPr>
                  </w:pPr>
                  <w:r>
                    <w:rPr>
                      <w:rFonts w:hint="default" w:ascii="Times New Roman" w:hAnsi="Times New Roman" w:cs="Times New Roman"/>
                    </w:rPr>
                    <w:t>备注</w:t>
                  </w:r>
                </w:p>
              </w:tc>
            </w:tr>
            <w:tr w14:paraId="0C1A71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185" w:type="dxa"/>
                  <w:vMerge w:val="restart"/>
                  <w:tcBorders>
                    <w:tl2br w:val="nil"/>
                    <w:tr2bl w:val="nil"/>
                  </w:tcBorders>
                  <w:noWrap w:val="0"/>
                  <w:vAlign w:val="center"/>
                </w:tcPr>
                <w:p w14:paraId="1DFAA530">
                  <w:pPr>
                    <w:jc w:val="center"/>
                    <w:rPr>
                      <w:rFonts w:hint="default" w:ascii="Times New Roman" w:hAnsi="Times New Roman" w:cs="Times New Roman"/>
                    </w:rPr>
                  </w:pPr>
                  <w:r>
                    <w:rPr>
                      <w:rFonts w:hint="default" w:ascii="Times New Roman" w:hAnsi="Times New Roman" w:cs="Times New Roman"/>
                    </w:rPr>
                    <w:t>主体工程</w:t>
                  </w:r>
                </w:p>
              </w:tc>
              <w:tc>
                <w:tcPr>
                  <w:tcW w:w="1195" w:type="dxa"/>
                  <w:tcBorders>
                    <w:tl2br w:val="nil"/>
                    <w:tr2bl w:val="nil"/>
                  </w:tcBorders>
                  <w:noWrap w:val="0"/>
                  <w:vAlign w:val="center"/>
                </w:tcPr>
                <w:p w14:paraId="622D1013">
                  <w:pPr>
                    <w:jc w:val="center"/>
                    <w:rPr>
                      <w:rFonts w:hint="default" w:ascii="Times New Roman" w:hAnsi="Times New Roman" w:cs="Times New Roman"/>
                    </w:rPr>
                  </w:pPr>
                  <w:r>
                    <w:rPr>
                      <w:rFonts w:hint="eastAsia" w:cs="Times New Roman"/>
                      <w:lang w:val="en-US" w:eastAsia="zh-CN"/>
                    </w:rPr>
                    <w:t>牛骨高汤、辣椒酱、调味料</w:t>
                  </w:r>
                  <w:r>
                    <w:rPr>
                      <w:rFonts w:hint="default" w:ascii="Times New Roman" w:hAnsi="Times New Roman" w:cs="Times New Roman"/>
                      <w:lang w:val="en-US" w:eastAsia="zh-CN"/>
                    </w:rPr>
                    <w:t>生产</w:t>
                  </w:r>
                  <w:r>
                    <w:rPr>
                      <w:rFonts w:hint="default" w:ascii="Times New Roman" w:hAnsi="Times New Roman" w:cs="Times New Roman"/>
                    </w:rPr>
                    <w:t>车间</w:t>
                  </w:r>
                </w:p>
              </w:tc>
              <w:tc>
                <w:tcPr>
                  <w:tcW w:w="4857" w:type="dxa"/>
                  <w:tcBorders>
                    <w:tl2br w:val="nil"/>
                    <w:tr2bl w:val="nil"/>
                  </w:tcBorders>
                  <w:noWrap w:val="0"/>
                  <w:vAlign w:val="center"/>
                </w:tcPr>
                <w:p w14:paraId="63E7724D">
                  <w:pPr>
                    <w:jc w:val="center"/>
                    <w:rPr>
                      <w:rFonts w:hint="default" w:ascii="Times New Roman" w:hAnsi="Times New Roman" w:cs="Times New Roman"/>
                    </w:rPr>
                  </w:pPr>
                  <w:r>
                    <w:rPr>
                      <w:rFonts w:hint="default" w:ascii="Times New Roman" w:hAnsi="Times New Roman" w:cs="Times New Roman"/>
                      <w:color w:val="auto"/>
                      <w:szCs w:val="21"/>
                      <w:lang w:val="en-US" w:eastAsia="zh-CN"/>
                    </w:rPr>
                    <w:t>1栋1层，</w:t>
                  </w:r>
                  <w:r>
                    <w:rPr>
                      <w:rFonts w:hint="eastAsia" w:cs="Times New Roman"/>
                      <w:color w:val="auto"/>
                      <w:szCs w:val="21"/>
                      <w:lang w:val="en-US" w:eastAsia="zh-CN"/>
                    </w:rPr>
                    <w:t>金属</w:t>
                  </w:r>
                  <w:r>
                    <w:rPr>
                      <w:rFonts w:hint="default" w:ascii="Times New Roman" w:hAnsi="Times New Roman" w:cs="Times New Roman"/>
                      <w:lang w:val="en-US" w:eastAsia="zh-CN"/>
                    </w:rPr>
                    <w:t>架结构，内部布局有</w:t>
                  </w:r>
                  <w:r>
                    <w:rPr>
                      <w:rFonts w:hint="eastAsia" w:cs="Times New Roman"/>
                      <w:lang w:val="en-US" w:eastAsia="zh-CN"/>
                    </w:rPr>
                    <w:t>清洗区、生产加工区、内包区、消毒杀菌区、粉碎间、成品库等等。厂房</w:t>
                  </w:r>
                  <w:r>
                    <w:rPr>
                      <w:rFonts w:hint="default" w:ascii="Times New Roman" w:hAnsi="Times New Roman" w:cs="Times New Roman"/>
                      <w:highlight w:val="none"/>
                    </w:rPr>
                    <w:t>建筑面积约</w:t>
                  </w:r>
                  <w:r>
                    <w:rPr>
                      <w:rFonts w:hint="eastAsia" w:cs="Times New Roman"/>
                      <w:highlight w:val="none"/>
                      <w:lang w:val="en-US" w:eastAsia="zh-CN"/>
                    </w:rPr>
                    <w:t>4000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721" w:type="dxa"/>
                  <w:tcBorders>
                    <w:tl2br w:val="nil"/>
                    <w:tr2bl w:val="nil"/>
                  </w:tcBorders>
                  <w:noWrap w:val="0"/>
                  <w:vAlign w:val="center"/>
                </w:tcPr>
                <w:p w14:paraId="2D405592">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新建</w:t>
                  </w:r>
                </w:p>
              </w:tc>
            </w:tr>
            <w:tr w14:paraId="46155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185" w:type="dxa"/>
                  <w:vMerge w:val="continue"/>
                  <w:tcBorders>
                    <w:tl2br w:val="nil"/>
                    <w:tr2bl w:val="nil"/>
                  </w:tcBorders>
                  <w:noWrap w:val="0"/>
                  <w:vAlign w:val="center"/>
                </w:tcPr>
                <w:p w14:paraId="13EA8630">
                  <w:pPr>
                    <w:jc w:val="center"/>
                    <w:rPr>
                      <w:rFonts w:hint="default" w:ascii="Times New Roman" w:hAnsi="Times New Roman" w:cs="Times New Roman"/>
                    </w:rPr>
                  </w:pPr>
                </w:p>
              </w:tc>
              <w:tc>
                <w:tcPr>
                  <w:tcW w:w="1195" w:type="dxa"/>
                  <w:tcBorders>
                    <w:tl2br w:val="nil"/>
                    <w:tr2bl w:val="nil"/>
                  </w:tcBorders>
                  <w:noWrap w:val="0"/>
                  <w:vAlign w:val="center"/>
                </w:tcPr>
                <w:p w14:paraId="339A4AC5">
                  <w:pPr>
                    <w:jc w:val="center"/>
                    <w:rPr>
                      <w:rFonts w:hint="default" w:ascii="Times New Roman" w:hAnsi="Times New Roman" w:cs="Times New Roman"/>
                      <w:lang w:val="en-US" w:eastAsia="zh-CN"/>
                    </w:rPr>
                  </w:pPr>
                  <w:r>
                    <w:rPr>
                      <w:rFonts w:hint="eastAsia" w:cs="Times New Roman"/>
                      <w:lang w:val="en-US" w:eastAsia="zh-CN"/>
                    </w:rPr>
                    <w:t>鲜辣椒加工</w:t>
                  </w:r>
                  <w:r>
                    <w:rPr>
                      <w:rFonts w:hint="default" w:ascii="Times New Roman" w:hAnsi="Times New Roman" w:cs="Times New Roman"/>
                    </w:rPr>
                    <w:t>车间</w:t>
                  </w:r>
                </w:p>
              </w:tc>
              <w:tc>
                <w:tcPr>
                  <w:tcW w:w="4857" w:type="dxa"/>
                  <w:tcBorders>
                    <w:tl2br w:val="nil"/>
                    <w:tr2bl w:val="nil"/>
                  </w:tcBorders>
                  <w:noWrap w:val="0"/>
                  <w:vAlign w:val="center"/>
                </w:tcPr>
                <w:p w14:paraId="6B09EABA">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1栋1层，</w:t>
                  </w:r>
                  <w:r>
                    <w:rPr>
                      <w:rFonts w:hint="eastAsia" w:cs="Times New Roman"/>
                      <w:color w:val="auto"/>
                      <w:szCs w:val="21"/>
                      <w:lang w:val="en-US" w:eastAsia="zh-CN"/>
                    </w:rPr>
                    <w:t>金属</w:t>
                  </w:r>
                  <w:r>
                    <w:rPr>
                      <w:rFonts w:hint="default" w:ascii="Times New Roman" w:hAnsi="Times New Roman" w:cs="Times New Roman"/>
                      <w:lang w:val="en-US" w:eastAsia="zh-CN"/>
                    </w:rPr>
                    <w:t>架结构，内部布局有</w:t>
                  </w:r>
                  <w:r>
                    <w:rPr>
                      <w:rFonts w:hint="eastAsia" w:cs="Times New Roman"/>
                      <w:lang w:val="en-US" w:eastAsia="zh-CN"/>
                    </w:rPr>
                    <w:t>冷库区、缓冲间、清洗消毒区、加工区、搅拌区、腌制间、脱包间、成品区等等</w:t>
                  </w:r>
                  <w:r>
                    <w:rPr>
                      <w:rFonts w:hint="default" w:ascii="Times New Roman" w:hAnsi="Times New Roman" w:cs="Times New Roman"/>
                      <w:lang w:val="en-US" w:eastAsia="zh-CN"/>
                    </w:rPr>
                    <w:t>，</w:t>
                  </w:r>
                  <w:r>
                    <w:rPr>
                      <w:rFonts w:hint="eastAsia" w:cs="Times New Roman"/>
                      <w:lang w:val="en-US" w:eastAsia="zh-CN"/>
                    </w:rPr>
                    <w:t>厂房</w:t>
                  </w:r>
                  <w:r>
                    <w:rPr>
                      <w:rFonts w:hint="default" w:ascii="Times New Roman" w:hAnsi="Times New Roman" w:cs="Times New Roman"/>
                      <w:highlight w:val="none"/>
                    </w:rPr>
                    <w:t>建筑面积约</w:t>
                  </w:r>
                  <w:r>
                    <w:rPr>
                      <w:rFonts w:hint="eastAsia" w:cs="Times New Roman"/>
                      <w:highlight w:val="none"/>
                      <w:lang w:val="en-US" w:eastAsia="zh-CN"/>
                    </w:rPr>
                    <w:t>2000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721" w:type="dxa"/>
                  <w:tcBorders>
                    <w:tl2br w:val="nil"/>
                    <w:tr2bl w:val="nil"/>
                  </w:tcBorders>
                  <w:noWrap w:val="0"/>
                  <w:vAlign w:val="center"/>
                </w:tcPr>
                <w:p w14:paraId="23DF0B2A">
                  <w:pPr>
                    <w:jc w:val="center"/>
                    <w:rPr>
                      <w:rFonts w:hint="default" w:ascii="Times New Roman" w:hAnsi="Times New Roman" w:cs="Times New Roman"/>
                      <w:lang w:val="en-US" w:eastAsia="zh-CN"/>
                    </w:rPr>
                  </w:pPr>
                  <w:r>
                    <w:rPr>
                      <w:rFonts w:hint="eastAsia" w:cs="Times New Roman"/>
                      <w:lang w:val="en-US" w:eastAsia="zh-CN"/>
                    </w:rPr>
                    <w:t>新建</w:t>
                  </w:r>
                </w:p>
              </w:tc>
            </w:tr>
            <w:tr w14:paraId="32C7BB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1185" w:type="dxa"/>
                  <w:vMerge w:val="restart"/>
                  <w:tcBorders>
                    <w:tl2br w:val="nil"/>
                    <w:tr2bl w:val="nil"/>
                  </w:tcBorders>
                  <w:noWrap w:val="0"/>
                  <w:vAlign w:val="center"/>
                </w:tcPr>
                <w:p w14:paraId="33006629">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储运工程</w:t>
                  </w:r>
                </w:p>
              </w:tc>
              <w:tc>
                <w:tcPr>
                  <w:tcW w:w="1195" w:type="dxa"/>
                  <w:tcBorders>
                    <w:tl2br w:val="nil"/>
                    <w:tr2bl w:val="nil"/>
                  </w:tcBorders>
                  <w:noWrap w:val="0"/>
                  <w:vAlign w:val="center"/>
                </w:tcPr>
                <w:p w14:paraId="2555252D">
                  <w:pPr>
                    <w:jc w:val="center"/>
                    <w:rPr>
                      <w:rFonts w:hint="default" w:ascii="Times New Roman" w:hAnsi="Times New Roman" w:cs="Times New Roman"/>
                      <w:lang w:val="en-US" w:eastAsia="zh-CN"/>
                    </w:rPr>
                  </w:pPr>
                  <w:r>
                    <w:rPr>
                      <w:rFonts w:hint="eastAsia" w:cs="Times New Roman"/>
                      <w:lang w:val="en-US" w:eastAsia="zh-CN"/>
                    </w:rPr>
                    <w:t>原料库</w:t>
                  </w:r>
                </w:p>
              </w:tc>
              <w:tc>
                <w:tcPr>
                  <w:tcW w:w="4857" w:type="dxa"/>
                  <w:tcBorders>
                    <w:tl2br w:val="nil"/>
                    <w:tr2bl w:val="nil"/>
                  </w:tcBorders>
                  <w:noWrap w:val="0"/>
                  <w:vAlign w:val="center"/>
                </w:tcPr>
                <w:p w14:paraId="5B577264">
                  <w:pPr>
                    <w:jc w:val="center"/>
                    <w:rPr>
                      <w:rFonts w:hint="default" w:ascii="Times New Roman" w:hAnsi="Times New Roman" w:cs="Times New Roman"/>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在</w:t>
                  </w:r>
                  <w:r>
                    <w:rPr>
                      <w:rFonts w:hint="default" w:ascii="Times New Roman" w:hAnsi="Times New Roman" w:eastAsia="宋体" w:cs="Times New Roman"/>
                      <w:color w:val="auto"/>
                      <w:kern w:val="2"/>
                      <w:sz w:val="21"/>
                      <w:lang w:val="en-US" w:eastAsia="zh-CN" w:bidi="ar-SA"/>
                    </w:rPr>
                    <w:t>厂</w:t>
                  </w:r>
                  <w:r>
                    <w:rPr>
                      <w:rFonts w:hint="eastAsia" w:cs="Times New Roman"/>
                      <w:color w:val="auto"/>
                      <w:kern w:val="2"/>
                      <w:sz w:val="21"/>
                      <w:lang w:val="en-US" w:eastAsia="zh-CN" w:bidi="ar-SA"/>
                    </w:rPr>
                    <w:t>区东侧</w:t>
                  </w:r>
                  <w:r>
                    <w:rPr>
                      <w:rFonts w:hint="default" w:ascii="Times New Roman" w:hAnsi="Times New Roman" w:eastAsia="宋体" w:cs="Times New Roman"/>
                      <w:color w:val="auto"/>
                      <w:kern w:val="2"/>
                      <w:sz w:val="21"/>
                      <w:lang w:val="en-US" w:eastAsia="zh-CN" w:bidi="ar-SA"/>
                    </w:rPr>
                    <w:t>区域，用于存放</w:t>
                  </w:r>
                  <w:r>
                    <w:rPr>
                      <w:rFonts w:hint="eastAsia" w:cs="Times New Roman"/>
                      <w:color w:val="auto"/>
                      <w:kern w:val="2"/>
                      <w:sz w:val="21"/>
                      <w:lang w:val="en-US" w:eastAsia="zh-CN" w:bidi="ar-SA"/>
                    </w:rPr>
                    <w:t>大部分原料和原辅料</w:t>
                  </w:r>
                  <w:r>
                    <w:rPr>
                      <w:rFonts w:hint="default" w:ascii="Times New Roman" w:hAnsi="Times New Roman" w:eastAsia="宋体" w:cs="Times New Roman"/>
                      <w:color w:val="auto"/>
                      <w:kern w:val="2"/>
                      <w:sz w:val="21"/>
                      <w:lang w:val="en-US" w:eastAsia="zh-CN" w:bidi="ar-SA"/>
                    </w:rPr>
                    <w:t>，</w:t>
                  </w:r>
                  <w:r>
                    <w:rPr>
                      <w:rFonts w:hint="default" w:ascii="Times New Roman" w:hAnsi="Times New Roman" w:cs="Times New Roman"/>
                    </w:rPr>
                    <w:t>面积约</w:t>
                  </w:r>
                  <w:r>
                    <w:rPr>
                      <w:rFonts w:hint="eastAsia" w:cs="Times New Roman"/>
                      <w:lang w:val="en-US" w:eastAsia="zh-CN"/>
                    </w:rPr>
                    <w:t>300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tcBorders>
                    <w:tl2br w:val="nil"/>
                    <w:tr2bl w:val="nil"/>
                  </w:tcBorders>
                  <w:noWrap w:val="0"/>
                  <w:vAlign w:val="center"/>
                </w:tcPr>
                <w:p w14:paraId="2B4EF4CB">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新建</w:t>
                  </w:r>
                </w:p>
              </w:tc>
            </w:tr>
            <w:tr w14:paraId="5F1633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185" w:type="dxa"/>
                  <w:vMerge w:val="continue"/>
                  <w:tcBorders>
                    <w:tl2br w:val="nil"/>
                    <w:tr2bl w:val="nil"/>
                  </w:tcBorders>
                  <w:noWrap w:val="0"/>
                  <w:vAlign w:val="center"/>
                </w:tcPr>
                <w:p w14:paraId="6B80993C">
                  <w:pPr>
                    <w:jc w:val="center"/>
                    <w:rPr>
                      <w:rFonts w:hint="default" w:ascii="Times New Roman" w:hAnsi="Times New Roman" w:cs="Times New Roman"/>
                    </w:rPr>
                  </w:pPr>
                </w:p>
              </w:tc>
              <w:tc>
                <w:tcPr>
                  <w:tcW w:w="1195" w:type="dxa"/>
                  <w:tcBorders>
                    <w:tl2br w:val="nil"/>
                    <w:tr2bl w:val="nil"/>
                  </w:tcBorders>
                  <w:noWrap w:val="0"/>
                  <w:vAlign w:val="center"/>
                </w:tcPr>
                <w:p w14:paraId="567FA565">
                  <w:pPr>
                    <w:jc w:val="center"/>
                    <w:rPr>
                      <w:rFonts w:hint="default" w:ascii="Times New Roman" w:hAnsi="Times New Roman" w:cs="Times New Roman"/>
                      <w:lang w:val="en-US" w:eastAsia="zh-CN"/>
                    </w:rPr>
                  </w:pPr>
                  <w:r>
                    <w:rPr>
                      <w:rFonts w:hint="eastAsia" w:cs="Times New Roman"/>
                      <w:lang w:val="en-US" w:eastAsia="zh-CN"/>
                    </w:rPr>
                    <w:t>化验室</w:t>
                  </w:r>
                </w:p>
              </w:tc>
              <w:tc>
                <w:tcPr>
                  <w:tcW w:w="4857" w:type="dxa"/>
                  <w:tcBorders>
                    <w:tl2br w:val="nil"/>
                    <w:tr2bl w:val="nil"/>
                  </w:tcBorders>
                  <w:noWrap w:val="0"/>
                  <w:vAlign w:val="center"/>
                </w:tcPr>
                <w:p w14:paraId="12248C6F">
                  <w:pPr>
                    <w:jc w:val="center"/>
                    <w:rPr>
                      <w:rFonts w:hint="default" w:ascii="Times New Roman" w:hAnsi="Times New Roman" w:eastAsia="宋体" w:cs="Times New Roman"/>
                      <w:lang w:eastAsia="zh-CN"/>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在</w:t>
                  </w:r>
                  <w:r>
                    <w:rPr>
                      <w:rFonts w:hint="default" w:ascii="Times New Roman" w:hAnsi="Times New Roman" w:eastAsia="宋体" w:cs="Times New Roman"/>
                      <w:color w:val="auto"/>
                      <w:kern w:val="2"/>
                      <w:sz w:val="21"/>
                      <w:lang w:val="en-US" w:eastAsia="zh-CN" w:bidi="ar-SA"/>
                    </w:rPr>
                    <w:t>厂</w:t>
                  </w:r>
                  <w:r>
                    <w:rPr>
                      <w:rFonts w:hint="eastAsia" w:cs="Times New Roman"/>
                      <w:color w:val="auto"/>
                      <w:kern w:val="2"/>
                      <w:sz w:val="21"/>
                      <w:lang w:val="en-US" w:eastAsia="zh-CN" w:bidi="ar-SA"/>
                    </w:rPr>
                    <w:t>区中南</w:t>
                  </w:r>
                  <w:r>
                    <w:rPr>
                      <w:rFonts w:hint="default" w:ascii="Times New Roman" w:hAnsi="Times New Roman" w:eastAsia="宋体" w:cs="Times New Roman"/>
                      <w:color w:val="auto"/>
                      <w:kern w:val="2"/>
                      <w:sz w:val="21"/>
                      <w:lang w:val="en-US" w:eastAsia="zh-CN" w:bidi="ar-SA"/>
                    </w:rPr>
                    <w:t>侧区域，用于</w:t>
                  </w:r>
                  <w:r>
                    <w:rPr>
                      <w:rFonts w:hint="eastAsia" w:cs="Times New Roman"/>
                      <w:color w:val="auto"/>
                      <w:kern w:val="2"/>
                      <w:sz w:val="21"/>
                      <w:lang w:val="en-US" w:eastAsia="zh-CN" w:bidi="ar-SA"/>
                    </w:rPr>
                    <w:t>抽样检验成品是否合格</w:t>
                  </w:r>
                  <w:r>
                    <w:rPr>
                      <w:rFonts w:hint="default" w:ascii="Times New Roman" w:hAnsi="Times New Roman" w:eastAsia="宋体" w:cs="Times New Roman"/>
                      <w:color w:val="auto"/>
                      <w:kern w:val="2"/>
                      <w:sz w:val="21"/>
                      <w:lang w:val="en-US" w:eastAsia="zh-CN" w:bidi="ar-SA"/>
                    </w:rPr>
                    <w:t>，</w:t>
                  </w:r>
                  <w:r>
                    <w:rPr>
                      <w:rFonts w:hint="default" w:ascii="Times New Roman" w:hAnsi="Times New Roman" w:cs="Times New Roman"/>
                    </w:rPr>
                    <w:t>面积约</w:t>
                  </w:r>
                  <w:r>
                    <w:rPr>
                      <w:rFonts w:hint="eastAsia" w:cs="Times New Roman"/>
                      <w:lang w:val="en-US" w:eastAsia="zh-CN"/>
                    </w:rPr>
                    <w:t>6</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tcBorders>
                    <w:tl2br w:val="nil"/>
                    <w:tr2bl w:val="nil"/>
                  </w:tcBorders>
                  <w:noWrap w:val="0"/>
                  <w:vAlign w:val="center"/>
                </w:tcPr>
                <w:p w14:paraId="79AFC5CB">
                  <w:pPr>
                    <w:jc w:val="center"/>
                    <w:rPr>
                      <w:rFonts w:hint="default" w:ascii="Times New Roman" w:hAnsi="Times New Roman" w:eastAsia="宋体" w:cs="Times New Roman"/>
                      <w:lang w:eastAsia="zh-CN"/>
                    </w:rPr>
                  </w:pPr>
                  <w:r>
                    <w:rPr>
                      <w:rFonts w:hint="default" w:ascii="Times New Roman" w:hAnsi="Times New Roman" w:cs="Times New Roman"/>
                      <w:lang w:val="en-US" w:eastAsia="zh-CN"/>
                    </w:rPr>
                    <w:t>新建</w:t>
                  </w:r>
                </w:p>
              </w:tc>
            </w:tr>
            <w:tr w14:paraId="1D5C9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185" w:type="dxa"/>
                  <w:vMerge w:val="continue"/>
                  <w:tcBorders>
                    <w:tl2br w:val="nil"/>
                    <w:tr2bl w:val="nil"/>
                  </w:tcBorders>
                  <w:noWrap w:val="0"/>
                  <w:vAlign w:val="center"/>
                </w:tcPr>
                <w:p w14:paraId="2FE87794">
                  <w:pPr>
                    <w:jc w:val="center"/>
                    <w:rPr>
                      <w:rFonts w:hint="default" w:ascii="Times New Roman" w:hAnsi="Times New Roman" w:cs="Times New Roman"/>
                    </w:rPr>
                  </w:pPr>
                </w:p>
              </w:tc>
              <w:tc>
                <w:tcPr>
                  <w:tcW w:w="1195" w:type="dxa"/>
                  <w:tcBorders>
                    <w:tl2br w:val="nil"/>
                    <w:tr2bl w:val="nil"/>
                  </w:tcBorders>
                  <w:noWrap w:val="0"/>
                  <w:vAlign w:val="center"/>
                </w:tcPr>
                <w:p w14:paraId="09634545">
                  <w:pPr>
                    <w:jc w:val="center"/>
                    <w:rPr>
                      <w:rFonts w:hint="default" w:cs="Times New Roman"/>
                      <w:lang w:val="en-US" w:eastAsia="zh-CN"/>
                    </w:rPr>
                  </w:pPr>
                  <w:r>
                    <w:rPr>
                      <w:rFonts w:hint="eastAsia" w:cs="Times New Roman"/>
                      <w:lang w:val="en-US" w:eastAsia="zh-CN"/>
                    </w:rPr>
                    <w:t>锅炉房</w:t>
                  </w:r>
                </w:p>
              </w:tc>
              <w:tc>
                <w:tcPr>
                  <w:tcW w:w="4857" w:type="dxa"/>
                  <w:tcBorders>
                    <w:tl2br w:val="nil"/>
                    <w:tr2bl w:val="nil"/>
                  </w:tcBorders>
                  <w:noWrap w:val="0"/>
                  <w:vAlign w:val="center"/>
                </w:tcPr>
                <w:p w14:paraId="376E9C8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位</w:t>
                  </w:r>
                  <w:r>
                    <w:rPr>
                      <w:rFonts w:hint="default" w:ascii="Times New Roman" w:hAnsi="Times New Roman" w:cs="Times New Roman"/>
                      <w:color w:val="auto"/>
                      <w:szCs w:val="21"/>
                      <w:highlight w:val="none"/>
                      <w:lang w:val="en-US" w:eastAsia="zh-CN"/>
                    </w:rPr>
                    <w:t>于生产车间</w:t>
                  </w:r>
                  <w:r>
                    <w:rPr>
                      <w:rFonts w:hint="eastAsia" w:cs="Times New Roman"/>
                      <w:color w:val="auto"/>
                      <w:szCs w:val="21"/>
                      <w:highlight w:val="none"/>
                      <w:lang w:val="en-US" w:eastAsia="zh-CN"/>
                    </w:rPr>
                    <w:t>外</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在</w:t>
                  </w:r>
                  <w:r>
                    <w:rPr>
                      <w:rFonts w:hint="default" w:ascii="Times New Roman" w:hAnsi="Times New Roman" w:eastAsia="宋体" w:cs="Times New Roman"/>
                      <w:color w:val="auto"/>
                      <w:kern w:val="2"/>
                      <w:sz w:val="21"/>
                      <w:highlight w:val="none"/>
                      <w:lang w:val="en-US" w:eastAsia="zh-CN" w:bidi="ar-SA"/>
                    </w:rPr>
                    <w:t>厂</w:t>
                  </w:r>
                  <w:r>
                    <w:rPr>
                      <w:rFonts w:hint="eastAsia" w:cs="Times New Roman"/>
                      <w:color w:val="auto"/>
                      <w:kern w:val="2"/>
                      <w:sz w:val="21"/>
                      <w:highlight w:val="none"/>
                      <w:lang w:val="en-US" w:eastAsia="zh-CN" w:bidi="ar-SA"/>
                    </w:rPr>
                    <w:t>区东南</w:t>
                  </w:r>
                  <w:r>
                    <w:rPr>
                      <w:rFonts w:hint="default" w:ascii="Times New Roman" w:hAnsi="Times New Roman" w:eastAsia="宋体" w:cs="Times New Roman"/>
                      <w:color w:val="auto"/>
                      <w:kern w:val="2"/>
                      <w:sz w:val="21"/>
                      <w:highlight w:val="none"/>
                      <w:lang w:val="en-US" w:eastAsia="zh-CN" w:bidi="ar-SA"/>
                    </w:rPr>
                    <w:t>侧区域，</w:t>
                  </w:r>
                  <w:r>
                    <w:rPr>
                      <w:rFonts w:hint="eastAsia" w:cs="Times New Roman"/>
                      <w:color w:val="auto"/>
                      <w:kern w:val="2"/>
                      <w:sz w:val="21"/>
                      <w:highlight w:val="none"/>
                      <w:lang w:val="en-US" w:eastAsia="zh-CN" w:bidi="ar-SA"/>
                    </w:rPr>
                    <w:t>软水进入锅炉内以天然气为燃料进行加热产生蒸汽用于生产使用</w:t>
                  </w:r>
                  <w:r>
                    <w:rPr>
                      <w:rFonts w:hint="default" w:ascii="Times New Roman" w:hAnsi="Times New Roman" w:eastAsia="宋体" w:cs="Times New Roman"/>
                      <w:color w:val="auto"/>
                      <w:kern w:val="2"/>
                      <w:sz w:val="21"/>
                      <w:highlight w:val="none"/>
                      <w:lang w:val="en-US" w:eastAsia="zh-CN" w:bidi="ar-SA"/>
                    </w:rPr>
                    <w:t>，</w:t>
                  </w:r>
                  <w:r>
                    <w:rPr>
                      <w:rFonts w:hint="default" w:ascii="Times New Roman" w:hAnsi="Times New Roman" w:cs="Times New Roman"/>
                      <w:highlight w:val="none"/>
                    </w:rPr>
                    <w:t>面积约</w:t>
                  </w:r>
                  <w:r>
                    <w:rPr>
                      <w:rFonts w:hint="eastAsia" w:cs="Times New Roman"/>
                      <w:highlight w:val="none"/>
                      <w:lang w:val="en-US" w:eastAsia="zh-CN"/>
                    </w:rPr>
                    <w:t>3</w:t>
                  </w:r>
                  <w:r>
                    <w:rPr>
                      <w:rFonts w:hint="default" w:ascii="Times New Roman" w:hAnsi="Times New Roman" w:cs="Times New Roman"/>
                      <w:highlight w:val="none"/>
                      <w:lang w:val="en-US" w:eastAsia="zh-CN"/>
                    </w:rPr>
                    <w:t>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721" w:type="dxa"/>
                  <w:tcBorders>
                    <w:tl2br w:val="nil"/>
                    <w:tr2bl w:val="nil"/>
                  </w:tcBorders>
                  <w:noWrap w:val="0"/>
                  <w:vAlign w:val="center"/>
                </w:tcPr>
                <w:p w14:paraId="638B89BD">
                  <w:pPr>
                    <w:jc w:val="center"/>
                    <w:rPr>
                      <w:rFonts w:hint="default" w:ascii="Times New Roman" w:hAnsi="Times New Roman" w:cs="Times New Roman"/>
                      <w:lang w:val="en-US" w:eastAsia="zh-CN"/>
                    </w:rPr>
                  </w:pPr>
                  <w:r>
                    <w:rPr>
                      <w:rFonts w:hint="eastAsia" w:cs="Times New Roman"/>
                      <w:lang w:val="en-US" w:eastAsia="zh-CN"/>
                    </w:rPr>
                    <w:t>新建</w:t>
                  </w:r>
                </w:p>
              </w:tc>
            </w:tr>
            <w:tr w14:paraId="70590A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1185" w:type="dxa"/>
                  <w:vMerge w:val="continue"/>
                  <w:tcBorders>
                    <w:tl2br w:val="nil"/>
                    <w:tr2bl w:val="nil"/>
                  </w:tcBorders>
                  <w:noWrap w:val="0"/>
                  <w:vAlign w:val="center"/>
                </w:tcPr>
                <w:p w14:paraId="10E7FCFB">
                  <w:pPr>
                    <w:jc w:val="center"/>
                    <w:rPr>
                      <w:rFonts w:hint="default" w:ascii="Times New Roman" w:hAnsi="Times New Roman" w:cs="Times New Roman"/>
                    </w:rPr>
                  </w:pPr>
                </w:p>
              </w:tc>
              <w:tc>
                <w:tcPr>
                  <w:tcW w:w="1195" w:type="dxa"/>
                  <w:tcBorders>
                    <w:tl2br w:val="nil"/>
                    <w:tr2bl w:val="nil"/>
                  </w:tcBorders>
                  <w:noWrap w:val="0"/>
                  <w:vAlign w:val="center"/>
                </w:tcPr>
                <w:p w14:paraId="2D826F7A">
                  <w:pPr>
                    <w:jc w:val="center"/>
                    <w:rPr>
                      <w:rFonts w:hint="eastAsia" w:cs="Times New Roman"/>
                      <w:highlight w:val="none"/>
                      <w:lang w:val="en-US" w:eastAsia="zh-CN"/>
                    </w:rPr>
                  </w:pPr>
                  <w:r>
                    <w:rPr>
                      <w:rFonts w:hint="eastAsia" w:cs="Times New Roman"/>
                      <w:highlight w:val="none"/>
                      <w:lang w:val="en-US" w:eastAsia="zh-CN"/>
                    </w:rPr>
                    <w:t>原辅料</w:t>
                  </w:r>
                </w:p>
                <w:p w14:paraId="22379AE9">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仓库区</w:t>
                  </w:r>
                </w:p>
              </w:tc>
              <w:tc>
                <w:tcPr>
                  <w:tcW w:w="4857" w:type="dxa"/>
                  <w:tcBorders>
                    <w:tl2br w:val="nil"/>
                    <w:tr2bl w:val="nil"/>
                  </w:tcBorders>
                  <w:noWrap w:val="0"/>
                  <w:vAlign w:val="center"/>
                </w:tcPr>
                <w:p w14:paraId="7894C01C">
                  <w:pPr>
                    <w:jc w:val="center"/>
                    <w:rPr>
                      <w:rFonts w:hint="default" w:ascii="Times New Roman" w:hAnsi="Times New Roman" w:cs="Times New Roman"/>
                      <w:highlight w:val="none"/>
                    </w:rPr>
                  </w:pPr>
                  <w:r>
                    <w:rPr>
                      <w:rFonts w:hint="default" w:ascii="Times New Roman" w:hAnsi="Times New Roman" w:cs="Times New Roman"/>
                      <w:color w:val="auto"/>
                      <w:szCs w:val="21"/>
                      <w:highlight w:val="none"/>
                      <w:lang w:val="en-US" w:eastAsia="zh-CN"/>
                    </w:rPr>
                    <w:t>位于生产车间内，</w:t>
                  </w:r>
                  <w:r>
                    <w:rPr>
                      <w:rFonts w:hint="default" w:ascii="Times New Roman" w:hAnsi="Times New Roman" w:eastAsia="宋体" w:cs="Times New Roman"/>
                      <w:color w:val="auto"/>
                      <w:kern w:val="2"/>
                      <w:sz w:val="21"/>
                      <w:highlight w:val="none"/>
                      <w:lang w:val="en-US" w:eastAsia="zh-CN" w:bidi="ar-SA"/>
                    </w:rPr>
                    <w:t>位于厂房</w:t>
                  </w:r>
                  <w:r>
                    <w:rPr>
                      <w:rFonts w:hint="eastAsia" w:cs="Times New Roman"/>
                      <w:color w:val="auto"/>
                      <w:kern w:val="2"/>
                      <w:sz w:val="21"/>
                      <w:highlight w:val="none"/>
                      <w:lang w:val="en-US" w:eastAsia="zh-CN" w:bidi="ar-SA"/>
                    </w:rPr>
                    <w:t>西</w:t>
                  </w:r>
                  <w:r>
                    <w:rPr>
                      <w:rFonts w:hint="default" w:ascii="Times New Roman" w:hAnsi="Times New Roman" w:eastAsia="宋体" w:cs="Times New Roman"/>
                      <w:color w:val="auto"/>
                      <w:kern w:val="2"/>
                      <w:sz w:val="21"/>
                      <w:highlight w:val="none"/>
                      <w:lang w:val="en-US" w:eastAsia="zh-CN" w:bidi="ar-SA"/>
                    </w:rPr>
                    <w:t>侧区域，用于存放</w:t>
                  </w:r>
                  <w:r>
                    <w:rPr>
                      <w:rFonts w:hint="eastAsia" w:cs="Times New Roman"/>
                      <w:color w:val="auto"/>
                      <w:kern w:val="2"/>
                      <w:sz w:val="21"/>
                      <w:highlight w:val="none"/>
                      <w:lang w:val="en-US" w:eastAsia="zh-CN" w:bidi="ar-SA"/>
                    </w:rPr>
                    <w:t>香辛料</w:t>
                  </w:r>
                  <w:r>
                    <w:rPr>
                      <w:rFonts w:hint="default" w:ascii="Times New Roman" w:hAnsi="Times New Roman" w:eastAsia="宋体" w:cs="Times New Roman"/>
                      <w:color w:val="auto"/>
                      <w:kern w:val="2"/>
                      <w:sz w:val="21"/>
                      <w:highlight w:val="none"/>
                      <w:lang w:val="en-US" w:eastAsia="zh-CN" w:bidi="ar-SA"/>
                    </w:rPr>
                    <w:t>等原</w:t>
                  </w:r>
                  <w:r>
                    <w:rPr>
                      <w:rFonts w:hint="eastAsia" w:cs="Times New Roman"/>
                      <w:color w:val="auto"/>
                      <w:kern w:val="2"/>
                      <w:sz w:val="21"/>
                      <w:highlight w:val="none"/>
                      <w:lang w:val="en-US" w:eastAsia="zh-CN" w:bidi="ar-SA"/>
                    </w:rPr>
                    <w:t>辅料</w:t>
                  </w:r>
                  <w:r>
                    <w:rPr>
                      <w:rFonts w:hint="default" w:ascii="Times New Roman" w:hAnsi="Times New Roman" w:eastAsia="宋体" w:cs="Times New Roman"/>
                      <w:color w:val="auto"/>
                      <w:kern w:val="2"/>
                      <w:sz w:val="21"/>
                      <w:highlight w:val="none"/>
                      <w:lang w:val="en-US" w:eastAsia="zh-CN" w:bidi="ar-SA"/>
                    </w:rPr>
                    <w:t>，</w:t>
                  </w:r>
                  <w:r>
                    <w:rPr>
                      <w:rFonts w:hint="default" w:ascii="Times New Roman" w:hAnsi="Times New Roman" w:cs="Times New Roman"/>
                      <w:highlight w:val="none"/>
                    </w:rPr>
                    <w:t>面积约</w:t>
                  </w:r>
                  <w:r>
                    <w:rPr>
                      <w:rFonts w:hint="eastAsia" w:cs="Times New Roman"/>
                      <w:highlight w:val="none"/>
                      <w:lang w:val="en-US" w:eastAsia="zh-CN"/>
                    </w:rPr>
                    <w:t>5</w:t>
                  </w:r>
                  <w:r>
                    <w:rPr>
                      <w:rFonts w:hint="default" w:ascii="Times New Roman" w:hAnsi="Times New Roman" w:cs="Times New Roman"/>
                      <w:highlight w:val="none"/>
                      <w:lang w:val="en-US" w:eastAsia="zh-CN"/>
                    </w:rPr>
                    <w:t>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721" w:type="dxa"/>
                  <w:tcBorders>
                    <w:tl2br w:val="nil"/>
                    <w:tr2bl w:val="nil"/>
                  </w:tcBorders>
                  <w:noWrap w:val="0"/>
                  <w:vAlign w:val="center"/>
                </w:tcPr>
                <w:p w14:paraId="44C8C362">
                  <w:pPr>
                    <w:jc w:val="center"/>
                    <w:rPr>
                      <w:rFonts w:hint="default" w:ascii="Times New Roman" w:hAnsi="Times New Roman" w:eastAsia="宋体" w:cs="Times New Roman"/>
                      <w:lang w:eastAsia="zh-CN"/>
                    </w:rPr>
                  </w:pPr>
                  <w:r>
                    <w:rPr>
                      <w:rFonts w:hint="default" w:ascii="Times New Roman" w:hAnsi="Times New Roman" w:cs="Times New Roman"/>
                      <w:lang w:val="en-US" w:eastAsia="zh-CN"/>
                    </w:rPr>
                    <w:t>新建</w:t>
                  </w:r>
                </w:p>
              </w:tc>
            </w:tr>
            <w:tr w14:paraId="504F2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1185" w:type="dxa"/>
                  <w:vMerge w:val="restart"/>
                  <w:tcBorders>
                    <w:tl2br w:val="nil"/>
                    <w:tr2bl w:val="nil"/>
                  </w:tcBorders>
                  <w:noWrap w:val="0"/>
                  <w:vAlign w:val="center"/>
                </w:tcPr>
                <w:p w14:paraId="39F306F7">
                  <w:pPr>
                    <w:jc w:val="center"/>
                    <w:rPr>
                      <w:rFonts w:hint="default" w:ascii="Times New Roman" w:hAnsi="Times New Roman" w:cs="Times New Roman"/>
                      <w:highlight w:val="none"/>
                    </w:rPr>
                  </w:pPr>
                  <w:r>
                    <w:rPr>
                      <w:rFonts w:hint="default" w:ascii="Times New Roman" w:hAnsi="Times New Roman" w:cs="Times New Roman"/>
                      <w:highlight w:val="none"/>
                    </w:rPr>
                    <w:t>辅助工程</w:t>
                  </w:r>
                </w:p>
              </w:tc>
              <w:tc>
                <w:tcPr>
                  <w:tcW w:w="1195" w:type="dxa"/>
                  <w:tcBorders>
                    <w:tl2br w:val="nil"/>
                    <w:tr2bl w:val="nil"/>
                  </w:tcBorders>
                  <w:noWrap w:val="0"/>
                  <w:vAlign w:val="center"/>
                </w:tcPr>
                <w:p w14:paraId="2DB1772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办公</w:t>
                  </w:r>
                  <w:r>
                    <w:rPr>
                      <w:rFonts w:hint="eastAsia" w:cs="Times New Roman"/>
                      <w:kern w:val="2"/>
                      <w:sz w:val="21"/>
                      <w:szCs w:val="21"/>
                      <w:highlight w:val="none"/>
                      <w:lang w:val="en-US" w:eastAsia="zh-CN" w:bidi="ar-SA"/>
                    </w:rPr>
                    <w:t>楼</w:t>
                  </w:r>
                </w:p>
              </w:tc>
              <w:tc>
                <w:tcPr>
                  <w:tcW w:w="4857" w:type="dxa"/>
                  <w:tcBorders>
                    <w:tl2br w:val="nil"/>
                    <w:tr2bl w:val="nil"/>
                  </w:tcBorders>
                  <w:noWrap w:val="0"/>
                  <w:vAlign w:val="center"/>
                </w:tcPr>
                <w:p w14:paraId="5B520B0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，位于厂</w:t>
                  </w:r>
                  <w:r>
                    <w:rPr>
                      <w:rFonts w:hint="eastAsia" w:cs="Times New Roman"/>
                      <w:color w:val="auto"/>
                      <w:szCs w:val="21"/>
                      <w:lang w:val="en-US" w:eastAsia="zh-CN"/>
                    </w:rPr>
                    <w:t>区南</w:t>
                  </w:r>
                  <w:r>
                    <w:rPr>
                      <w:rFonts w:hint="default" w:ascii="Times New Roman" w:hAnsi="Times New Roman" w:cs="Times New Roman"/>
                      <w:color w:val="auto"/>
                      <w:szCs w:val="21"/>
                      <w:lang w:val="en-US" w:eastAsia="zh-CN"/>
                    </w:rPr>
                    <w:t>侧区域，</w:t>
                  </w:r>
                  <w:r>
                    <w:rPr>
                      <w:rFonts w:hint="default" w:ascii="Times New Roman" w:hAnsi="Times New Roman" w:cs="Times New Roman"/>
                    </w:rPr>
                    <w:t>面积约</w:t>
                  </w:r>
                  <w:r>
                    <w:rPr>
                      <w:rFonts w:hint="eastAsia" w:cs="Times New Roman"/>
                      <w:lang w:val="en-US" w:eastAsia="zh-CN"/>
                    </w:rPr>
                    <w:t>15</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vMerge w:val="restart"/>
                  <w:tcBorders>
                    <w:tl2br w:val="nil"/>
                    <w:tr2bl w:val="nil"/>
                  </w:tcBorders>
                  <w:noWrap w:val="0"/>
                  <w:vAlign w:val="center"/>
                </w:tcPr>
                <w:p w14:paraId="49D03859">
                  <w:pPr>
                    <w:jc w:val="center"/>
                    <w:rPr>
                      <w:rFonts w:hint="default" w:ascii="Times New Roman" w:hAnsi="Times New Roman" w:eastAsia="宋体" w:cs="Times New Roman"/>
                      <w:lang w:eastAsia="zh-CN"/>
                    </w:rPr>
                  </w:pPr>
                  <w:r>
                    <w:rPr>
                      <w:rFonts w:hint="default" w:ascii="Times New Roman" w:hAnsi="Times New Roman" w:cs="Times New Roman"/>
                      <w:lang w:val="en-US" w:eastAsia="zh-CN"/>
                    </w:rPr>
                    <w:t>新建</w:t>
                  </w:r>
                </w:p>
              </w:tc>
            </w:tr>
            <w:tr w14:paraId="65C26A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1185" w:type="dxa"/>
                  <w:vMerge w:val="continue"/>
                  <w:tcBorders>
                    <w:tl2br w:val="nil"/>
                    <w:tr2bl w:val="nil"/>
                  </w:tcBorders>
                  <w:noWrap w:val="0"/>
                  <w:vAlign w:val="center"/>
                </w:tcPr>
                <w:p w14:paraId="0AE244E3">
                  <w:pPr>
                    <w:jc w:val="center"/>
                    <w:rPr>
                      <w:rFonts w:hint="default" w:ascii="Times New Roman" w:hAnsi="Times New Roman" w:cs="Times New Roman"/>
                      <w:highlight w:val="none"/>
                    </w:rPr>
                  </w:pPr>
                </w:p>
              </w:tc>
              <w:tc>
                <w:tcPr>
                  <w:tcW w:w="1195" w:type="dxa"/>
                  <w:tcBorders>
                    <w:tl2br w:val="nil"/>
                    <w:tr2bl w:val="nil"/>
                  </w:tcBorders>
                  <w:shd w:val="clear" w:color="auto" w:fill="auto"/>
                  <w:noWrap w:val="0"/>
                  <w:vAlign w:val="center"/>
                </w:tcPr>
                <w:p w14:paraId="6C56BDE0">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会议室</w:t>
                  </w:r>
                </w:p>
              </w:tc>
              <w:tc>
                <w:tcPr>
                  <w:tcW w:w="4857" w:type="dxa"/>
                  <w:tcBorders>
                    <w:tl2br w:val="nil"/>
                    <w:tr2bl w:val="nil"/>
                  </w:tcBorders>
                  <w:shd w:val="clear" w:color="auto" w:fill="auto"/>
                  <w:noWrap w:val="0"/>
                  <w:vAlign w:val="center"/>
                </w:tcPr>
                <w:p w14:paraId="3012F29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，位于厂</w:t>
                  </w:r>
                  <w:r>
                    <w:rPr>
                      <w:rFonts w:hint="eastAsia" w:cs="Times New Roman"/>
                      <w:color w:val="auto"/>
                      <w:szCs w:val="21"/>
                      <w:lang w:val="en-US" w:eastAsia="zh-CN"/>
                    </w:rPr>
                    <w:t>区西南</w:t>
                  </w:r>
                  <w:r>
                    <w:rPr>
                      <w:rFonts w:hint="default" w:ascii="Times New Roman" w:hAnsi="Times New Roman" w:cs="Times New Roman"/>
                      <w:color w:val="auto"/>
                      <w:szCs w:val="21"/>
                      <w:lang w:val="en-US" w:eastAsia="zh-CN"/>
                    </w:rPr>
                    <w:t>侧区域，</w:t>
                  </w:r>
                  <w:r>
                    <w:rPr>
                      <w:rFonts w:hint="default" w:ascii="Times New Roman" w:hAnsi="Times New Roman" w:cs="Times New Roman"/>
                    </w:rPr>
                    <w:t>面积约</w:t>
                  </w:r>
                  <w:r>
                    <w:rPr>
                      <w:rFonts w:hint="eastAsia" w:cs="Times New Roman"/>
                      <w:lang w:val="en-US" w:eastAsia="zh-CN"/>
                    </w:rPr>
                    <w:t>10</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vMerge w:val="continue"/>
                  <w:tcBorders>
                    <w:tl2br w:val="nil"/>
                    <w:tr2bl w:val="nil"/>
                  </w:tcBorders>
                  <w:noWrap w:val="0"/>
                  <w:vAlign w:val="center"/>
                </w:tcPr>
                <w:p w14:paraId="2D8C6658">
                  <w:pPr>
                    <w:jc w:val="center"/>
                    <w:rPr>
                      <w:rFonts w:hint="default" w:ascii="Times New Roman" w:hAnsi="Times New Roman" w:cs="Times New Roman"/>
                      <w:lang w:val="en-US" w:eastAsia="zh-CN"/>
                    </w:rPr>
                  </w:pPr>
                </w:p>
              </w:tc>
            </w:tr>
            <w:tr w14:paraId="39651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1185" w:type="dxa"/>
                  <w:vMerge w:val="continue"/>
                  <w:tcBorders>
                    <w:tl2br w:val="nil"/>
                    <w:tr2bl w:val="nil"/>
                  </w:tcBorders>
                  <w:noWrap w:val="0"/>
                  <w:vAlign w:val="center"/>
                </w:tcPr>
                <w:p w14:paraId="6F676CF7">
                  <w:pPr>
                    <w:jc w:val="center"/>
                    <w:rPr>
                      <w:rFonts w:hint="default" w:ascii="Times New Roman" w:hAnsi="Times New Roman" w:cs="Times New Roman"/>
                      <w:highlight w:val="none"/>
                    </w:rPr>
                  </w:pPr>
                </w:p>
              </w:tc>
              <w:tc>
                <w:tcPr>
                  <w:tcW w:w="1195" w:type="dxa"/>
                  <w:tcBorders>
                    <w:tl2br w:val="nil"/>
                    <w:tr2bl w:val="nil"/>
                  </w:tcBorders>
                  <w:noWrap w:val="0"/>
                  <w:vAlign w:val="center"/>
                </w:tcPr>
                <w:p w14:paraId="3793D460">
                  <w:pPr>
                    <w:jc w:val="center"/>
                    <w:rPr>
                      <w:rFonts w:hint="default" w:ascii="Times New Roman" w:hAnsi="Times New Roman" w:cs="Times New Roman"/>
                      <w:kern w:val="2"/>
                      <w:sz w:val="21"/>
                      <w:szCs w:val="21"/>
                      <w:highlight w:val="none"/>
                      <w:lang w:val="en-US" w:eastAsia="zh-CN" w:bidi="ar-SA"/>
                    </w:rPr>
                  </w:pPr>
                  <w:r>
                    <w:rPr>
                      <w:rFonts w:hint="eastAsia" w:cs="Times New Roman"/>
                      <w:kern w:val="2"/>
                      <w:sz w:val="21"/>
                      <w:szCs w:val="21"/>
                      <w:highlight w:val="none"/>
                      <w:lang w:val="en-US" w:eastAsia="zh-CN" w:bidi="ar-SA"/>
                    </w:rPr>
                    <w:t>休息区</w:t>
                  </w:r>
                </w:p>
              </w:tc>
              <w:tc>
                <w:tcPr>
                  <w:tcW w:w="4857" w:type="dxa"/>
                  <w:tcBorders>
                    <w:tl2br w:val="nil"/>
                    <w:tr2bl w:val="nil"/>
                  </w:tcBorders>
                  <w:noWrap w:val="0"/>
                  <w:vAlign w:val="center"/>
                </w:tcPr>
                <w:p w14:paraId="2DFDA108">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，位于厂</w:t>
                  </w:r>
                  <w:r>
                    <w:rPr>
                      <w:rFonts w:hint="eastAsia" w:cs="Times New Roman"/>
                      <w:color w:val="auto"/>
                      <w:szCs w:val="21"/>
                      <w:lang w:val="en-US" w:eastAsia="zh-CN"/>
                    </w:rPr>
                    <w:t>区西</w:t>
                  </w:r>
                  <w:r>
                    <w:rPr>
                      <w:rFonts w:hint="default" w:ascii="Times New Roman" w:hAnsi="Times New Roman" w:cs="Times New Roman"/>
                      <w:color w:val="auto"/>
                      <w:szCs w:val="21"/>
                      <w:lang w:val="en-US" w:eastAsia="zh-CN"/>
                    </w:rPr>
                    <w:t>侧区域，</w:t>
                  </w:r>
                  <w:r>
                    <w:rPr>
                      <w:rFonts w:hint="default" w:ascii="Times New Roman" w:hAnsi="Times New Roman" w:cs="Times New Roman"/>
                    </w:rPr>
                    <w:t>面积约</w:t>
                  </w:r>
                  <w:r>
                    <w:rPr>
                      <w:rFonts w:hint="eastAsia" w:cs="Times New Roman"/>
                      <w:lang w:val="en-US" w:eastAsia="zh-CN"/>
                    </w:rPr>
                    <w:t>25</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vMerge w:val="continue"/>
                  <w:tcBorders>
                    <w:tl2br w:val="nil"/>
                    <w:tr2bl w:val="nil"/>
                  </w:tcBorders>
                  <w:noWrap w:val="0"/>
                  <w:vAlign w:val="center"/>
                </w:tcPr>
                <w:p w14:paraId="148AB988">
                  <w:pPr>
                    <w:jc w:val="center"/>
                    <w:rPr>
                      <w:rFonts w:hint="default" w:ascii="Times New Roman" w:hAnsi="Times New Roman" w:cs="Times New Roman"/>
                      <w:lang w:val="en-US" w:eastAsia="zh-CN"/>
                    </w:rPr>
                  </w:pPr>
                </w:p>
              </w:tc>
            </w:tr>
            <w:tr w14:paraId="710EC9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1185" w:type="dxa"/>
                  <w:vMerge w:val="continue"/>
                  <w:tcBorders>
                    <w:tl2br w:val="nil"/>
                    <w:tr2bl w:val="nil"/>
                  </w:tcBorders>
                  <w:noWrap w:val="0"/>
                  <w:vAlign w:val="center"/>
                </w:tcPr>
                <w:p w14:paraId="56BDB7AF">
                  <w:pPr>
                    <w:jc w:val="center"/>
                    <w:rPr>
                      <w:rFonts w:hint="default" w:ascii="Times New Roman" w:hAnsi="Times New Roman" w:cs="Times New Roman"/>
                      <w:highlight w:val="none"/>
                    </w:rPr>
                  </w:pPr>
                </w:p>
              </w:tc>
              <w:tc>
                <w:tcPr>
                  <w:tcW w:w="1195" w:type="dxa"/>
                  <w:tcBorders>
                    <w:tl2br w:val="nil"/>
                    <w:tr2bl w:val="nil"/>
                  </w:tcBorders>
                  <w:noWrap w:val="0"/>
                  <w:vAlign w:val="center"/>
                </w:tcPr>
                <w:p w14:paraId="695C2FE6">
                  <w:pPr>
                    <w:jc w:val="center"/>
                    <w:rPr>
                      <w:rFonts w:hint="default" w:ascii="Times New Roman" w:hAnsi="Times New Roman" w:cs="Times New Roman"/>
                      <w:kern w:val="2"/>
                      <w:sz w:val="21"/>
                      <w:szCs w:val="21"/>
                      <w:highlight w:val="none"/>
                      <w:lang w:val="en-US" w:eastAsia="zh-CN" w:bidi="ar-SA"/>
                    </w:rPr>
                  </w:pPr>
                  <w:r>
                    <w:rPr>
                      <w:rFonts w:hint="eastAsia" w:cs="Times New Roman"/>
                      <w:kern w:val="2"/>
                      <w:sz w:val="21"/>
                      <w:szCs w:val="21"/>
                      <w:highlight w:val="none"/>
                      <w:lang w:val="en-US" w:eastAsia="zh-CN" w:bidi="ar-SA"/>
                    </w:rPr>
                    <w:t>卫生间</w:t>
                  </w:r>
                </w:p>
              </w:tc>
              <w:tc>
                <w:tcPr>
                  <w:tcW w:w="4857" w:type="dxa"/>
                  <w:tcBorders>
                    <w:tl2br w:val="nil"/>
                    <w:tr2bl w:val="nil"/>
                  </w:tcBorders>
                  <w:noWrap w:val="0"/>
                  <w:vAlign w:val="center"/>
                </w:tcPr>
                <w:p w14:paraId="2EFE868F">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位于生产车间</w:t>
                  </w:r>
                  <w:r>
                    <w:rPr>
                      <w:rFonts w:hint="eastAsia" w:cs="Times New Roman"/>
                      <w:color w:val="auto"/>
                      <w:szCs w:val="21"/>
                      <w:lang w:val="en-US" w:eastAsia="zh-CN"/>
                    </w:rPr>
                    <w:t>外</w:t>
                  </w:r>
                  <w:r>
                    <w:rPr>
                      <w:rFonts w:hint="default" w:ascii="Times New Roman" w:hAnsi="Times New Roman" w:cs="Times New Roman"/>
                      <w:color w:val="auto"/>
                      <w:szCs w:val="21"/>
                      <w:lang w:val="en-US" w:eastAsia="zh-CN"/>
                    </w:rPr>
                    <w:t>，位于厂房</w:t>
                  </w:r>
                  <w:r>
                    <w:rPr>
                      <w:rFonts w:hint="eastAsia" w:cs="Times New Roman"/>
                      <w:color w:val="auto"/>
                      <w:szCs w:val="21"/>
                      <w:lang w:val="en-US" w:eastAsia="zh-CN"/>
                    </w:rPr>
                    <w:t>西</w:t>
                  </w:r>
                  <w:r>
                    <w:rPr>
                      <w:rFonts w:hint="default" w:ascii="Times New Roman" w:hAnsi="Times New Roman" w:cs="Times New Roman"/>
                      <w:color w:val="auto"/>
                      <w:szCs w:val="21"/>
                      <w:lang w:val="en-US" w:eastAsia="zh-CN"/>
                    </w:rPr>
                    <w:t>侧区域，</w:t>
                  </w:r>
                  <w:r>
                    <w:rPr>
                      <w:rFonts w:hint="default" w:ascii="Times New Roman" w:hAnsi="Times New Roman" w:cs="Times New Roman"/>
                    </w:rPr>
                    <w:t>面积约</w:t>
                  </w:r>
                  <w:r>
                    <w:rPr>
                      <w:rFonts w:hint="eastAsia" w:cs="Times New Roman"/>
                      <w:lang w:val="en-US" w:eastAsia="zh-CN"/>
                    </w:rPr>
                    <w:t>70</w:t>
                  </w:r>
                  <w:r>
                    <w:rPr>
                      <w:rFonts w:hint="default" w:ascii="Times New Roman" w:hAnsi="Times New Roman" w:cs="Times New Roman"/>
                    </w:rPr>
                    <w:t>m</w:t>
                  </w:r>
                  <w:r>
                    <w:rPr>
                      <w:rFonts w:hint="default" w:ascii="Times New Roman" w:hAnsi="Times New Roman" w:cs="Times New Roman"/>
                      <w:vertAlign w:val="superscript"/>
                    </w:rPr>
                    <w:t>2</w:t>
                  </w:r>
                </w:p>
              </w:tc>
              <w:tc>
                <w:tcPr>
                  <w:tcW w:w="721" w:type="dxa"/>
                  <w:vMerge w:val="continue"/>
                  <w:tcBorders>
                    <w:tl2br w:val="nil"/>
                    <w:tr2bl w:val="nil"/>
                  </w:tcBorders>
                  <w:noWrap w:val="0"/>
                  <w:vAlign w:val="center"/>
                </w:tcPr>
                <w:p w14:paraId="10401466">
                  <w:pPr>
                    <w:jc w:val="center"/>
                    <w:rPr>
                      <w:rFonts w:hint="default" w:ascii="Times New Roman" w:hAnsi="Times New Roman" w:cs="Times New Roman"/>
                      <w:lang w:val="en-US" w:eastAsia="zh-CN"/>
                    </w:rPr>
                  </w:pPr>
                </w:p>
              </w:tc>
            </w:tr>
            <w:tr w14:paraId="49562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185" w:type="dxa"/>
                  <w:vMerge w:val="restart"/>
                  <w:tcBorders>
                    <w:tl2br w:val="nil"/>
                    <w:tr2bl w:val="nil"/>
                  </w:tcBorders>
                  <w:noWrap w:val="0"/>
                  <w:vAlign w:val="center"/>
                </w:tcPr>
                <w:p w14:paraId="4317E43D">
                  <w:pPr>
                    <w:jc w:val="center"/>
                    <w:rPr>
                      <w:rFonts w:hint="default" w:ascii="Times New Roman" w:hAnsi="Times New Roman" w:cs="Times New Roman"/>
                    </w:rPr>
                  </w:pPr>
                  <w:r>
                    <w:rPr>
                      <w:rFonts w:hint="default" w:ascii="Times New Roman" w:hAnsi="Times New Roman" w:cs="Times New Roman"/>
                    </w:rPr>
                    <w:t>公用工程</w:t>
                  </w:r>
                </w:p>
              </w:tc>
              <w:tc>
                <w:tcPr>
                  <w:tcW w:w="1195" w:type="dxa"/>
                  <w:tcBorders>
                    <w:tl2br w:val="nil"/>
                    <w:tr2bl w:val="nil"/>
                  </w:tcBorders>
                  <w:noWrap w:val="0"/>
                  <w:vAlign w:val="center"/>
                </w:tcPr>
                <w:p w14:paraId="5ECF04D1">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供水系统</w:t>
                  </w:r>
                </w:p>
              </w:tc>
              <w:tc>
                <w:tcPr>
                  <w:tcW w:w="4857" w:type="dxa"/>
                  <w:tcBorders>
                    <w:tl2br w:val="nil"/>
                    <w:tr2bl w:val="nil"/>
                  </w:tcBorders>
                  <w:noWrap w:val="0"/>
                  <w:vAlign w:val="center"/>
                </w:tcPr>
                <w:p w14:paraId="7180B62C">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bCs/>
                      <w:color w:val="auto"/>
                      <w:szCs w:val="21"/>
                      <w:highlight w:val="none"/>
                    </w:rPr>
                    <w:t>由</w:t>
                  </w:r>
                  <w:r>
                    <w:rPr>
                      <w:rFonts w:hint="eastAsia" w:cs="Times New Roman"/>
                      <w:bCs/>
                      <w:color w:val="auto"/>
                      <w:szCs w:val="21"/>
                      <w:highlight w:val="none"/>
                      <w:lang w:val="en-US" w:eastAsia="zh-CN"/>
                    </w:rPr>
                    <w:t>厂区自备水井供给</w:t>
                  </w:r>
                </w:p>
              </w:tc>
              <w:tc>
                <w:tcPr>
                  <w:tcW w:w="721" w:type="dxa"/>
                  <w:tcBorders>
                    <w:tl2br w:val="nil"/>
                    <w:tr2bl w:val="nil"/>
                  </w:tcBorders>
                  <w:noWrap w:val="0"/>
                  <w:vAlign w:val="center"/>
                </w:tcPr>
                <w:p w14:paraId="35E10578">
                  <w:pPr>
                    <w:jc w:val="center"/>
                    <w:rPr>
                      <w:rFonts w:hint="default" w:ascii="Times New Roman" w:hAnsi="Times New Roman" w:cs="Times New Roman"/>
                    </w:rPr>
                  </w:pPr>
                  <w:r>
                    <w:rPr>
                      <w:rFonts w:hint="default" w:ascii="Times New Roman" w:hAnsi="Times New Roman" w:cs="Times New Roman"/>
                    </w:rPr>
                    <w:t>/</w:t>
                  </w:r>
                </w:p>
              </w:tc>
            </w:tr>
            <w:tr w14:paraId="09C7A8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185" w:type="dxa"/>
                  <w:vMerge w:val="continue"/>
                  <w:tcBorders>
                    <w:tl2br w:val="nil"/>
                    <w:tr2bl w:val="nil"/>
                  </w:tcBorders>
                  <w:noWrap w:val="0"/>
                  <w:vAlign w:val="center"/>
                </w:tcPr>
                <w:p w14:paraId="6C395C0C">
                  <w:pPr>
                    <w:jc w:val="center"/>
                    <w:rPr>
                      <w:rFonts w:hint="default" w:ascii="Times New Roman" w:hAnsi="Times New Roman" w:cs="Times New Roman"/>
                    </w:rPr>
                  </w:pPr>
                </w:p>
              </w:tc>
              <w:tc>
                <w:tcPr>
                  <w:tcW w:w="1195" w:type="dxa"/>
                  <w:tcBorders>
                    <w:tl2br w:val="nil"/>
                    <w:tr2bl w:val="nil"/>
                  </w:tcBorders>
                  <w:noWrap w:val="0"/>
                  <w:vAlign w:val="center"/>
                </w:tcPr>
                <w:p w14:paraId="7B773455">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供电系统</w:t>
                  </w:r>
                </w:p>
              </w:tc>
              <w:tc>
                <w:tcPr>
                  <w:tcW w:w="4857" w:type="dxa"/>
                  <w:tcBorders>
                    <w:tl2br w:val="nil"/>
                    <w:tr2bl w:val="nil"/>
                  </w:tcBorders>
                  <w:noWrap w:val="0"/>
                  <w:vAlign w:val="center"/>
                </w:tcPr>
                <w:p w14:paraId="420760F4">
                  <w:pPr>
                    <w:jc w:val="center"/>
                    <w:rPr>
                      <w:rFonts w:hint="default" w:ascii="Times New Roman" w:hAnsi="Times New Roman" w:cs="Times New Roman"/>
                      <w:highlight w:val="none"/>
                    </w:rPr>
                  </w:pPr>
                  <w:r>
                    <w:rPr>
                      <w:rFonts w:hint="default" w:ascii="Times New Roman" w:hAnsi="Times New Roman" w:eastAsia="宋体" w:cs="Times New Roman"/>
                      <w:bCs/>
                      <w:color w:val="auto"/>
                      <w:szCs w:val="21"/>
                      <w:highlight w:val="none"/>
                    </w:rPr>
                    <w:t>由</w:t>
                  </w:r>
                  <w:r>
                    <w:rPr>
                      <w:rFonts w:hint="eastAsia" w:cs="Times New Roman"/>
                      <w:bCs/>
                      <w:color w:val="auto"/>
                      <w:szCs w:val="21"/>
                      <w:highlight w:val="none"/>
                      <w:lang w:val="en-US" w:eastAsia="zh-CN"/>
                    </w:rPr>
                    <w:t>叶县廉村镇供电</w:t>
                  </w:r>
                  <w:r>
                    <w:rPr>
                      <w:rFonts w:hint="default" w:ascii="Times New Roman" w:hAnsi="Times New Roman" w:eastAsia="宋体" w:cs="Times New Roman"/>
                      <w:bCs/>
                      <w:color w:val="auto"/>
                      <w:szCs w:val="21"/>
                      <w:highlight w:val="none"/>
                    </w:rPr>
                    <w:t>电网</w:t>
                  </w:r>
                </w:p>
              </w:tc>
              <w:tc>
                <w:tcPr>
                  <w:tcW w:w="721" w:type="dxa"/>
                  <w:tcBorders>
                    <w:tl2br w:val="nil"/>
                    <w:tr2bl w:val="nil"/>
                  </w:tcBorders>
                  <w:noWrap w:val="0"/>
                  <w:vAlign w:val="center"/>
                </w:tcPr>
                <w:p w14:paraId="42E0F98E">
                  <w:pPr>
                    <w:jc w:val="center"/>
                    <w:rPr>
                      <w:rFonts w:hint="default" w:ascii="Times New Roman" w:hAnsi="Times New Roman" w:cs="Times New Roman"/>
                    </w:rPr>
                  </w:pPr>
                  <w:r>
                    <w:rPr>
                      <w:rFonts w:hint="default" w:ascii="Times New Roman" w:hAnsi="Times New Roman" w:cs="Times New Roman"/>
                    </w:rPr>
                    <w:t>/</w:t>
                  </w:r>
                </w:p>
              </w:tc>
            </w:tr>
            <w:tr w14:paraId="6E4C1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185" w:type="dxa"/>
                  <w:vMerge w:val="continue"/>
                  <w:tcBorders>
                    <w:tl2br w:val="nil"/>
                    <w:tr2bl w:val="nil"/>
                  </w:tcBorders>
                  <w:noWrap w:val="0"/>
                  <w:vAlign w:val="center"/>
                </w:tcPr>
                <w:p w14:paraId="09F9A90B">
                  <w:pPr>
                    <w:jc w:val="center"/>
                    <w:rPr>
                      <w:rFonts w:hint="default" w:ascii="Times New Roman" w:hAnsi="Times New Roman" w:cs="Times New Roman"/>
                    </w:rPr>
                  </w:pPr>
                </w:p>
              </w:tc>
              <w:tc>
                <w:tcPr>
                  <w:tcW w:w="1195" w:type="dxa"/>
                  <w:tcBorders>
                    <w:tl2br w:val="nil"/>
                    <w:tr2bl w:val="nil"/>
                  </w:tcBorders>
                  <w:noWrap w:val="0"/>
                  <w:vAlign w:val="center"/>
                </w:tcPr>
                <w:p w14:paraId="3D074918">
                  <w:pPr>
                    <w:jc w:val="center"/>
                    <w:rPr>
                      <w:rFonts w:hint="eastAsia" w:cs="Times New Roman"/>
                      <w:highlight w:val="none"/>
                      <w:lang w:val="en-US" w:eastAsia="zh-CN"/>
                    </w:rPr>
                  </w:pPr>
                  <w:r>
                    <w:rPr>
                      <w:rFonts w:hint="eastAsia" w:cs="Times New Roman"/>
                      <w:highlight w:val="none"/>
                      <w:lang w:val="en-US" w:eastAsia="zh-CN"/>
                    </w:rPr>
                    <w:t>天然气</w:t>
                  </w:r>
                </w:p>
                <w:p w14:paraId="3D317C95">
                  <w:pPr>
                    <w:jc w:val="center"/>
                    <w:rPr>
                      <w:rFonts w:hint="default" w:ascii="Times New Roman" w:hAnsi="Times New Roman" w:cs="Times New Roman"/>
                      <w:highlight w:val="none"/>
                      <w:lang w:val="en-US" w:eastAsia="zh-CN"/>
                    </w:rPr>
                  </w:pPr>
                  <w:r>
                    <w:rPr>
                      <w:rFonts w:hint="eastAsia" w:cs="Times New Roman"/>
                      <w:highlight w:val="none"/>
                      <w:lang w:val="en-US" w:eastAsia="zh-CN"/>
                    </w:rPr>
                    <w:t>供应</w:t>
                  </w:r>
                </w:p>
              </w:tc>
              <w:tc>
                <w:tcPr>
                  <w:tcW w:w="4857" w:type="dxa"/>
                  <w:tcBorders>
                    <w:tl2br w:val="nil"/>
                    <w:tr2bl w:val="nil"/>
                  </w:tcBorders>
                  <w:noWrap w:val="0"/>
                  <w:vAlign w:val="center"/>
                </w:tcPr>
                <w:p w14:paraId="6835B58F">
                  <w:pPr>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叶县豫天新能源有限公司提供，管道运输，</w:t>
                  </w:r>
                </w:p>
                <w:p w14:paraId="65573161">
                  <w:pPr>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kern w:val="0"/>
                      <w:szCs w:val="21"/>
                      <w:highlight w:val="none"/>
                      <w:lang w:val="en-US" w:eastAsia="zh-CN"/>
                    </w:rPr>
                    <w:t>不涉及储存</w:t>
                  </w:r>
                </w:p>
              </w:tc>
              <w:tc>
                <w:tcPr>
                  <w:tcW w:w="721" w:type="dxa"/>
                  <w:tcBorders>
                    <w:tl2br w:val="nil"/>
                    <w:tr2bl w:val="nil"/>
                  </w:tcBorders>
                  <w:noWrap w:val="0"/>
                  <w:vAlign w:val="center"/>
                </w:tcPr>
                <w:p w14:paraId="03D6CDF3">
                  <w:pPr>
                    <w:jc w:val="center"/>
                    <w:rPr>
                      <w:rFonts w:hint="default" w:ascii="Times New Roman" w:hAnsi="Times New Roman" w:eastAsia="宋体" w:cs="Times New Roman"/>
                      <w:lang w:val="en-US" w:eastAsia="zh-CN"/>
                    </w:rPr>
                  </w:pPr>
                  <w:r>
                    <w:rPr>
                      <w:rFonts w:hint="eastAsia" w:cs="Times New Roman"/>
                      <w:lang w:val="en-US" w:eastAsia="zh-CN"/>
                    </w:rPr>
                    <w:t>/</w:t>
                  </w:r>
                </w:p>
              </w:tc>
            </w:tr>
            <w:tr w14:paraId="7897B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1185" w:type="dxa"/>
                  <w:vMerge w:val="continue"/>
                  <w:tcBorders>
                    <w:tl2br w:val="nil"/>
                    <w:tr2bl w:val="nil"/>
                  </w:tcBorders>
                  <w:noWrap w:val="0"/>
                  <w:vAlign w:val="center"/>
                </w:tcPr>
                <w:p w14:paraId="3A5DA140">
                  <w:pPr>
                    <w:jc w:val="center"/>
                    <w:rPr>
                      <w:rFonts w:hint="default" w:ascii="Times New Roman" w:hAnsi="Times New Roman" w:cs="Times New Roman"/>
                    </w:rPr>
                  </w:pPr>
                </w:p>
              </w:tc>
              <w:tc>
                <w:tcPr>
                  <w:tcW w:w="1195" w:type="dxa"/>
                  <w:vMerge w:val="restart"/>
                  <w:tcBorders>
                    <w:tl2br w:val="nil"/>
                    <w:tr2bl w:val="nil"/>
                  </w:tcBorders>
                  <w:noWrap w:val="0"/>
                  <w:vAlign w:val="center"/>
                </w:tcPr>
                <w:p w14:paraId="497A925D">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排水</w:t>
                  </w:r>
                </w:p>
              </w:tc>
              <w:tc>
                <w:tcPr>
                  <w:tcW w:w="4857" w:type="dxa"/>
                  <w:tcBorders>
                    <w:tl2br w:val="nil"/>
                    <w:tr2bl w:val="nil"/>
                  </w:tcBorders>
                  <w:noWrap w:val="0"/>
                  <w:vAlign w:val="center"/>
                </w:tcPr>
                <w:p w14:paraId="2F4A4AEC">
                  <w:pPr>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生产过程产品冷却水在冷却管道中</w:t>
                  </w:r>
                </w:p>
                <w:p w14:paraId="34CDBAC5">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u w:val="none"/>
                      <w:lang w:val="en-US" w:eastAsia="zh-CN" w:bidi="ar-SA"/>
                    </w:rPr>
                    <w:t>循环</w:t>
                  </w:r>
                  <w:r>
                    <w:rPr>
                      <w:rFonts w:hint="eastAsia" w:cs="Times New Roman"/>
                      <w:color w:val="auto"/>
                      <w:kern w:val="2"/>
                      <w:sz w:val="21"/>
                      <w:szCs w:val="21"/>
                      <w:highlight w:val="none"/>
                      <w:u w:val="none"/>
                      <w:lang w:val="en-US" w:eastAsia="zh-CN" w:bidi="ar-SA"/>
                    </w:rPr>
                    <w:t>回用</w:t>
                  </w:r>
                  <w:r>
                    <w:rPr>
                      <w:rFonts w:hint="default" w:ascii="Times New Roman" w:hAnsi="Times New Roman" w:eastAsia="宋体" w:cs="Times New Roman"/>
                      <w:color w:val="auto"/>
                      <w:kern w:val="2"/>
                      <w:sz w:val="21"/>
                      <w:szCs w:val="21"/>
                      <w:highlight w:val="none"/>
                      <w:u w:val="none"/>
                      <w:lang w:val="en-US" w:eastAsia="zh-CN" w:bidi="ar-SA"/>
                    </w:rPr>
                    <w:t>，不外排</w:t>
                  </w:r>
                </w:p>
              </w:tc>
              <w:tc>
                <w:tcPr>
                  <w:tcW w:w="721" w:type="dxa"/>
                  <w:tcBorders>
                    <w:tl2br w:val="nil"/>
                    <w:tr2bl w:val="nil"/>
                  </w:tcBorders>
                  <w:noWrap w:val="0"/>
                  <w:vAlign w:val="center"/>
                </w:tcPr>
                <w:p w14:paraId="22411696">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w:t>
                  </w:r>
                </w:p>
              </w:tc>
            </w:tr>
            <w:tr w14:paraId="6FD3B5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1185" w:type="dxa"/>
                  <w:vMerge w:val="continue"/>
                  <w:tcBorders>
                    <w:tl2br w:val="nil"/>
                    <w:tr2bl w:val="nil"/>
                  </w:tcBorders>
                  <w:noWrap w:val="0"/>
                  <w:vAlign w:val="center"/>
                </w:tcPr>
                <w:p w14:paraId="3DA5057F">
                  <w:pPr>
                    <w:jc w:val="center"/>
                    <w:rPr>
                      <w:rFonts w:hint="default" w:ascii="Times New Roman" w:hAnsi="Times New Roman" w:cs="Times New Roman"/>
                    </w:rPr>
                  </w:pPr>
                </w:p>
              </w:tc>
              <w:tc>
                <w:tcPr>
                  <w:tcW w:w="1195" w:type="dxa"/>
                  <w:vMerge w:val="continue"/>
                  <w:tcBorders>
                    <w:tl2br w:val="nil"/>
                    <w:tr2bl w:val="nil"/>
                  </w:tcBorders>
                  <w:noWrap w:val="0"/>
                  <w:vAlign w:val="center"/>
                </w:tcPr>
                <w:p w14:paraId="3A18BC9A">
                  <w:pPr>
                    <w:jc w:val="center"/>
                    <w:rPr>
                      <w:rFonts w:hint="default" w:ascii="Times New Roman" w:hAnsi="Times New Roman" w:cs="Times New Roman"/>
                      <w:sz w:val="21"/>
                      <w:szCs w:val="21"/>
                      <w:highlight w:val="none"/>
                      <w:lang w:val="en-US" w:eastAsia="zh-CN"/>
                    </w:rPr>
                  </w:pPr>
                </w:p>
              </w:tc>
              <w:tc>
                <w:tcPr>
                  <w:tcW w:w="4857" w:type="dxa"/>
                  <w:tcBorders>
                    <w:tl2br w:val="nil"/>
                    <w:tr2bl w:val="nil"/>
                  </w:tcBorders>
                  <w:noWrap w:val="0"/>
                  <w:vAlign w:val="center"/>
                </w:tcPr>
                <w:p w14:paraId="4CCD8458">
                  <w:pPr>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锅炉废水、软化废水、原料、设备、包装材料以及车间地面的清洗废水统称为生产废水经过隔油池</w:t>
                  </w:r>
                  <w:r>
                    <w:rPr>
                      <w:rFonts w:hint="default"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沉淀再进入污水处理设施处理后排入污水管网最终流向叶县廉村镇污水处理站</w:t>
                  </w:r>
                </w:p>
              </w:tc>
              <w:tc>
                <w:tcPr>
                  <w:tcW w:w="721" w:type="dxa"/>
                  <w:tcBorders>
                    <w:tl2br w:val="nil"/>
                    <w:tr2bl w:val="nil"/>
                  </w:tcBorders>
                  <w:noWrap w:val="0"/>
                  <w:vAlign w:val="center"/>
                </w:tcPr>
                <w:p w14:paraId="78840CEE">
                  <w:pPr>
                    <w:jc w:val="center"/>
                    <w:rPr>
                      <w:rFonts w:hint="default" w:ascii="Times New Roman" w:hAnsi="Times New Roman" w:cs="Times New Roman"/>
                      <w:highlight w:val="none"/>
                      <w:lang w:val="en-US" w:eastAsia="zh-CN"/>
                    </w:rPr>
                  </w:pPr>
                  <w:r>
                    <w:rPr>
                      <w:rFonts w:hint="eastAsia" w:cs="Times New Roman"/>
                      <w:highlight w:val="none"/>
                      <w:lang w:val="en-US" w:eastAsia="zh-CN"/>
                    </w:rPr>
                    <w:t>新建</w:t>
                  </w:r>
                </w:p>
              </w:tc>
            </w:tr>
            <w:tr w14:paraId="1A4667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185" w:type="dxa"/>
                  <w:vMerge w:val="continue"/>
                  <w:tcBorders>
                    <w:tl2br w:val="nil"/>
                    <w:tr2bl w:val="nil"/>
                  </w:tcBorders>
                  <w:noWrap w:val="0"/>
                  <w:vAlign w:val="center"/>
                </w:tcPr>
                <w:p w14:paraId="4BC6C9BA">
                  <w:pPr>
                    <w:jc w:val="center"/>
                    <w:rPr>
                      <w:rFonts w:hint="default" w:ascii="Times New Roman" w:hAnsi="Times New Roman" w:cs="Times New Roman"/>
                    </w:rPr>
                  </w:pPr>
                </w:p>
              </w:tc>
              <w:tc>
                <w:tcPr>
                  <w:tcW w:w="1195" w:type="dxa"/>
                  <w:vMerge w:val="continue"/>
                  <w:tcBorders>
                    <w:tl2br w:val="nil"/>
                    <w:tr2bl w:val="nil"/>
                  </w:tcBorders>
                  <w:noWrap w:val="0"/>
                  <w:vAlign w:val="center"/>
                </w:tcPr>
                <w:p w14:paraId="0658467F">
                  <w:pPr>
                    <w:jc w:val="center"/>
                    <w:rPr>
                      <w:rFonts w:hint="default" w:ascii="Times New Roman" w:hAnsi="Times New Roman" w:cs="Times New Roman"/>
                      <w:sz w:val="21"/>
                      <w:szCs w:val="21"/>
                      <w:highlight w:val="none"/>
                      <w:lang w:val="en-US" w:eastAsia="zh-CN"/>
                    </w:rPr>
                  </w:pPr>
                </w:p>
              </w:tc>
              <w:tc>
                <w:tcPr>
                  <w:tcW w:w="4857" w:type="dxa"/>
                  <w:tcBorders>
                    <w:tl2br w:val="nil"/>
                    <w:tr2bl w:val="nil"/>
                  </w:tcBorders>
                  <w:noWrap w:val="0"/>
                  <w:vAlign w:val="center"/>
                </w:tcPr>
                <w:p w14:paraId="30083A43">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u w:val="none"/>
                      <w:lang w:val="en-US" w:eastAsia="zh-CN" w:bidi="ar-SA"/>
                    </w:rPr>
                    <w:t>生活污水经化粪池（</w:t>
                  </w:r>
                  <w:r>
                    <w:rPr>
                      <w:rFonts w:hint="eastAsia" w:cs="Times New Roman"/>
                      <w:color w:val="auto"/>
                      <w:kern w:val="2"/>
                      <w:sz w:val="21"/>
                      <w:szCs w:val="21"/>
                      <w:highlight w:val="none"/>
                      <w:u w:val="none"/>
                      <w:lang w:val="en-US" w:eastAsia="zh-CN" w:bidi="ar-SA"/>
                    </w:rPr>
                    <w:t>5</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）处理后</w:t>
                  </w:r>
                  <w:r>
                    <w:rPr>
                      <w:rFonts w:hint="eastAsia" w:cs="Times New Roman"/>
                      <w:color w:val="auto"/>
                      <w:kern w:val="2"/>
                      <w:sz w:val="21"/>
                      <w:szCs w:val="21"/>
                      <w:highlight w:val="none"/>
                      <w:u w:val="none"/>
                      <w:lang w:val="en-US" w:eastAsia="zh-CN" w:bidi="ar-SA"/>
                    </w:rPr>
                    <w:t>外排市政污水管网最终流向叶县廉村镇污水处理站</w:t>
                  </w:r>
                </w:p>
              </w:tc>
              <w:tc>
                <w:tcPr>
                  <w:tcW w:w="721" w:type="dxa"/>
                  <w:tcBorders>
                    <w:tl2br w:val="nil"/>
                    <w:tr2bl w:val="nil"/>
                  </w:tcBorders>
                  <w:noWrap w:val="0"/>
                  <w:vAlign w:val="center"/>
                </w:tcPr>
                <w:p w14:paraId="667630FD">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新建</w:t>
                  </w:r>
                </w:p>
              </w:tc>
            </w:tr>
            <w:tr w14:paraId="6B42A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1185" w:type="dxa"/>
                  <w:vMerge w:val="restart"/>
                  <w:tcBorders>
                    <w:tl2br w:val="nil"/>
                    <w:tr2bl w:val="nil"/>
                  </w:tcBorders>
                  <w:noWrap w:val="0"/>
                  <w:vAlign w:val="center"/>
                </w:tcPr>
                <w:p w14:paraId="4B6DA432">
                  <w:pPr>
                    <w:jc w:val="center"/>
                    <w:rPr>
                      <w:rFonts w:hint="default" w:ascii="Times New Roman" w:hAnsi="Times New Roman" w:cs="Times New Roman"/>
                      <w:highlight w:val="none"/>
                    </w:rPr>
                  </w:pPr>
                  <w:r>
                    <w:rPr>
                      <w:rFonts w:hint="default" w:ascii="Times New Roman" w:hAnsi="Times New Roman" w:cs="Times New Roman"/>
                      <w:highlight w:val="none"/>
                    </w:rPr>
                    <w:t>环保工程</w:t>
                  </w:r>
                </w:p>
              </w:tc>
              <w:tc>
                <w:tcPr>
                  <w:tcW w:w="1195" w:type="dxa"/>
                  <w:tcBorders>
                    <w:tl2br w:val="nil"/>
                    <w:tr2bl w:val="nil"/>
                  </w:tcBorders>
                  <w:noWrap w:val="0"/>
                  <w:vAlign w:val="center"/>
                </w:tcPr>
                <w:p w14:paraId="69019C3D">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无组织</w:t>
                  </w:r>
                  <w:r>
                    <w:rPr>
                      <w:rFonts w:hint="default" w:ascii="Times New Roman" w:hAnsi="Times New Roman" w:cs="Times New Roman"/>
                      <w:highlight w:val="none"/>
                    </w:rPr>
                    <w:t>废气</w:t>
                  </w:r>
                  <w:r>
                    <w:rPr>
                      <w:rFonts w:hint="default" w:ascii="Times New Roman" w:hAnsi="Times New Roman" w:cs="Times New Roman"/>
                      <w:highlight w:val="none"/>
                      <w:lang w:val="en-US" w:eastAsia="zh-CN"/>
                    </w:rPr>
                    <w:t>处理</w:t>
                  </w:r>
                </w:p>
              </w:tc>
              <w:tc>
                <w:tcPr>
                  <w:tcW w:w="4857" w:type="dxa"/>
                  <w:tcBorders>
                    <w:tl2br w:val="nil"/>
                    <w:tr2bl w:val="nil"/>
                  </w:tcBorders>
                  <w:noWrap w:val="0"/>
                  <w:vAlign w:val="center"/>
                </w:tcPr>
                <w:p w14:paraId="230E7462">
                  <w:pPr>
                    <w:pStyle w:val="3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 1 \* GB3 \* MERGEFORMAT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①</w:t>
                  </w:r>
                  <w:r>
                    <w:rPr>
                      <w:rFonts w:hint="default" w:ascii="Times New Roman" w:hAnsi="Times New Roman" w:cs="Times New Roman"/>
                      <w:highlight w:val="none"/>
                    </w:rPr>
                    <w:fldChar w:fldCharType="end"/>
                  </w:r>
                  <w:r>
                    <w:rPr>
                      <w:rFonts w:hint="default" w:ascii="Times New Roman" w:hAnsi="Times New Roman" w:cs="Times New Roman"/>
                      <w:highlight w:val="none"/>
                    </w:rPr>
                    <w:t>封闭式生产厂房，厂房安装卷帘门；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 2 \* GB3 \* MERGEFORMAT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②</w:t>
                  </w:r>
                  <w:r>
                    <w:rPr>
                      <w:rFonts w:hint="default" w:ascii="Times New Roman" w:hAnsi="Times New Roman" w:cs="Times New Roman"/>
                      <w:highlight w:val="none"/>
                    </w:rPr>
                    <w:fldChar w:fldCharType="end"/>
                  </w:r>
                  <w:r>
                    <w:rPr>
                      <w:rFonts w:hint="eastAsia" w:cs="Times New Roman"/>
                      <w:highlight w:val="none"/>
                      <w:lang w:val="en-US" w:eastAsia="zh-CN"/>
                    </w:rPr>
                    <w:t>成品包装是会有极少量的有机废气产生，打包间进行通风处理</w:t>
                  </w:r>
                  <w:r>
                    <w:rPr>
                      <w:rFonts w:hint="default" w:ascii="Times New Roman" w:hAnsi="Times New Roman" w:cs="Times New Roman"/>
                      <w:highlight w:val="none"/>
                      <w:lang w:val="en-US" w:eastAsia="zh-CN"/>
                    </w:rPr>
                    <w:t>；</w:t>
                  </w:r>
                  <w:r>
                    <w:rPr>
                      <w:rFonts w:hint="eastAsia" w:cs="Times New Roman"/>
                      <w:highlight w:val="none"/>
                      <w:lang w:val="en-US" w:eastAsia="zh-CN"/>
                    </w:rPr>
                    <w:t>③车间内加工生产会有一定的刺激性气味以臭气浓度表征，加强车间通风；④</w:t>
                  </w:r>
                  <w:r>
                    <w:rPr>
                      <w:rFonts w:hint="default" w:ascii="Times New Roman" w:hAnsi="Times New Roman" w:cs="Times New Roman"/>
                      <w:highlight w:val="none"/>
                    </w:rPr>
                    <w:t>场区内同时安排人员对场区道路定时清扫、洒水等。</w:t>
                  </w:r>
                </w:p>
              </w:tc>
              <w:tc>
                <w:tcPr>
                  <w:tcW w:w="721" w:type="dxa"/>
                  <w:vMerge w:val="restart"/>
                  <w:tcBorders>
                    <w:tl2br w:val="nil"/>
                    <w:tr2bl w:val="nil"/>
                  </w:tcBorders>
                  <w:noWrap w:val="0"/>
                  <w:vAlign w:val="center"/>
                </w:tcPr>
                <w:p w14:paraId="2BD8ED3F">
                  <w:pPr>
                    <w:jc w:val="center"/>
                    <w:rPr>
                      <w:rFonts w:hint="eastAsia" w:ascii="Times New Roman" w:hAnsi="Times New Roman" w:eastAsia="宋体" w:cs="Times New Roman"/>
                      <w:highlight w:val="none"/>
                      <w:lang w:eastAsia="zh-CN"/>
                    </w:rPr>
                  </w:pPr>
                  <w:r>
                    <w:rPr>
                      <w:rFonts w:hint="eastAsia" w:cs="Times New Roman"/>
                      <w:highlight w:val="none"/>
                      <w:lang w:val="en-US" w:eastAsia="zh-CN"/>
                    </w:rPr>
                    <w:t>新建</w:t>
                  </w:r>
                </w:p>
              </w:tc>
            </w:tr>
            <w:tr w14:paraId="5837A3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4" w:hRule="atLeast"/>
                <w:jc w:val="center"/>
              </w:trPr>
              <w:tc>
                <w:tcPr>
                  <w:tcW w:w="1185" w:type="dxa"/>
                  <w:vMerge w:val="continue"/>
                  <w:tcBorders>
                    <w:tl2br w:val="nil"/>
                    <w:tr2bl w:val="nil"/>
                  </w:tcBorders>
                  <w:noWrap w:val="0"/>
                  <w:vAlign w:val="center"/>
                </w:tcPr>
                <w:p w14:paraId="67C660A6">
                  <w:pPr>
                    <w:pStyle w:val="3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pPr>
                </w:p>
              </w:tc>
              <w:tc>
                <w:tcPr>
                  <w:tcW w:w="1195" w:type="dxa"/>
                  <w:tcBorders>
                    <w:tl2br w:val="nil"/>
                    <w:tr2bl w:val="nil"/>
                  </w:tcBorders>
                  <w:noWrap w:val="0"/>
                  <w:vAlign w:val="center"/>
                </w:tcPr>
                <w:p w14:paraId="71218804">
                  <w:pPr>
                    <w:pStyle w:val="3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highlight w:val="none"/>
                    </w:rPr>
                  </w:pPr>
                  <w:r>
                    <w:rPr>
                      <w:rFonts w:hint="eastAsia" w:cs="Times New Roman"/>
                      <w:highlight w:val="none"/>
                      <w:lang w:val="en-US" w:eastAsia="zh-CN"/>
                    </w:rPr>
                    <w:t>有组织</w:t>
                  </w:r>
                  <w:r>
                    <w:rPr>
                      <w:rFonts w:hint="default" w:ascii="Times New Roman" w:hAnsi="Times New Roman" w:cs="Times New Roman"/>
                      <w:highlight w:val="none"/>
                    </w:rPr>
                    <w:t>废气</w:t>
                  </w:r>
                  <w:r>
                    <w:rPr>
                      <w:rFonts w:hint="default" w:ascii="Times New Roman" w:hAnsi="Times New Roman" w:cs="Times New Roman"/>
                      <w:highlight w:val="none"/>
                      <w:lang w:val="en-US" w:eastAsia="zh-CN"/>
                    </w:rPr>
                    <w:t>处理</w:t>
                  </w:r>
                </w:p>
              </w:tc>
              <w:tc>
                <w:tcPr>
                  <w:tcW w:w="4857" w:type="dxa"/>
                  <w:tcBorders>
                    <w:tl2br w:val="nil"/>
                    <w:tr2bl w:val="nil"/>
                  </w:tcBorders>
                  <w:noWrap w:val="0"/>
                  <w:vAlign w:val="center"/>
                </w:tcPr>
                <w:p w14:paraId="4DB6F2C1">
                  <w:pPr>
                    <w:pStyle w:val="3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highlight w:val="none"/>
                      <w:lang w:eastAsia="zh-CN"/>
                    </w:rPr>
                  </w:pPr>
                  <w:r>
                    <w:rPr>
                      <w:rFonts w:hint="eastAsia" w:ascii="Times New Roman" w:hAnsi="Times New Roman" w:cs="Times New Roman"/>
                      <w:highlight w:val="none"/>
                      <w:lang w:val="en-US" w:eastAsia="zh-CN"/>
                    </w:rPr>
                    <w:t>①</w:t>
                  </w:r>
                  <w:r>
                    <w:rPr>
                      <w:rFonts w:hint="eastAsia" w:cs="Times New Roman"/>
                      <w:highlight w:val="none"/>
                      <w:lang w:val="en-US" w:eastAsia="zh-CN"/>
                    </w:rPr>
                    <w:t>油辣椒炒制工序产生的油烟通过油烟净化器处理后</w:t>
                  </w:r>
                  <w:r>
                    <w:rPr>
                      <w:rFonts w:hint="default" w:ascii="Times New Roman" w:hAnsi="Times New Roman" w:cs="Times New Roman"/>
                      <w:color w:val="000000"/>
                      <w:szCs w:val="21"/>
                      <w:highlight w:val="none"/>
                      <w:lang w:val="en-US" w:eastAsia="zh-CN"/>
                    </w:rPr>
                    <w:t>通过</w:t>
                  </w:r>
                  <w:r>
                    <w:rPr>
                      <w:rFonts w:hint="eastAsia" w:cs="Times New Roman"/>
                      <w:color w:val="000000"/>
                      <w:szCs w:val="21"/>
                      <w:highlight w:val="none"/>
                      <w:lang w:val="en-US" w:eastAsia="zh-CN"/>
                    </w:rPr>
                    <w:t>15</w:t>
                  </w:r>
                  <w:r>
                    <w:rPr>
                      <w:rFonts w:hint="default" w:ascii="Times New Roman" w:hAnsi="Times New Roman" w:cs="Times New Roman"/>
                      <w:color w:val="000000"/>
                      <w:szCs w:val="21"/>
                      <w:highlight w:val="none"/>
                      <w:lang w:val="en-US" w:eastAsia="zh-CN"/>
                    </w:rPr>
                    <w:t>m高的排气筒达标排放</w:t>
                  </w:r>
                  <w:r>
                    <w:rPr>
                      <w:rFonts w:hint="default" w:ascii="Times New Roman" w:hAnsi="Times New Roman" w:cs="Times New Roman"/>
                      <w:color w:val="000000"/>
                      <w:szCs w:val="21"/>
                      <w:highlight w:val="none"/>
                    </w:rPr>
                    <w:t>（DA00</w:t>
                  </w:r>
                  <w:r>
                    <w:rPr>
                      <w:rFonts w:hint="default"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②</w:t>
                  </w:r>
                  <w:r>
                    <w:rPr>
                      <w:rFonts w:hint="eastAsia" w:cs="Times New Roman"/>
                      <w:highlight w:val="none"/>
                      <w:lang w:val="en-US" w:eastAsia="zh-CN"/>
                    </w:rPr>
                    <w:t>天然气锅炉燃烧废气设置低氮燃烧装置处理，处理后</w:t>
                  </w:r>
                  <w:r>
                    <w:rPr>
                      <w:rFonts w:hint="default" w:ascii="Times New Roman" w:hAnsi="Times New Roman" w:cs="Times New Roman"/>
                      <w:color w:val="000000"/>
                      <w:szCs w:val="21"/>
                      <w:highlight w:val="none"/>
                      <w:lang w:val="en-US" w:eastAsia="zh-CN"/>
                    </w:rPr>
                    <w:t>通过</w:t>
                  </w:r>
                  <w:r>
                    <w:rPr>
                      <w:rFonts w:hint="eastAsia" w:cs="Times New Roman"/>
                      <w:color w:val="000000"/>
                      <w:szCs w:val="21"/>
                      <w:highlight w:val="none"/>
                      <w:lang w:val="en-US" w:eastAsia="zh-CN"/>
                    </w:rPr>
                    <w:t>8</w:t>
                  </w:r>
                  <w:r>
                    <w:rPr>
                      <w:rFonts w:hint="default" w:ascii="Times New Roman" w:hAnsi="Times New Roman" w:cs="Times New Roman"/>
                      <w:color w:val="000000"/>
                      <w:szCs w:val="21"/>
                      <w:highlight w:val="none"/>
                      <w:lang w:val="en-US" w:eastAsia="zh-CN"/>
                    </w:rPr>
                    <w:t>m高的排气筒达标排放</w:t>
                  </w:r>
                  <w:r>
                    <w:rPr>
                      <w:rFonts w:hint="default" w:ascii="Times New Roman" w:hAnsi="Times New Roman" w:cs="Times New Roman"/>
                      <w:color w:val="000000"/>
                      <w:szCs w:val="21"/>
                      <w:highlight w:val="none"/>
                    </w:rPr>
                    <w:t>（DA00</w:t>
                  </w: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rPr>
                    <w:t>）</w:t>
                  </w:r>
                  <w:r>
                    <w:rPr>
                      <w:rFonts w:hint="eastAsia" w:cs="Times New Roman"/>
                      <w:color w:val="000000"/>
                      <w:szCs w:val="21"/>
                      <w:highlight w:val="none"/>
                      <w:lang w:eastAsia="zh-CN"/>
                    </w:rPr>
                    <w:t>；</w:t>
                  </w:r>
                  <w:r>
                    <w:rPr>
                      <w:rFonts w:hint="eastAsia" w:cs="Times New Roman"/>
                      <w:color w:val="000000"/>
                      <w:szCs w:val="21"/>
                      <w:highlight w:val="none"/>
                      <w:lang w:val="en-US" w:eastAsia="zh-CN"/>
                    </w:rPr>
                    <w:t>③</w:t>
                  </w:r>
                  <w:r>
                    <w:rPr>
                      <w:rFonts w:hint="eastAsia" w:ascii="Times New Roman" w:hAnsi="Times New Roman" w:cs="Times New Roman"/>
                      <w:color w:val="000000"/>
                      <w:szCs w:val="21"/>
                      <w:highlight w:val="none"/>
                      <w:lang w:val="en-US" w:eastAsia="zh-CN"/>
                    </w:rPr>
                    <w:t>污水处理废气</w:t>
                  </w:r>
                  <w:r>
                    <w:rPr>
                      <w:rFonts w:hint="eastAsia" w:cs="Times New Roman"/>
                      <w:highlight w:val="none"/>
                      <w:lang w:val="en-US" w:eastAsia="zh-CN"/>
                    </w:rPr>
                    <w:t>通过活性炭吸附装置处理后</w:t>
                  </w:r>
                  <w:r>
                    <w:rPr>
                      <w:rFonts w:hint="default" w:ascii="Times New Roman" w:hAnsi="Times New Roman" w:cs="Times New Roman"/>
                      <w:color w:val="000000"/>
                      <w:szCs w:val="21"/>
                      <w:highlight w:val="none"/>
                      <w:lang w:val="en-US" w:eastAsia="zh-CN"/>
                    </w:rPr>
                    <w:t>通过</w:t>
                  </w:r>
                  <w:r>
                    <w:rPr>
                      <w:rFonts w:hint="eastAsia" w:cs="Times New Roman"/>
                      <w:color w:val="000000"/>
                      <w:szCs w:val="21"/>
                      <w:highlight w:val="none"/>
                      <w:lang w:val="en-US" w:eastAsia="zh-CN"/>
                    </w:rPr>
                    <w:t>15</w:t>
                  </w:r>
                  <w:r>
                    <w:rPr>
                      <w:rFonts w:hint="default" w:ascii="Times New Roman" w:hAnsi="Times New Roman" w:cs="Times New Roman"/>
                      <w:color w:val="000000"/>
                      <w:szCs w:val="21"/>
                      <w:highlight w:val="none"/>
                      <w:lang w:val="en-US" w:eastAsia="zh-CN"/>
                    </w:rPr>
                    <w:t>m高的排气筒达标排放</w:t>
                  </w:r>
                  <w:r>
                    <w:rPr>
                      <w:rFonts w:hint="default" w:ascii="Times New Roman" w:hAnsi="Times New Roman" w:cs="Times New Roman"/>
                      <w:color w:val="000000"/>
                      <w:szCs w:val="21"/>
                      <w:highlight w:val="none"/>
                    </w:rPr>
                    <w:t>（DA00</w:t>
                  </w:r>
                  <w:r>
                    <w:rPr>
                      <w:rFonts w:hint="eastAsia" w:cs="Times New Roman"/>
                      <w:color w:val="000000"/>
                      <w:szCs w:val="21"/>
                      <w:highlight w:val="none"/>
                      <w:lang w:val="en-US" w:eastAsia="zh-CN"/>
                    </w:rPr>
                    <w:t>3</w:t>
                  </w: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eastAsia="zh-CN"/>
                    </w:rPr>
                    <w:t>。</w:t>
                  </w:r>
                </w:p>
              </w:tc>
              <w:tc>
                <w:tcPr>
                  <w:tcW w:w="721" w:type="dxa"/>
                  <w:vMerge w:val="continue"/>
                  <w:tcBorders>
                    <w:tl2br w:val="nil"/>
                    <w:tr2bl w:val="nil"/>
                  </w:tcBorders>
                  <w:noWrap w:val="0"/>
                  <w:vAlign w:val="center"/>
                </w:tcPr>
                <w:p w14:paraId="3B27AF13">
                  <w:pPr>
                    <w:pStyle w:val="3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highlight w:val="none"/>
                    </w:rPr>
                  </w:pPr>
                </w:p>
              </w:tc>
            </w:tr>
            <w:tr w14:paraId="7F0196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6" w:hRule="atLeast"/>
                <w:jc w:val="center"/>
              </w:trPr>
              <w:tc>
                <w:tcPr>
                  <w:tcW w:w="1185" w:type="dxa"/>
                  <w:vMerge w:val="continue"/>
                  <w:tcBorders>
                    <w:tl2br w:val="nil"/>
                    <w:tr2bl w:val="nil"/>
                  </w:tcBorders>
                  <w:noWrap w:val="0"/>
                  <w:vAlign w:val="center"/>
                </w:tcPr>
                <w:p w14:paraId="72EE886E">
                  <w:pPr>
                    <w:jc w:val="center"/>
                    <w:rPr>
                      <w:rFonts w:hint="default" w:ascii="Times New Roman" w:hAnsi="Times New Roman" w:cs="Times New Roman"/>
                      <w:highlight w:val="none"/>
                    </w:rPr>
                  </w:pPr>
                </w:p>
              </w:tc>
              <w:tc>
                <w:tcPr>
                  <w:tcW w:w="1195" w:type="dxa"/>
                  <w:tcBorders>
                    <w:tl2br w:val="nil"/>
                    <w:tr2bl w:val="nil"/>
                  </w:tcBorders>
                  <w:noWrap w:val="0"/>
                  <w:vAlign w:val="center"/>
                </w:tcPr>
                <w:p w14:paraId="2085BF84">
                  <w:pPr>
                    <w:adjustRightInd w:val="0"/>
                    <w:snapToGrid w:val="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废水</w:t>
                  </w:r>
                  <w:r>
                    <w:rPr>
                      <w:rFonts w:hint="default" w:ascii="Times New Roman" w:hAnsi="Times New Roman" w:cs="Times New Roman"/>
                      <w:highlight w:val="none"/>
                      <w:lang w:val="en-US" w:eastAsia="zh-CN"/>
                    </w:rPr>
                    <w:t>处理</w:t>
                  </w:r>
                </w:p>
              </w:tc>
              <w:tc>
                <w:tcPr>
                  <w:tcW w:w="4857" w:type="dxa"/>
                  <w:tcBorders>
                    <w:tl2br w:val="nil"/>
                    <w:tr2bl w:val="nil"/>
                  </w:tcBorders>
                  <w:noWrap w:val="0"/>
                  <w:vAlign w:val="center"/>
                </w:tcPr>
                <w:p w14:paraId="5ADF0FDE">
                  <w:pPr>
                    <w:adjustRightInd w:val="0"/>
                    <w:snapToGrid w:val="0"/>
                    <w:spacing w:line="280" w:lineRule="exact"/>
                    <w:ind w:left="42" w:leftChars="20" w:right="42" w:rightChars="2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rPr>
                    <w:t>项目</w:t>
                  </w:r>
                  <w:r>
                    <w:rPr>
                      <w:rFonts w:hint="eastAsia" w:cs="Times New Roman"/>
                      <w:highlight w:val="none"/>
                      <w:lang w:val="en-US" w:eastAsia="zh-CN"/>
                    </w:rPr>
                    <w:t>的</w:t>
                  </w:r>
                  <w:r>
                    <w:rPr>
                      <w:rFonts w:hint="default" w:ascii="Times New Roman" w:hAnsi="Times New Roman" w:cs="Times New Roman"/>
                      <w:highlight w:val="none"/>
                    </w:rPr>
                    <w:t>生活污水经化粪池处理后，</w:t>
                  </w:r>
                  <w:r>
                    <w:rPr>
                      <w:rFonts w:hint="eastAsia" w:cs="Times New Roman"/>
                      <w:highlight w:val="none"/>
                      <w:lang w:val="en-US" w:eastAsia="zh-CN"/>
                    </w:rPr>
                    <w:t>外排到污水管网再排入</w:t>
                  </w:r>
                  <w:r>
                    <w:rPr>
                      <w:rFonts w:hint="eastAsia" w:cs="Times New Roman"/>
                      <w:color w:val="auto"/>
                      <w:kern w:val="2"/>
                      <w:sz w:val="21"/>
                      <w:szCs w:val="21"/>
                      <w:highlight w:val="none"/>
                      <w:u w:val="none"/>
                      <w:lang w:val="en-US" w:eastAsia="zh-CN" w:bidi="ar-SA"/>
                    </w:rPr>
                    <w:t>叶县廉村镇污水处理站</w:t>
                  </w:r>
                  <w:r>
                    <w:rPr>
                      <w:rFonts w:hint="default" w:ascii="Times New Roman" w:hAnsi="Times New Roman" w:cs="Times New Roman"/>
                      <w:highlight w:val="none"/>
                    </w:rPr>
                    <w:t>；生产废水</w:t>
                  </w:r>
                  <w:r>
                    <w:rPr>
                      <w:rFonts w:hint="eastAsia" w:cs="Times New Roman"/>
                      <w:highlight w:val="none"/>
                      <w:lang w:val="en-US" w:eastAsia="zh-CN"/>
                    </w:rPr>
                    <w:t>经过</w:t>
                  </w:r>
                  <w:r>
                    <w:rPr>
                      <w:rFonts w:hint="eastAsia" w:cs="Times New Roman"/>
                      <w:color w:val="auto"/>
                      <w:kern w:val="2"/>
                      <w:sz w:val="21"/>
                      <w:szCs w:val="21"/>
                      <w:highlight w:val="none"/>
                      <w:u w:val="none"/>
                      <w:lang w:val="en-US" w:eastAsia="zh-CN" w:bidi="ar-SA"/>
                    </w:rPr>
                    <w:t>经过隔油池</w:t>
                  </w:r>
                  <w:r>
                    <w:rPr>
                      <w:rFonts w:hint="default"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沉淀再进入污水处理设施处理后排入污水管网最终流向叶县廉村镇污水处理站</w:t>
                  </w:r>
                  <w:r>
                    <w:rPr>
                      <w:rFonts w:hint="eastAsia" w:cs="Times New Roman"/>
                      <w:highlight w:val="none"/>
                      <w:lang w:val="en-US" w:eastAsia="zh-CN"/>
                    </w:rPr>
                    <w:t>；产品冷却水</w:t>
                  </w:r>
                  <w:r>
                    <w:rPr>
                      <w:rFonts w:hint="default" w:ascii="Times New Roman" w:hAnsi="Times New Roman" w:cs="Times New Roman"/>
                      <w:highlight w:val="none"/>
                    </w:rPr>
                    <w:t>循环利用，不外排</w:t>
                  </w:r>
                  <w:r>
                    <w:rPr>
                      <w:rFonts w:hint="eastAsia" w:cs="Times New Roman"/>
                      <w:color w:val="auto"/>
                      <w:kern w:val="2"/>
                      <w:sz w:val="21"/>
                      <w:szCs w:val="21"/>
                      <w:highlight w:val="none"/>
                      <w:u w:val="none"/>
                      <w:lang w:val="en-US" w:eastAsia="zh-CN" w:bidi="ar-SA"/>
                    </w:rPr>
                    <w:t>。</w:t>
                  </w:r>
                </w:p>
              </w:tc>
              <w:tc>
                <w:tcPr>
                  <w:tcW w:w="721" w:type="dxa"/>
                  <w:tcBorders>
                    <w:tl2br w:val="nil"/>
                    <w:tr2bl w:val="nil"/>
                  </w:tcBorders>
                  <w:noWrap w:val="0"/>
                  <w:vAlign w:val="center"/>
                </w:tcPr>
                <w:p w14:paraId="4D4ED257">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新建</w:t>
                  </w:r>
                </w:p>
              </w:tc>
            </w:tr>
            <w:tr w14:paraId="159060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6" w:hRule="atLeast"/>
                <w:jc w:val="center"/>
              </w:trPr>
              <w:tc>
                <w:tcPr>
                  <w:tcW w:w="1185" w:type="dxa"/>
                  <w:vMerge w:val="continue"/>
                  <w:tcBorders>
                    <w:tl2br w:val="nil"/>
                    <w:tr2bl w:val="nil"/>
                  </w:tcBorders>
                  <w:noWrap w:val="0"/>
                  <w:vAlign w:val="center"/>
                </w:tcPr>
                <w:p w14:paraId="2EC8C6C0">
                  <w:pPr>
                    <w:jc w:val="center"/>
                    <w:rPr>
                      <w:rFonts w:hint="default" w:ascii="Times New Roman" w:hAnsi="Times New Roman" w:cs="Times New Roman"/>
                      <w:highlight w:val="none"/>
                    </w:rPr>
                  </w:pPr>
                </w:p>
              </w:tc>
              <w:tc>
                <w:tcPr>
                  <w:tcW w:w="1195" w:type="dxa"/>
                  <w:tcBorders>
                    <w:tl2br w:val="nil"/>
                    <w:tr2bl w:val="nil"/>
                  </w:tcBorders>
                  <w:noWrap w:val="0"/>
                  <w:vAlign w:val="center"/>
                </w:tcPr>
                <w:p w14:paraId="3DC390A3">
                  <w:pPr>
                    <w:widowControl/>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固废</w:t>
                  </w:r>
                  <w:r>
                    <w:rPr>
                      <w:rFonts w:hint="default" w:ascii="Times New Roman" w:hAnsi="Times New Roman" w:cs="Times New Roman"/>
                      <w:highlight w:val="none"/>
                      <w:lang w:val="en-US" w:eastAsia="zh-CN"/>
                    </w:rPr>
                    <w:t>处理</w:t>
                  </w:r>
                </w:p>
              </w:tc>
              <w:tc>
                <w:tcPr>
                  <w:tcW w:w="4857" w:type="dxa"/>
                  <w:tcBorders>
                    <w:tl2br w:val="nil"/>
                    <w:tr2bl w:val="nil"/>
                  </w:tcBorders>
                  <w:noWrap w:val="0"/>
                  <w:vAlign w:val="center"/>
                </w:tcPr>
                <w:p w14:paraId="7A6C32F0">
                  <w:pPr>
                    <w:adjustRightInd w:val="0"/>
                    <w:snapToGrid w:val="0"/>
                    <w:spacing w:line="280" w:lineRule="exact"/>
                    <w:ind w:left="42" w:leftChars="20" w:right="42" w:rightChars="2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厂区内设置若干垃圾桶，</w:t>
                  </w:r>
                  <w:r>
                    <w:rPr>
                      <w:rFonts w:hint="eastAsia" w:cs="Times New Roman"/>
                      <w:highlight w:val="none"/>
                      <w:lang w:val="en-US" w:eastAsia="zh-CN"/>
                    </w:rPr>
                    <w:t>辣椒把和辣椒叶、沉淀杂质、废残渣、不合格品、废包装材料以及生活垃圾等等</w:t>
                  </w:r>
                  <w:r>
                    <w:rPr>
                      <w:rFonts w:hint="default" w:ascii="Times New Roman" w:hAnsi="Times New Roman" w:cs="Times New Roman"/>
                      <w:highlight w:val="none"/>
                      <w:lang w:val="en-US" w:eastAsia="zh-CN"/>
                    </w:rPr>
                    <w:t>定期</w:t>
                  </w:r>
                  <w:r>
                    <w:rPr>
                      <w:rFonts w:hint="default" w:ascii="Times New Roman" w:hAnsi="Times New Roman" w:cs="Times New Roman"/>
                      <w:highlight w:val="none"/>
                    </w:rPr>
                    <w:t>送至中转站定时清运</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设置一</w:t>
                  </w:r>
                  <w:r>
                    <w:rPr>
                      <w:rFonts w:hint="eastAsia" w:cs="Times New Roman"/>
                      <w:highlight w:val="none"/>
                      <w:lang w:val="en-US" w:eastAsia="zh-CN"/>
                    </w:rPr>
                    <w:t>间5</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eastAsia" w:cs="Times New Roman"/>
                      <w:highlight w:val="none"/>
                      <w:vertAlign w:val="baseline"/>
                      <w:lang w:val="en-US" w:eastAsia="zh-CN"/>
                    </w:rPr>
                    <w:t>一般固废</w:t>
                  </w:r>
                  <w:r>
                    <w:rPr>
                      <w:rFonts w:hint="default" w:ascii="Times New Roman" w:hAnsi="Times New Roman" w:cs="Times New Roman"/>
                      <w:highlight w:val="none"/>
                      <w:vertAlign w:val="baseline"/>
                      <w:lang w:val="en-US" w:eastAsia="zh-CN"/>
                    </w:rPr>
                    <w:t>暂存间，</w:t>
                  </w:r>
                  <w:r>
                    <w:rPr>
                      <w:rFonts w:hint="eastAsia" w:cs="Times New Roman"/>
                      <w:highlight w:val="none"/>
                      <w:vertAlign w:val="baseline"/>
                      <w:lang w:val="en-US" w:eastAsia="zh-CN"/>
                    </w:rPr>
                    <w:t>用于暂存一般固废，危险废物暂存在危废间由有资质单位安全处理</w:t>
                  </w:r>
                  <w:r>
                    <w:rPr>
                      <w:rFonts w:hint="default" w:ascii="Times New Roman" w:hAnsi="Times New Roman" w:cs="Times New Roman"/>
                      <w:highlight w:val="none"/>
                      <w:vertAlign w:val="baseline"/>
                      <w:lang w:val="en-US" w:eastAsia="zh-CN"/>
                    </w:rPr>
                    <w:t>。</w:t>
                  </w:r>
                </w:p>
              </w:tc>
              <w:tc>
                <w:tcPr>
                  <w:tcW w:w="721" w:type="dxa"/>
                  <w:tcBorders>
                    <w:tl2br w:val="nil"/>
                    <w:tr2bl w:val="nil"/>
                  </w:tcBorders>
                  <w:noWrap w:val="0"/>
                  <w:vAlign w:val="center"/>
                </w:tcPr>
                <w:p w14:paraId="7509ECCD">
                  <w:pPr>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新建</w:t>
                  </w:r>
                </w:p>
              </w:tc>
            </w:tr>
            <w:tr w14:paraId="15970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1185" w:type="dxa"/>
                  <w:vMerge w:val="continue"/>
                  <w:tcBorders>
                    <w:tl2br w:val="nil"/>
                    <w:tr2bl w:val="nil"/>
                  </w:tcBorders>
                  <w:noWrap w:val="0"/>
                  <w:vAlign w:val="center"/>
                </w:tcPr>
                <w:p w14:paraId="6B5C9B5A">
                  <w:pPr>
                    <w:jc w:val="center"/>
                    <w:rPr>
                      <w:rFonts w:hint="default" w:ascii="Times New Roman" w:hAnsi="Times New Roman" w:cs="Times New Roman"/>
                      <w:highlight w:val="none"/>
                    </w:rPr>
                  </w:pPr>
                </w:p>
              </w:tc>
              <w:tc>
                <w:tcPr>
                  <w:tcW w:w="1195" w:type="dxa"/>
                  <w:tcBorders>
                    <w:tl2br w:val="nil"/>
                    <w:tr2bl w:val="nil"/>
                  </w:tcBorders>
                  <w:noWrap w:val="0"/>
                  <w:vAlign w:val="center"/>
                </w:tcPr>
                <w:p w14:paraId="0D389080">
                  <w:pPr>
                    <w:widowControl/>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噪声</w:t>
                  </w:r>
                  <w:r>
                    <w:rPr>
                      <w:rFonts w:hint="default" w:ascii="Times New Roman" w:hAnsi="Times New Roman" w:cs="Times New Roman"/>
                      <w:highlight w:val="none"/>
                      <w:lang w:val="en-US" w:eastAsia="zh-CN"/>
                    </w:rPr>
                    <w:t>处理</w:t>
                  </w:r>
                </w:p>
              </w:tc>
              <w:tc>
                <w:tcPr>
                  <w:tcW w:w="4857" w:type="dxa"/>
                  <w:tcBorders>
                    <w:tl2br w:val="nil"/>
                    <w:tr2bl w:val="nil"/>
                  </w:tcBorders>
                  <w:noWrap w:val="0"/>
                  <w:vAlign w:val="center"/>
                </w:tcPr>
                <w:p w14:paraId="61C6F636">
                  <w:pPr>
                    <w:jc w:val="center"/>
                    <w:rPr>
                      <w:rFonts w:hint="default" w:ascii="Times New Roman" w:hAnsi="Times New Roman" w:cs="Times New Roman"/>
                      <w:highlight w:val="none"/>
                    </w:rPr>
                  </w:pPr>
                  <w:r>
                    <w:rPr>
                      <w:rFonts w:hint="default" w:ascii="Times New Roman" w:hAnsi="Times New Roman" w:cs="Times New Roman"/>
                      <w:color w:val="auto"/>
                      <w:szCs w:val="21"/>
                      <w:highlight w:val="none"/>
                    </w:rPr>
                    <w:t>高噪声设备做减振基础，厂房隔声</w:t>
                  </w:r>
                </w:p>
              </w:tc>
              <w:tc>
                <w:tcPr>
                  <w:tcW w:w="721" w:type="dxa"/>
                  <w:tcBorders>
                    <w:tl2br w:val="nil"/>
                    <w:tr2bl w:val="nil"/>
                  </w:tcBorders>
                  <w:noWrap w:val="0"/>
                  <w:vAlign w:val="center"/>
                </w:tcPr>
                <w:p w14:paraId="21D5A078">
                  <w:pPr>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新建</w:t>
                  </w:r>
                </w:p>
              </w:tc>
            </w:tr>
          </w:tbl>
          <w:p w14:paraId="47EB6A73">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b/>
                <w:lang w:val="en-US" w:eastAsia="zh-CN"/>
              </w:rPr>
            </w:pPr>
            <w:r>
              <w:rPr>
                <w:rFonts w:hint="default" w:ascii="Times New Roman" w:hAnsi="Times New Roman" w:cs="Times New Roman"/>
                <w:b/>
              </w:rPr>
              <w:t>3、</w:t>
            </w:r>
            <w:r>
              <w:rPr>
                <w:rFonts w:hint="eastAsia" w:ascii="Times New Roman" w:hAnsi="Times New Roman" w:cs="Times New Roman"/>
                <w:b/>
                <w:lang w:val="en-US" w:eastAsia="zh-CN"/>
              </w:rPr>
              <w:t>产品方案</w:t>
            </w:r>
          </w:p>
          <w:p w14:paraId="3C7152B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本项目总投资</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000</w:t>
            </w:r>
            <w:r>
              <w:rPr>
                <w:rFonts w:hint="default" w:ascii="Times New Roman" w:hAnsi="Times New Roman" w:cs="Times New Roman"/>
                <w:color w:val="auto"/>
                <w:sz w:val="24"/>
              </w:rPr>
              <w:t>万元，项目</w:t>
            </w:r>
            <w:r>
              <w:rPr>
                <w:rFonts w:hint="default" w:ascii="Times New Roman" w:hAnsi="Times New Roman" w:cs="Times New Roman"/>
                <w:sz w:val="24"/>
                <w:szCs w:val="24"/>
                <w:lang w:val="en-US" w:eastAsia="zh-CN"/>
              </w:rPr>
              <w:t>建成后年产</w:t>
            </w:r>
            <w:r>
              <w:rPr>
                <w:rFonts w:hint="eastAsia" w:cs="Times New Roman"/>
                <w:sz w:val="24"/>
                <w:szCs w:val="24"/>
                <w:lang w:val="en-US" w:eastAsia="zh-CN"/>
              </w:rPr>
              <w:t>牛骨高汤、鲜辣椒、</w:t>
            </w:r>
            <w:r>
              <w:rPr>
                <w:rFonts w:hint="eastAsia" w:hAnsi="宋体" w:cs="Times New Roman"/>
                <w:color w:val="auto"/>
                <w:sz w:val="24"/>
                <w:lang w:val="en-US" w:eastAsia="zh-CN"/>
              </w:rPr>
              <w:t>辣椒酱、</w:t>
            </w:r>
            <w:r>
              <w:rPr>
                <w:rFonts w:hint="eastAsia" w:ascii="Times New Roman" w:hAnsi="宋体" w:eastAsia="宋体" w:cs="Times New Roman"/>
                <w:color w:val="auto"/>
                <w:sz w:val="24"/>
                <w:lang w:val="en-US" w:eastAsia="zh-CN"/>
              </w:rPr>
              <w:t>半固态复合调味料（油辣椒）共计2000吨</w:t>
            </w:r>
            <w:r>
              <w:rPr>
                <w:rFonts w:hint="default" w:ascii="Times New Roman" w:hAnsi="Times New Roman" w:eastAsia="宋体" w:cs="Times New Roman"/>
                <w:color w:val="auto"/>
                <w:sz w:val="24"/>
                <w:lang w:val="zh-CN"/>
              </w:rPr>
              <w:t>。</w:t>
            </w:r>
            <w:r>
              <w:rPr>
                <w:rFonts w:hint="default" w:ascii="Times New Roman" w:hAnsi="Times New Roman" w:cs="Times New Roman"/>
                <w:color w:val="auto"/>
                <w:sz w:val="24"/>
              </w:rPr>
              <w:t>项目具体生产规模及产品方案详见下表。</w:t>
            </w:r>
          </w:p>
          <w:p w14:paraId="76B0579B">
            <w:pPr>
              <w:pStyle w:val="6"/>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表2-2 本项目产品产量一览表</w:t>
            </w:r>
          </w:p>
          <w:tbl>
            <w:tblPr>
              <w:tblStyle w:val="21"/>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738"/>
              <w:gridCol w:w="1408"/>
              <w:gridCol w:w="3104"/>
            </w:tblGrid>
            <w:tr w14:paraId="3050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68" w:type="dxa"/>
                  <w:tcBorders>
                    <w:tl2br w:val="nil"/>
                    <w:tr2bl w:val="nil"/>
                  </w:tcBorders>
                  <w:noWrap w:val="0"/>
                  <w:vAlign w:val="center"/>
                </w:tcPr>
                <w:p w14:paraId="723CCCD0">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2738" w:type="dxa"/>
                  <w:tcBorders>
                    <w:tl2br w:val="nil"/>
                    <w:tr2bl w:val="nil"/>
                  </w:tcBorders>
                  <w:noWrap w:val="0"/>
                  <w:vAlign w:val="center"/>
                </w:tcPr>
                <w:p w14:paraId="4856FF1C">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产品</w:t>
                  </w:r>
                </w:p>
              </w:tc>
              <w:tc>
                <w:tcPr>
                  <w:tcW w:w="1408" w:type="dxa"/>
                  <w:tcBorders>
                    <w:tl2br w:val="nil"/>
                    <w:tr2bl w:val="nil"/>
                  </w:tcBorders>
                  <w:noWrap w:val="0"/>
                  <w:vAlign w:val="center"/>
                </w:tcPr>
                <w:p w14:paraId="444A385D">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年产量</w:t>
                  </w:r>
                </w:p>
              </w:tc>
              <w:tc>
                <w:tcPr>
                  <w:tcW w:w="3104" w:type="dxa"/>
                  <w:tcBorders>
                    <w:tl2br w:val="nil"/>
                    <w:tr2bl w:val="nil"/>
                  </w:tcBorders>
                  <w:noWrap w:val="0"/>
                  <w:vAlign w:val="center"/>
                </w:tcPr>
                <w:p w14:paraId="120BF16E">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备注</w:t>
                  </w:r>
                </w:p>
              </w:tc>
            </w:tr>
            <w:tr w14:paraId="1CBC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8" w:type="dxa"/>
                  <w:tcBorders>
                    <w:tl2br w:val="nil"/>
                    <w:tr2bl w:val="nil"/>
                  </w:tcBorders>
                  <w:noWrap w:val="0"/>
                  <w:vAlign w:val="center"/>
                </w:tcPr>
                <w:p w14:paraId="75D5C57E">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38" w:type="dxa"/>
                  <w:tcBorders>
                    <w:tl2br w:val="nil"/>
                    <w:tr2bl w:val="nil"/>
                  </w:tcBorders>
                  <w:noWrap w:val="0"/>
                  <w:vAlign w:val="center"/>
                </w:tcPr>
                <w:p w14:paraId="371B9600">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牛骨高汤</w:t>
                  </w:r>
                </w:p>
              </w:tc>
              <w:tc>
                <w:tcPr>
                  <w:tcW w:w="1408" w:type="dxa"/>
                  <w:tcBorders>
                    <w:tl2br w:val="nil"/>
                    <w:tr2bl w:val="nil"/>
                  </w:tcBorders>
                  <w:noWrap w:val="0"/>
                  <w:vAlign w:val="center"/>
                </w:tcPr>
                <w:p w14:paraId="1DC49472">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500t/a</w:t>
                  </w:r>
                </w:p>
              </w:tc>
              <w:tc>
                <w:tcPr>
                  <w:tcW w:w="3104" w:type="dxa"/>
                  <w:tcBorders>
                    <w:tl2br w:val="nil"/>
                    <w:tr2bl w:val="nil"/>
                  </w:tcBorders>
                  <w:noWrap w:val="0"/>
                  <w:vAlign w:val="center"/>
                </w:tcPr>
                <w:p w14:paraId="62A8918F">
                  <w:pPr>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单个20kg/桶，根据甲方订购量进行打包成箱外售</w:t>
                  </w:r>
                </w:p>
              </w:tc>
            </w:tr>
            <w:tr w14:paraId="7B1D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68" w:type="dxa"/>
                  <w:tcBorders>
                    <w:tl2br w:val="nil"/>
                    <w:tr2bl w:val="nil"/>
                  </w:tcBorders>
                  <w:noWrap w:val="0"/>
                  <w:vAlign w:val="center"/>
                </w:tcPr>
                <w:p w14:paraId="39E2853D">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2738" w:type="dxa"/>
                  <w:tcBorders>
                    <w:tl2br w:val="nil"/>
                    <w:tr2bl w:val="nil"/>
                  </w:tcBorders>
                  <w:noWrap w:val="0"/>
                  <w:vAlign w:val="center"/>
                </w:tcPr>
                <w:p w14:paraId="2A05395A">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鲜辣椒</w:t>
                  </w:r>
                </w:p>
              </w:tc>
              <w:tc>
                <w:tcPr>
                  <w:tcW w:w="1408" w:type="dxa"/>
                  <w:tcBorders>
                    <w:tl2br w:val="nil"/>
                    <w:tr2bl w:val="nil"/>
                  </w:tcBorders>
                  <w:noWrap w:val="0"/>
                  <w:vAlign w:val="center"/>
                </w:tcPr>
                <w:p w14:paraId="0EE23A5C">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250t/a</w:t>
                  </w:r>
                </w:p>
              </w:tc>
              <w:tc>
                <w:tcPr>
                  <w:tcW w:w="3104" w:type="dxa"/>
                  <w:tcBorders>
                    <w:tl2br w:val="nil"/>
                    <w:tr2bl w:val="nil"/>
                  </w:tcBorders>
                  <w:noWrap w:val="0"/>
                  <w:vAlign w:val="center"/>
                </w:tcPr>
                <w:p w14:paraId="6236325F">
                  <w:pPr>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单个42kg/袋，根据甲方订购量进行打包成箱外售</w:t>
                  </w:r>
                </w:p>
              </w:tc>
            </w:tr>
            <w:tr w14:paraId="5D28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8" w:type="dxa"/>
                  <w:tcBorders>
                    <w:tl2br w:val="nil"/>
                    <w:tr2bl w:val="nil"/>
                  </w:tcBorders>
                  <w:noWrap w:val="0"/>
                  <w:vAlign w:val="center"/>
                </w:tcPr>
                <w:p w14:paraId="602A052B">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w:t>
                  </w:r>
                </w:p>
              </w:tc>
              <w:tc>
                <w:tcPr>
                  <w:tcW w:w="2738" w:type="dxa"/>
                  <w:tcBorders>
                    <w:tl2br w:val="nil"/>
                    <w:tr2bl w:val="nil"/>
                  </w:tcBorders>
                  <w:noWrap w:val="0"/>
                  <w:vAlign w:val="center"/>
                </w:tcPr>
                <w:p w14:paraId="70CA6122">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辣椒酱</w:t>
                  </w:r>
                </w:p>
              </w:tc>
              <w:tc>
                <w:tcPr>
                  <w:tcW w:w="1408" w:type="dxa"/>
                  <w:tcBorders>
                    <w:tl2br w:val="nil"/>
                    <w:tr2bl w:val="nil"/>
                  </w:tcBorders>
                  <w:noWrap w:val="0"/>
                  <w:vAlign w:val="center"/>
                </w:tcPr>
                <w:p w14:paraId="7CE4F3C2">
                  <w:pPr>
                    <w:keepNext w:val="0"/>
                    <w:keepLines w:val="0"/>
                    <w:pageBreakBefore w:val="0"/>
                    <w:widowControl w:val="0"/>
                    <w:kinsoku/>
                    <w:overflowPunct/>
                    <w:autoSpaceDE/>
                    <w:autoSpaceDN/>
                    <w:bidi w:val="0"/>
                    <w:adjustRightInd w:val="0"/>
                    <w:snapToGrid w:val="0"/>
                    <w:spacing w:line="240" w:lineRule="auto"/>
                    <w:jc w:val="center"/>
                    <w:textAlignment w:val="auto"/>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950t/a</w:t>
                  </w:r>
                </w:p>
              </w:tc>
              <w:tc>
                <w:tcPr>
                  <w:tcW w:w="3104" w:type="dxa"/>
                  <w:tcBorders>
                    <w:tl2br w:val="nil"/>
                    <w:tr2bl w:val="nil"/>
                  </w:tcBorders>
                  <w:noWrap w:val="0"/>
                  <w:vAlign w:val="center"/>
                </w:tcPr>
                <w:p w14:paraId="680ECECC">
                  <w:pPr>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单个20kg/桶，根据甲方订购量进行打包成箱外售</w:t>
                  </w:r>
                </w:p>
              </w:tc>
            </w:tr>
            <w:tr w14:paraId="1692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68" w:type="dxa"/>
                  <w:tcBorders>
                    <w:tl2br w:val="nil"/>
                    <w:tr2bl w:val="nil"/>
                  </w:tcBorders>
                  <w:noWrap w:val="0"/>
                  <w:vAlign w:val="center"/>
                </w:tcPr>
                <w:p w14:paraId="5F5FD5BC">
                  <w:pPr>
                    <w:keepNext w:val="0"/>
                    <w:keepLines w:val="0"/>
                    <w:pageBreakBefore w:val="0"/>
                    <w:widowControl w:val="0"/>
                    <w:kinsoku/>
                    <w:overflowPunct/>
                    <w:autoSpaceDE/>
                    <w:autoSpaceDN/>
                    <w:bidi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w:t>
                  </w:r>
                </w:p>
              </w:tc>
              <w:tc>
                <w:tcPr>
                  <w:tcW w:w="2738" w:type="dxa"/>
                  <w:tcBorders>
                    <w:tl2br w:val="nil"/>
                    <w:tr2bl w:val="nil"/>
                  </w:tcBorders>
                  <w:noWrap w:val="0"/>
                  <w:vAlign w:val="center"/>
                </w:tcPr>
                <w:p w14:paraId="43D0CBD8">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u w:val="none"/>
                      <w:lang w:val="en-US" w:eastAsia="zh-CN"/>
                    </w:rPr>
                  </w:pPr>
                  <w:r>
                    <w:rPr>
                      <w:rFonts w:hint="eastAsia"/>
                      <w:color w:val="auto"/>
                      <w:szCs w:val="21"/>
                      <w:lang w:val="en-US" w:eastAsia="zh-CN"/>
                    </w:rPr>
                    <w:t>半固态复合调味料（油辣椒）</w:t>
                  </w:r>
                </w:p>
              </w:tc>
              <w:tc>
                <w:tcPr>
                  <w:tcW w:w="1408" w:type="dxa"/>
                  <w:tcBorders>
                    <w:tl2br w:val="nil"/>
                    <w:tr2bl w:val="nil"/>
                  </w:tcBorders>
                  <w:noWrap w:val="0"/>
                  <w:vAlign w:val="center"/>
                </w:tcPr>
                <w:p w14:paraId="3B2A4B34">
                  <w:pPr>
                    <w:keepNext w:val="0"/>
                    <w:keepLines w:val="0"/>
                    <w:pageBreakBefore w:val="0"/>
                    <w:widowControl w:val="0"/>
                    <w:kinsoku/>
                    <w:overflowPunct/>
                    <w:autoSpaceDE/>
                    <w:autoSpaceDN/>
                    <w:bidi w:val="0"/>
                    <w:adjustRightInd w:val="0"/>
                    <w:snapToGrid w:val="0"/>
                    <w:spacing w:line="240" w:lineRule="auto"/>
                    <w:jc w:val="center"/>
                    <w:textAlignment w:val="auto"/>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300t/a</w:t>
                  </w:r>
                </w:p>
              </w:tc>
              <w:tc>
                <w:tcPr>
                  <w:tcW w:w="3104" w:type="dxa"/>
                  <w:tcBorders>
                    <w:tl2br w:val="nil"/>
                    <w:tr2bl w:val="nil"/>
                  </w:tcBorders>
                  <w:noWrap w:val="0"/>
                  <w:vAlign w:val="center"/>
                </w:tcPr>
                <w:p w14:paraId="00F2A532">
                  <w:pPr>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单个170g/瓶，根据甲方订购量进行打包成箱外售</w:t>
                  </w:r>
                </w:p>
              </w:tc>
            </w:tr>
            <w:tr w14:paraId="0978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68" w:type="dxa"/>
                  <w:tcBorders>
                    <w:tl2br w:val="nil"/>
                    <w:tr2bl w:val="nil"/>
                  </w:tcBorders>
                  <w:noWrap w:val="0"/>
                  <w:vAlign w:val="center"/>
                </w:tcPr>
                <w:p w14:paraId="7F2AD406">
                  <w:pPr>
                    <w:keepNext w:val="0"/>
                    <w:keepLines w:val="0"/>
                    <w:pageBreakBefore w:val="0"/>
                    <w:widowControl w:val="0"/>
                    <w:kinsoku/>
                    <w:overflowPunct/>
                    <w:autoSpaceDE/>
                    <w:autoSpaceDN/>
                    <w:bidi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合计</w:t>
                  </w:r>
                </w:p>
              </w:tc>
              <w:tc>
                <w:tcPr>
                  <w:tcW w:w="2738" w:type="dxa"/>
                  <w:tcBorders>
                    <w:tl2br w:val="nil"/>
                    <w:tr2bl w:val="nil"/>
                  </w:tcBorders>
                  <w:noWrap w:val="0"/>
                  <w:vAlign w:val="center"/>
                </w:tcPr>
                <w:p w14:paraId="75A5EAF8">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生产产品</w:t>
                  </w:r>
                </w:p>
              </w:tc>
              <w:tc>
                <w:tcPr>
                  <w:tcW w:w="1408" w:type="dxa"/>
                  <w:tcBorders>
                    <w:tl2br w:val="nil"/>
                    <w:tr2bl w:val="nil"/>
                  </w:tcBorders>
                  <w:noWrap w:val="0"/>
                  <w:vAlign w:val="center"/>
                </w:tcPr>
                <w:p w14:paraId="1E9D70E1">
                  <w:pPr>
                    <w:keepNext w:val="0"/>
                    <w:keepLines w:val="0"/>
                    <w:pageBreakBefore w:val="0"/>
                    <w:widowControl w:val="0"/>
                    <w:kinsoku/>
                    <w:overflowPunct/>
                    <w:autoSpaceDE/>
                    <w:autoSpaceDN/>
                    <w:bidi w:val="0"/>
                    <w:adjustRightInd w:val="0"/>
                    <w:snapToGrid w:val="0"/>
                    <w:spacing w:line="240" w:lineRule="auto"/>
                    <w:jc w:val="center"/>
                    <w:textAlignment w:val="auto"/>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2000t/a</w:t>
                  </w:r>
                </w:p>
              </w:tc>
              <w:tc>
                <w:tcPr>
                  <w:tcW w:w="3104" w:type="dxa"/>
                  <w:tcBorders>
                    <w:tl2br w:val="nil"/>
                    <w:tr2bl w:val="nil"/>
                  </w:tcBorders>
                  <w:noWrap w:val="0"/>
                  <w:vAlign w:val="center"/>
                </w:tcPr>
                <w:p w14:paraId="58FA2D4D">
                  <w:pPr>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bl>
          <w:p w14:paraId="0A45FDA6">
            <w:pPr>
              <w:pStyle w:val="27"/>
              <w:keepNext w:val="0"/>
              <w:keepLines w:val="0"/>
              <w:pageBreakBefore w:val="0"/>
              <w:widowControl w:val="0"/>
              <w:kinsoku/>
              <w:wordWrap/>
              <w:overflowPunct/>
              <w:topLinePunct w:val="0"/>
              <w:bidi w:val="0"/>
              <w:snapToGrid/>
              <w:spacing w:line="500" w:lineRule="exact"/>
              <w:textAlignment w:val="auto"/>
              <w:rPr>
                <w:rFonts w:hint="default" w:ascii="Times New Roman" w:hAnsi="Times New Roman" w:eastAsia="宋体" w:cs="Times New Roman"/>
                <w:b/>
                <w:highlight w:val="none"/>
                <w:lang w:eastAsia="zh-CN"/>
              </w:rPr>
            </w:pPr>
            <w:r>
              <w:rPr>
                <w:rFonts w:hint="eastAsia" w:ascii="Times New Roman" w:hAnsi="Times New Roman" w:cs="Times New Roman"/>
                <w:b/>
                <w:highlight w:val="none"/>
                <w:lang w:val="en-US" w:eastAsia="zh-CN"/>
              </w:rPr>
              <w:t>4</w:t>
            </w:r>
            <w:r>
              <w:rPr>
                <w:rFonts w:hint="default" w:ascii="Times New Roman" w:hAnsi="Times New Roman" w:cs="Times New Roman"/>
                <w:b/>
                <w:highlight w:val="none"/>
              </w:rPr>
              <w:t>、原辅材料</w:t>
            </w:r>
            <w:r>
              <w:rPr>
                <w:rFonts w:hint="eastAsia" w:ascii="Times New Roman" w:hAnsi="Times New Roman" w:cs="Times New Roman"/>
                <w:b/>
                <w:highlight w:val="none"/>
                <w:lang w:val="en-US" w:eastAsia="zh-CN"/>
              </w:rPr>
              <w:t>及能源消耗</w:t>
            </w:r>
          </w:p>
          <w:p w14:paraId="5F763F3D">
            <w:pPr>
              <w:pStyle w:val="27"/>
              <w:keepNext w:val="0"/>
              <w:keepLines w:val="0"/>
              <w:pageBreakBefore w:val="0"/>
              <w:widowControl w:val="0"/>
              <w:kinsoku/>
              <w:wordWrap/>
              <w:overflowPunct/>
              <w:topLinePunct w:val="0"/>
              <w:bidi w:val="0"/>
              <w:snapToGrid/>
              <w:spacing w:line="500" w:lineRule="exact"/>
              <w:textAlignment w:val="auto"/>
              <w:rPr>
                <w:rFonts w:hint="eastAsia"/>
                <w:color w:val="000000"/>
                <w:kern w:val="0"/>
                <w:sz w:val="24"/>
              </w:rPr>
            </w:pPr>
            <w:r>
              <w:rPr>
                <w:rFonts w:hint="default" w:ascii="Times New Roman" w:hAnsi="Times New Roman" w:cs="Times New Roman"/>
                <w:lang w:eastAsia="zh-CN"/>
              </w:rPr>
              <w:t>（</w:t>
            </w:r>
            <w:r>
              <w:rPr>
                <w:rFonts w:hint="eastAsia" w:ascii="Times New Roman" w:hAnsi="Times New Roman" w:cs="Times New Roman"/>
                <w:lang w:val="en-US" w:eastAsia="zh-CN"/>
              </w:rPr>
              <w:t>1</w:t>
            </w:r>
            <w:r>
              <w:rPr>
                <w:rFonts w:hint="default" w:ascii="Times New Roman" w:hAnsi="Times New Roman" w:cs="Times New Roman"/>
                <w:lang w:eastAsia="zh-CN"/>
              </w:rPr>
              <w:t>）原辅材料</w:t>
            </w:r>
            <w:r>
              <w:rPr>
                <w:rFonts w:hint="eastAsia" w:ascii="Times New Roman" w:hAnsi="Times New Roman" w:cs="Times New Roman"/>
                <w:lang w:val="en-US" w:eastAsia="zh-CN"/>
              </w:rPr>
              <w:t>及能源用量</w:t>
            </w:r>
          </w:p>
          <w:p w14:paraId="2272B01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color w:val="000000"/>
                <w:kern w:val="0"/>
                <w:sz w:val="24"/>
              </w:rPr>
            </w:pPr>
            <w:r>
              <w:rPr>
                <w:rFonts w:hint="eastAsia"/>
                <w:color w:val="000000"/>
                <w:kern w:val="0"/>
                <w:sz w:val="24"/>
              </w:rPr>
              <w:t>本项目</w:t>
            </w:r>
            <w:r>
              <w:rPr>
                <w:color w:val="000000"/>
                <w:kern w:val="0"/>
                <w:sz w:val="24"/>
              </w:rPr>
              <w:t>主要原辅材料</w:t>
            </w:r>
            <w:r>
              <w:rPr>
                <w:rFonts w:hint="eastAsia"/>
                <w:color w:val="000000"/>
                <w:kern w:val="0"/>
                <w:sz w:val="24"/>
              </w:rPr>
              <w:t>及资源</w:t>
            </w:r>
            <w:r>
              <w:rPr>
                <w:color w:val="000000"/>
                <w:kern w:val="0"/>
                <w:sz w:val="24"/>
              </w:rPr>
              <w:t>能源消耗情况见表</w:t>
            </w:r>
            <w:r>
              <w:rPr>
                <w:rFonts w:hint="eastAsia"/>
                <w:color w:val="000000"/>
                <w:kern w:val="0"/>
                <w:sz w:val="24"/>
              </w:rPr>
              <w:t>2-</w:t>
            </w:r>
            <w:r>
              <w:rPr>
                <w:rFonts w:hint="eastAsia"/>
                <w:color w:val="000000"/>
                <w:kern w:val="0"/>
                <w:sz w:val="24"/>
                <w:lang w:val="en-US" w:eastAsia="zh-CN"/>
              </w:rPr>
              <w:t>3</w:t>
            </w:r>
            <w:r>
              <w:rPr>
                <w:rFonts w:hint="eastAsia"/>
                <w:color w:val="000000"/>
                <w:kern w:val="0"/>
                <w:sz w:val="24"/>
              </w:rPr>
              <w:t>。</w:t>
            </w:r>
          </w:p>
          <w:p w14:paraId="2753A90E">
            <w:pPr>
              <w:keepNext w:val="0"/>
              <w:keepLines w:val="0"/>
              <w:pageBreakBefore w:val="0"/>
              <w:widowControl w:val="0"/>
              <w:tabs>
                <w:tab w:val="left" w:pos="540"/>
              </w:tabs>
              <w:kinsoku/>
              <w:wordWrap/>
              <w:overflowPunct/>
              <w:topLinePunct w:val="0"/>
              <w:bidi w:val="0"/>
              <w:snapToGrid/>
              <w:spacing w:line="500" w:lineRule="exact"/>
              <w:jc w:val="center"/>
              <w:textAlignment w:val="auto"/>
              <w:rPr>
                <w:rFonts w:eastAsia="黑体"/>
                <w:color w:val="000000"/>
                <w:sz w:val="24"/>
                <w:highlight w:val="none"/>
              </w:rPr>
            </w:pPr>
            <w:r>
              <w:rPr>
                <w:rFonts w:eastAsia="黑体"/>
                <w:color w:val="000000"/>
                <w:sz w:val="24"/>
                <w:highlight w:val="none"/>
              </w:rPr>
              <w:t>表</w:t>
            </w:r>
            <w:r>
              <w:rPr>
                <w:rFonts w:hint="eastAsia" w:eastAsia="黑体"/>
                <w:color w:val="000000"/>
                <w:sz w:val="24"/>
                <w:highlight w:val="none"/>
              </w:rPr>
              <w:t>2-</w:t>
            </w:r>
            <w:r>
              <w:rPr>
                <w:rFonts w:hint="eastAsia" w:eastAsia="黑体"/>
                <w:color w:val="000000"/>
                <w:sz w:val="24"/>
                <w:highlight w:val="none"/>
                <w:lang w:val="en-US" w:eastAsia="zh-CN"/>
              </w:rPr>
              <w:t>3</w:t>
            </w:r>
            <w:r>
              <w:rPr>
                <w:rFonts w:eastAsia="黑体"/>
                <w:color w:val="000000"/>
                <w:sz w:val="24"/>
                <w:highlight w:val="none"/>
              </w:rPr>
              <w:t xml:space="preserve">  </w:t>
            </w:r>
            <w:r>
              <w:rPr>
                <w:rFonts w:hint="eastAsia" w:eastAsia="黑体"/>
                <w:color w:val="000000"/>
                <w:sz w:val="24"/>
                <w:highlight w:val="none"/>
              </w:rPr>
              <w:t>本项目</w:t>
            </w:r>
            <w:r>
              <w:rPr>
                <w:rFonts w:eastAsia="黑体"/>
                <w:color w:val="000000"/>
                <w:sz w:val="24"/>
                <w:highlight w:val="none"/>
              </w:rPr>
              <w:t>主要原辅材料</w:t>
            </w:r>
            <w:r>
              <w:rPr>
                <w:rFonts w:hint="eastAsia" w:eastAsia="黑体"/>
                <w:color w:val="000000"/>
                <w:sz w:val="24"/>
                <w:highlight w:val="none"/>
              </w:rPr>
              <w:t>及能源</w:t>
            </w:r>
            <w:r>
              <w:rPr>
                <w:rFonts w:eastAsia="黑体"/>
                <w:color w:val="000000"/>
                <w:sz w:val="24"/>
                <w:highlight w:val="none"/>
              </w:rPr>
              <w:t>消耗量一览表</w:t>
            </w:r>
          </w:p>
          <w:tbl>
            <w:tblPr>
              <w:tblStyle w:val="21"/>
              <w:tblW w:w="5006" w:type="pct"/>
              <w:tblInd w:w="-10" w:type="dxa"/>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Layout w:type="fixed"/>
              <w:tblCellMar>
                <w:top w:w="0" w:type="dxa"/>
                <w:left w:w="108" w:type="dxa"/>
                <w:bottom w:w="0" w:type="dxa"/>
                <w:right w:w="108" w:type="dxa"/>
              </w:tblCellMar>
            </w:tblPr>
            <w:tblGrid>
              <w:gridCol w:w="927"/>
              <w:gridCol w:w="1963"/>
              <w:gridCol w:w="1386"/>
              <w:gridCol w:w="1123"/>
              <w:gridCol w:w="2619"/>
            </w:tblGrid>
            <w:tr w14:paraId="4D6CA86F">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530" w:hRule="atLeast"/>
              </w:trPr>
              <w:tc>
                <w:tcPr>
                  <w:tcW w:w="578" w:type="pct"/>
                  <w:tcBorders>
                    <w:tl2br w:val="nil"/>
                    <w:tr2bl w:val="nil"/>
                  </w:tcBorders>
                  <w:noWrap w:val="0"/>
                  <w:vAlign w:val="center"/>
                </w:tcPr>
                <w:p w14:paraId="616E8926">
                  <w:pPr>
                    <w:jc w:val="center"/>
                    <w:rPr>
                      <w:rFonts w:hint="default" w:ascii="Times New Roman" w:hAnsi="Times New Roman" w:eastAsia="宋体" w:cs="Times New Roman"/>
                      <w:b/>
                      <w:bCs/>
                      <w:highlight w:val="none"/>
                      <w:lang w:val="en-US" w:eastAsia="zh-CN"/>
                    </w:rPr>
                  </w:pPr>
                  <w:r>
                    <w:rPr>
                      <w:rFonts w:hint="default" w:ascii="Times New Roman" w:hAnsi="Times New Roman" w:cs="Times New Roman"/>
                      <w:b/>
                      <w:bCs/>
                      <w:highlight w:val="none"/>
                      <w:lang w:val="en-US" w:eastAsia="zh-CN"/>
                    </w:rPr>
                    <w:t>种类</w:t>
                  </w:r>
                </w:p>
              </w:tc>
              <w:tc>
                <w:tcPr>
                  <w:tcW w:w="1224" w:type="pct"/>
                  <w:tcBorders>
                    <w:tl2br w:val="nil"/>
                    <w:tr2bl w:val="nil"/>
                  </w:tcBorders>
                  <w:noWrap w:val="0"/>
                  <w:vAlign w:val="center"/>
                </w:tcPr>
                <w:p w14:paraId="35A7B716">
                  <w:pPr>
                    <w:jc w:val="center"/>
                    <w:rPr>
                      <w:rFonts w:hint="default" w:ascii="Times New Roman" w:hAnsi="Times New Roman" w:cs="Times New Roman"/>
                      <w:b/>
                      <w:bCs/>
                    </w:rPr>
                  </w:pPr>
                  <w:r>
                    <w:rPr>
                      <w:rFonts w:hint="default" w:ascii="Times New Roman" w:hAnsi="Times New Roman" w:cs="Times New Roman"/>
                      <w:b/>
                      <w:bCs/>
                    </w:rPr>
                    <w:t>名称</w:t>
                  </w:r>
                </w:p>
              </w:tc>
              <w:tc>
                <w:tcPr>
                  <w:tcW w:w="864" w:type="pct"/>
                  <w:tcBorders>
                    <w:tl2br w:val="nil"/>
                    <w:tr2bl w:val="nil"/>
                  </w:tcBorders>
                  <w:noWrap w:val="0"/>
                  <w:vAlign w:val="center"/>
                </w:tcPr>
                <w:p w14:paraId="48DE3C0E">
                  <w:pPr>
                    <w:jc w:val="center"/>
                    <w:rPr>
                      <w:rFonts w:hint="default" w:ascii="Times New Roman" w:hAnsi="Times New Roman" w:cs="Times New Roman"/>
                      <w:b/>
                      <w:bCs/>
                    </w:rPr>
                  </w:pPr>
                  <w:r>
                    <w:rPr>
                      <w:rFonts w:hint="default" w:ascii="Times New Roman" w:hAnsi="Times New Roman" w:cs="Times New Roman"/>
                      <w:b/>
                      <w:bCs/>
                    </w:rPr>
                    <w:t>年用量</w:t>
                  </w:r>
                </w:p>
              </w:tc>
              <w:tc>
                <w:tcPr>
                  <w:tcW w:w="700" w:type="pct"/>
                  <w:tcBorders>
                    <w:tl2br w:val="nil"/>
                    <w:tr2bl w:val="nil"/>
                  </w:tcBorders>
                  <w:noWrap w:val="0"/>
                  <w:vAlign w:val="center"/>
                </w:tcPr>
                <w:p w14:paraId="62F1A6B1">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最大存</w:t>
                  </w:r>
                </w:p>
                <w:p w14:paraId="638FDC40">
                  <w:pPr>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储量</w:t>
                  </w:r>
                </w:p>
              </w:tc>
              <w:tc>
                <w:tcPr>
                  <w:tcW w:w="1633" w:type="pct"/>
                  <w:tcBorders>
                    <w:tl2br w:val="nil"/>
                    <w:tr2bl w:val="nil"/>
                  </w:tcBorders>
                  <w:noWrap w:val="0"/>
                  <w:vAlign w:val="center"/>
                </w:tcPr>
                <w:p w14:paraId="7F787A70">
                  <w:pPr>
                    <w:jc w:val="center"/>
                    <w:rPr>
                      <w:rFonts w:hint="default" w:ascii="Times New Roman" w:hAnsi="Times New Roman" w:eastAsia="宋体" w:cs="Times New Roman"/>
                      <w:b/>
                      <w:bCs/>
                      <w:lang w:val="en-US" w:eastAsia="zh-CN"/>
                    </w:rPr>
                  </w:pPr>
                  <w:r>
                    <w:rPr>
                      <w:rFonts w:hint="default" w:ascii="Times New Roman" w:hAnsi="Times New Roman" w:cs="Times New Roman"/>
                      <w:b/>
                      <w:bCs/>
                      <w:highlight w:val="none"/>
                      <w:lang w:val="en-US" w:eastAsia="zh-CN"/>
                    </w:rPr>
                    <w:t>备注</w:t>
                  </w:r>
                </w:p>
              </w:tc>
            </w:tr>
            <w:tr w14:paraId="445589FB">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62" w:hRule="atLeast"/>
              </w:trPr>
              <w:tc>
                <w:tcPr>
                  <w:tcW w:w="578" w:type="pct"/>
                  <w:vMerge w:val="restart"/>
                  <w:tcBorders>
                    <w:tl2br w:val="nil"/>
                    <w:tr2bl w:val="nil"/>
                  </w:tcBorders>
                  <w:shd w:val="clear" w:color="auto" w:fill="auto"/>
                  <w:noWrap w:val="0"/>
                  <w:vAlign w:val="center"/>
                </w:tcPr>
                <w:p w14:paraId="17ACE18C">
                  <w:pPr>
                    <w:adjustRightInd w:val="0"/>
                    <w:snapToGrid w:val="0"/>
                    <w:jc w:val="center"/>
                    <w:rPr>
                      <w:rFonts w:hint="default" w:ascii="Times New Roman" w:hAnsi="Times New Roman" w:eastAsia="宋体" w:cs="Times New Roman"/>
                      <w:b w:val="0"/>
                      <w:bCs w:val="0"/>
                      <w:highlight w:val="none"/>
                      <w:u w:val="none"/>
                      <w:lang w:val="en-US" w:eastAsia="zh-CN"/>
                    </w:rPr>
                  </w:pPr>
                  <w:r>
                    <w:rPr>
                      <w:rFonts w:hint="eastAsia" w:cs="Times New Roman"/>
                      <w:bCs/>
                      <w:color w:val="auto"/>
                      <w:szCs w:val="21"/>
                      <w:highlight w:val="none"/>
                      <w:lang w:val="en-US" w:eastAsia="zh-CN"/>
                    </w:rPr>
                    <w:t>牛骨高汤原料</w:t>
                  </w:r>
                </w:p>
              </w:tc>
              <w:tc>
                <w:tcPr>
                  <w:tcW w:w="1224" w:type="pct"/>
                  <w:tcBorders>
                    <w:tl2br w:val="nil"/>
                    <w:tr2bl w:val="nil"/>
                  </w:tcBorders>
                  <w:shd w:val="clear" w:color="auto" w:fill="auto"/>
                  <w:noWrap w:val="0"/>
                  <w:vAlign w:val="center"/>
                </w:tcPr>
                <w:p w14:paraId="1AEDDB94">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牛骨</w:t>
                  </w:r>
                </w:p>
              </w:tc>
              <w:tc>
                <w:tcPr>
                  <w:tcW w:w="864" w:type="pct"/>
                  <w:tcBorders>
                    <w:tl2br w:val="nil"/>
                    <w:tr2bl w:val="nil"/>
                  </w:tcBorders>
                  <w:noWrap w:val="0"/>
                  <w:vAlign w:val="center"/>
                </w:tcPr>
                <w:p w14:paraId="44DE3556">
                  <w:pPr>
                    <w:jc w:val="center"/>
                    <w:rPr>
                      <w:rFonts w:hint="default" w:ascii="Times New Roman" w:hAnsi="Times New Roman" w:eastAsia="宋体" w:cs="Times New Roman"/>
                      <w:b w:val="0"/>
                      <w:bCs w:val="0"/>
                      <w:lang w:val="en-US" w:eastAsia="zh-CN"/>
                    </w:rPr>
                  </w:pPr>
                  <w:r>
                    <w:rPr>
                      <w:rFonts w:hint="eastAsia" w:cs="Times New Roman"/>
                      <w:b w:val="0"/>
                      <w:bCs w:val="0"/>
                      <w:lang w:val="en-US" w:eastAsia="zh-CN"/>
                    </w:rPr>
                    <w:t>416</w:t>
                  </w:r>
                  <w:r>
                    <w:rPr>
                      <w:rFonts w:hint="default" w:ascii="Times New Roman" w:hAnsi="Times New Roman" w:cs="Times New Roman"/>
                      <w:b w:val="0"/>
                      <w:bCs w:val="0"/>
                      <w:lang w:val="en-US" w:eastAsia="zh-CN"/>
                    </w:rPr>
                    <w:t>t/a</w:t>
                  </w:r>
                </w:p>
              </w:tc>
              <w:tc>
                <w:tcPr>
                  <w:tcW w:w="700" w:type="pct"/>
                  <w:tcBorders>
                    <w:tl2br w:val="nil"/>
                    <w:tr2bl w:val="nil"/>
                  </w:tcBorders>
                  <w:noWrap w:val="0"/>
                  <w:vAlign w:val="center"/>
                </w:tcPr>
                <w:p w14:paraId="562D209C">
                  <w:pPr>
                    <w:jc w:val="center"/>
                    <w:rPr>
                      <w:rFonts w:hint="default" w:ascii="Times New Roman" w:hAnsi="Times New Roman" w:eastAsia="宋体" w:cs="Times New Roman"/>
                      <w:b w:val="0"/>
                      <w:bCs w:val="0"/>
                      <w:kern w:val="2"/>
                      <w:sz w:val="21"/>
                      <w:szCs w:val="21"/>
                      <w:lang w:val="en-US" w:eastAsia="zh-CN" w:bidi="ar-SA"/>
                    </w:rPr>
                  </w:pPr>
                  <w:r>
                    <w:rPr>
                      <w:rFonts w:hint="eastAsia" w:cs="Times New Roman"/>
                      <w:color w:val="auto"/>
                      <w:szCs w:val="21"/>
                      <w:lang w:val="en-US" w:eastAsia="zh-CN"/>
                    </w:rPr>
                    <w:t>35</w:t>
                  </w:r>
                  <w:r>
                    <w:rPr>
                      <w:rFonts w:hint="default" w:ascii="Times New Roman" w:hAnsi="Times New Roman" w:eastAsia="宋体" w:cs="Times New Roman"/>
                      <w:color w:val="auto"/>
                      <w:szCs w:val="21"/>
                      <w:lang w:val="en-US" w:eastAsia="zh-CN"/>
                    </w:rPr>
                    <w:t>吨</w:t>
                  </w:r>
                </w:p>
              </w:tc>
              <w:tc>
                <w:tcPr>
                  <w:tcW w:w="1633" w:type="pct"/>
                  <w:tcBorders>
                    <w:tl2br w:val="nil"/>
                    <w:tr2bl w:val="nil"/>
                  </w:tcBorders>
                  <w:shd w:val="clear" w:color="auto" w:fill="auto"/>
                  <w:noWrap w:val="0"/>
                  <w:vAlign w:val="center"/>
                </w:tcPr>
                <w:p w14:paraId="0500313B">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外购，真空密封包装储存，50kg/袋，-18℃冷库储存</w:t>
                  </w:r>
                </w:p>
              </w:tc>
            </w:tr>
            <w:tr w14:paraId="69787AAC">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423" w:hRule="atLeast"/>
              </w:trPr>
              <w:tc>
                <w:tcPr>
                  <w:tcW w:w="578" w:type="pct"/>
                  <w:vMerge w:val="continue"/>
                  <w:tcBorders>
                    <w:tl2br w:val="nil"/>
                    <w:tr2bl w:val="nil"/>
                  </w:tcBorders>
                  <w:noWrap w:val="0"/>
                  <w:vAlign w:val="center"/>
                </w:tcPr>
                <w:p w14:paraId="45725DD1">
                  <w:pPr>
                    <w:jc w:val="center"/>
                    <w:rPr>
                      <w:rFonts w:hint="default" w:ascii="Times New Roman" w:hAnsi="Times New Roman" w:eastAsia="宋体" w:cs="Times New Roman"/>
                      <w:b w:val="0"/>
                      <w:bCs w:val="0"/>
                      <w:highlight w:val="none"/>
                      <w:u w:val="none"/>
                      <w:lang w:eastAsia="zh-CN"/>
                    </w:rPr>
                  </w:pPr>
                </w:p>
              </w:tc>
              <w:tc>
                <w:tcPr>
                  <w:tcW w:w="1224" w:type="pct"/>
                  <w:tcBorders>
                    <w:tl2br w:val="nil"/>
                    <w:tr2bl w:val="nil"/>
                  </w:tcBorders>
                  <w:shd w:val="clear" w:color="auto" w:fill="auto"/>
                  <w:noWrap w:val="0"/>
                  <w:vAlign w:val="center"/>
                </w:tcPr>
                <w:p w14:paraId="29822BAA">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牛油</w:t>
                  </w:r>
                </w:p>
              </w:tc>
              <w:tc>
                <w:tcPr>
                  <w:tcW w:w="864" w:type="pct"/>
                  <w:tcBorders>
                    <w:tl2br w:val="nil"/>
                    <w:tr2bl w:val="nil"/>
                  </w:tcBorders>
                  <w:noWrap w:val="0"/>
                  <w:vAlign w:val="center"/>
                </w:tcPr>
                <w:p w14:paraId="4812BE03">
                  <w:pPr>
                    <w:jc w:val="center"/>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100</w:t>
                  </w:r>
                  <w:r>
                    <w:rPr>
                      <w:rFonts w:hint="default" w:ascii="Times New Roman" w:hAnsi="Times New Roman" w:cs="Times New Roman"/>
                      <w:b w:val="0"/>
                      <w:bCs w:val="0"/>
                      <w:u w:val="none"/>
                      <w:lang w:val="en-US" w:eastAsia="zh-CN"/>
                    </w:rPr>
                    <w:t>t/a</w:t>
                  </w:r>
                </w:p>
              </w:tc>
              <w:tc>
                <w:tcPr>
                  <w:tcW w:w="700" w:type="pct"/>
                  <w:tcBorders>
                    <w:tl2br w:val="nil"/>
                    <w:tr2bl w:val="nil"/>
                  </w:tcBorders>
                  <w:noWrap w:val="0"/>
                  <w:vAlign w:val="center"/>
                </w:tcPr>
                <w:p w14:paraId="67BE835D">
                  <w:pPr>
                    <w:jc w:val="center"/>
                    <w:rPr>
                      <w:rFonts w:hint="default" w:ascii="Times New Roman" w:hAnsi="Times New Roman" w:eastAsia="宋体" w:cs="Times New Roman"/>
                      <w:b w:val="0"/>
                      <w:bCs w:val="0"/>
                      <w:kern w:val="2"/>
                      <w:sz w:val="21"/>
                      <w:szCs w:val="21"/>
                      <w:u w:val="single"/>
                      <w:lang w:val="en-US" w:eastAsia="zh-CN" w:bidi="ar-SA"/>
                    </w:rPr>
                  </w:pPr>
                  <w:r>
                    <w:rPr>
                      <w:rFonts w:hint="eastAsia" w:cs="Times New Roman"/>
                      <w:color w:val="auto"/>
                      <w:szCs w:val="21"/>
                      <w:lang w:val="en-US" w:eastAsia="zh-CN"/>
                    </w:rPr>
                    <w:t>10</w:t>
                  </w:r>
                  <w:r>
                    <w:rPr>
                      <w:rFonts w:hint="default" w:ascii="Times New Roman" w:hAnsi="Times New Roman" w:eastAsia="宋体" w:cs="Times New Roman"/>
                      <w:color w:val="auto"/>
                      <w:szCs w:val="21"/>
                      <w:lang w:val="en-US" w:eastAsia="zh-CN"/>
                    </w:rPr>
                    <w:t>吨</w:t>
                  </w:r>
                </w:p>
              </w:tc>
              <w:tc>
                <w:tcPr>
                  <w:tcW w:w="1633" w:type="pct"/>
                  <w:tcBorders>
                    <w:tl2br w:val="nil"/>
                    <w:tr2bl w:val="nil"/>
                  </w:tcBorders>
                  <w:shd w:val="clear" w:color="auto" w:fill="auto"/>
                  <w:noWrap w:val="0"/>
                  <w:vAlign w:val="center"/>
                </w:tcPr>
                <w:p w14:paraId="22EB490D">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外购，真空密封包装储存，30kg/袋，-18℃冷库储存</w:t>
                  </w:r>
                </w:p>
              </w:tc>
            </w:tr>
            <w:tr w14:paraId="6FDCDCD1">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96" w:hRule="atLeast"/>
              </w:trPr>
              <w:tc>
                <w:tcPr>
                  <w:tcW w:w="578" w:type="pct"/>
                  <w:vMerge w:val="continue"/>
                  <w:tcBorders>
                    <w:tl2br w:val="nil"/>
                    <w:tr2bl w:val="nil"/>
                  </w:tcBorders>
                  <w:noWrap w:val="0"/>
                  <w:vAlign w:val="center"/>
                </w:tcPr>
                <w:p w14:paraId="0AD30356">
                  <w:pPr>
                    <w:jc w:val="center"/>
                    <w:rPr>
                      <w:rFonts w:hint="default" w:ascii="Times New Roman" w:hAnsi="Times New Roman" w:cs="Times New Roman"/>
                      <w:b w:val="0"/>
                      <w:bCs w:val="0"/>
                      <w:highlight w:val="none"/>
                      <w:u w:val="none"/>
                      <w:lang w:val="en-US" w:eastAsia="zh-CN"/>
                    </w:rPr>
                  </w:pPr>
                </w:p>
              </w:tc>
              <w:tc>
                <w:tcPr>
                  <w:tcW w:w="1224" w:type="pct"/>
                  <w:tcBorders>
                    <w:tl2br w:val="nil"/>
                    <w:tr2bl w:val="nil"/>
                  </w:tcBorders>
                  <w:shd w:val="clear" w:color="auto" w:fill="auto"/>
                  <w:noWrap w:val="0"/>
                  <w:vAlign w:val="center"/>
                </w:tcPr>
                <w:p w14:paraId="5AB715F2">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麦芽糊精</w:t>
                  </w:r>
                </w:p>
              </w:tc>
              <w:tc>
                <w:tcPr>
                  <w:tcW w:w="864" w:type="pct"/>
                  <w:tcBorders>
                    <w:tl2br w:val="nil"/>
                    <w:tr2bl w:val="nil"/>
                  </w:tcBorders>
                  <w:noWrap w:val="0"/>
                  <w:vAlign w:val="center"/>
                </w:tcPr>
                <w:p w14:paraId="04F4076B">
                  <w:pPr>
                    <w:jc w:val="center"/>
                    <w:rPr>
                      <w:rFonts w:hint="default" w:ascii="Times New Roman" w:hAnsi="Times New Roman" w:cs="Times New Roman"/>
                      <w:b w:val="0"/>
                      <w:bCs w:val="0"/>
                      <w:u w:val="none"/>
                      <w:lang w:val="en-US" w:eastAsia="zh-CN"/>
                    </w:rPr>
                  </w:pPr>
                  <w:r>
                    <w:rPr>
                      <w:rFonts w:hint="eastAsia" w:cs="Times New Roman"/>
                      <w:b w:val="0"/>
                      <w:bCs w:val="0"/>
                      <w:u w:val="none"/>
                      <w:lang w:val="en-US" w:eastAsia="zh-CN"/>
                    </w:rPr>
                    <w:t>30</w:t>
                  </w:r>
                  <w:r>
                    <w:rPr>
                      <w:rFonts w:hint="default" w:ascii="Times New Roman" w:hAnsi="Times New Roman" w:cs="Times New Roman"/>
                      <w:b w:val="0"/>
                      <w:bCs w:val="0"/>
                      <w:u w:val="none"/>
                      <w:lang w:val="en-US" w:eastAsia="zh-CN"/>
                    </w:rPr>
                    <w:t>t/a</w:t>
                  </w:r>
                </w:p>
              </w:tc>
              <w:tc>
                <w:tcPr>
                  <w:tcW w:w="700" w:type="pct"/>
                  <w:tcBorders>
                    <w:tl2br w:val="nil"/>
                    <w:tr2bl w:val="nil"/>
                  </w:tcBorders>
                  <w:noWrap w:val="0"/>
                  <w:vAlign w:val="center"/>
                </w:tcPr>
                <w:p w14:paraId="3E9236DB">
                  <w:pPr>
                    <w:jc w:val="center"/>
                    <w:rPr>
                      <w:rFonts w:hint="default" w:ascii="Times New Roman" w:hAnsi="Times New Roman" w:eastAsia="宋体" w:cs="Times New Roman"/>
                      <w:b w:val="0"/>
                      <w:bCs w:val="0"/>
                      <w:kern w:val="2"/>
                      <w:sz w:val="21"/>
                      <w:szCs w:val="21"/>
                      <w:u w:val="single"/>
                      <w:lang w:val="en-US" w:eastAsia="zh-CN" w:bidi="ar-SA"/>
                    </w:rPr>
                  </w:pPr>
                  <w:r>
                    <w:rPr>
                      <w:rFonts w:hint="eastAsia" w:cs="Times New Roman"/>
                      <w:color w:val="auto"/>
                      <w:szCs w:val="21"/>
                      <w:lang w:val="en-US" w:eastAsia="zh-CN"/>
                    </w:rPr>
                    <w:t>2.5</w:t>
                  </w:r>
                  <w:r>
                    <w:rPr>
                      <w:rFonts w:hint="default" w:ascii="Times New Roman" w:hAnsi="Times New Roman" w:eastAsia="宋体" w:cs="Times New Roman"/>
                      <w:color w:val="auto"/>
                      <w:szCs w:val="21"/>
                      <w:lang w:val="en-US" w:eastAsia="zh-CN"/>
                    </w:rPr>
                    <w:t>吨</w:t>
                  </w:r>
                </w:p>
              </w:tc>
              <w:tc>
                <w:tcPr>
                  <w:tcW w:w="1633" w:type="pct"/>
                  <w:vMerge w:val="restart"/>
                  <w:tcBorders>
                    <w:tl2br w:val="nil"/>
                    <w:tr2bl w:val="nil"/>
                  </w:tcBorders>
                  <w:shd w:val="clear" w:color="auto" w:fill="auto"/>
                  <w:noWrap w:val="0"/>
                  <w:vAlign w:val="center"/>
                </w:tcPr>
                <w:p w14:paraId="2462D40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外购，密封袋包装，20kg/袋、常温储存</w:t>
                  </w:r>
                </w:p>
              </w:tc>
            </w:tr>
            <w:tr w14:paraId="7ABAA187">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415" w:hRule="atLeast"/>
              </w:trPr>
              <w:tc>
                <w:tcPr>
                  <w:tcW w:w="578" w:type="pct"/>
                  <w:vMerge w:val="continue"/>
                  <w:tcBorders>
                    <w:tl2br w:val="nil"/>
                    <w:tr2bl w:val="nil"/>
                  </w:tcBorders>
                  <w:noWrap w:val="0"/>
                  <w:vAlign w:val="center"/>
                </w:tcPr>
                <w:p w14:paraId="7356EB19">
                  <w:pPr>
                    <w:jc w:val="center"/>
                    <w:rPr>
                      <w:rFonts w:hint="default" w:ascii="Times New Roman" w:hAnsi="Times New Roman" w:eastAsia="宋体" w:cs="Times New Roman"/>
                      <w:b w:val="0"/>
                      <w:bCs w:val="0"/>
                      <w:highlight w:val="none"/>
                      <w:u w:val="none"/>
                      <w:lang w:val="en-US" w:eastAsia="zh-CN"/>
                    </w:rPr>
                  </w:pPr>
                </w:p>
              </w:tc>
              <w:tc>
                <w:tcPr>
                  <w:tcW w:w="1224" w:type="pct"/>
                  <w:tcBorders>
                    <w:tl2br w:val="nil"/>
                    <w:tr2bl w:val="nil"/>
                  </w:tcBorders>
                  <w:shd w:val="clear" w:color="auto" w:fill="auto"/>
                  <w:noWrap w:val="0"/>
                  <w:vAlign w:val="center"/>
                </w:tcPr>
                <w:p w14:paraId="6795BC38">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食用玉米淀粉</w:t>
                  </w:r>
                </w:p>
              </w:tc>
              <w:tc>
                <w:tcPr>
                  <w:tcW w:w="864" w:type="pct"/>
                  <w:tcBorders>
                    <w:tl2br w:val="nil"/>
                    <w:tr2bl w:val="nil"/>
                  </w:tcBorders>
                  <w:noWrap w:val="0"/>
                  <w:vAlign w:val="center"/>
                </w:tcPr>
                <w:p w14:paraId="610A4EE6">
                  <w:pPr>
                    <w:jc w:val="center"/>
                    <w:rPr>
                      <w:rFonts w:hint="default" w:ascii="Times New Roman" w:hAnsi="Times New Roman" w:cs="Times New Roman"/>
                      <w:b w:val="0"/>
                      <w:bCs w:val="0"/>
                      <w:u w:val="none"/>
                      <w:lang w:val="en-US" w:eastAsia="zh-CN"/>
                    </w:rPr>
                  </w:pPr>
                  <w:r>
                    <w:rPr>
                      <w:rFonts w:hint="eastAsia" w:cs="Times New Roman"/>
                      <w:b w:val="0"/>
                      <w:bCs w:val="0"/>
                      <w:u w:val="none"/>
                      <w:lang w:val="en-US" w:eastAsia="zh-CN"/>
                    </w:rPr>
                    <w:t>15</w:t>
                  </w:r>
                  <w:r>
                    <w:rPr>
                      <w:rFonts w:hint="default" w:ascii="Times New Roman" w:hAnsi="Times New Roman" w:cs="Times New Roman"/>
                      <w:b w:val="0"/>
                      <w:bCs w:val="0"/>
                      <w:u w:val="none"/>
                      <w:lang w:val="en-US" w:eastAsia="zh-CN"/>
                    </w:rPr>
                    <w:t>t/a</w:t>
                  </w:r>
                </w:p>
              </w:tc>
              <w:tc>
                <w:tcPr>
                  <w:tcW w:w="700" w:type="pct"/>
                  <w:tcBorders>
                    <w:tl2br w:val="nil"/>
                    <w:tr2bl w:val="nil"/>
                  </w:tcBorders>
                  <w:noWrap w:val="0"/>
                  <w:vAlign w:val="center"/>
                </w:tcPr>
                <w:p w14:paraId="734797E2">
                  <w:pPr>
                    <w:jc w:val="center"/>
                    <w:rPr>
                      <w:rFonts w:hint="default" w:ascii="Times New Roman" w:hAnsi="Times New Roman" w:eastAsia="宋体" w:cs="Times New Roman"/>
                      <w:b w:val="0"/>
                      <w:bCs w:val="0"/>
                      <w:kern w:val="2"/>
                      <w:sz w:val="21"/>
                      <w:szCs w:val="21"/>
                      <w:lang w:val="en-US" w:eastAsia="zh-CN" w:bidi="ar-SA"/>
                    </w:rPr>
                  </w:pPr>
                  <w:r>
                    <w:rPr>
                      <w:rFonts w:hint="eastAsia" w:cs="Times New Roman"/>
                      <w:color w:val="auto"/>
                      <w:szCs w:val="21"/>
                      <w:lang w:val="en-US" w:eastAsia="zh-CN"/>
                    </w:rPr>
                    <w:t>1.3</w:t>
                  </w:r>
                  <w:r>
                    <w:rPr>
                      <w:rFonts w:hint="default" w:ascii="Times New Roman" w:hAnsi="Times New Roman" w:eastAsia="宋体" w:cs="Times New Roman"/>
                      <w:color w:val="auto"/>
                      <w:szCs w:val="21"/>
                      <w:lang w:val="en-US" w:eastAsia="zh-CN"/>
                    </w:rPr>
                    <w:t>吨</w:t>
                  </w:r>
                </w:p>
              </w:tc>
              <w:tc>
                <w:tcPr>
                  <w:tcW w:w="1633" w:type="pct"/>
                  <w:vMerge w:val="continue"/>
                  <w:tcBorders>
                    <w:tl2br w:val="nil"/>
                    <w:tr2bl w:val="nil"/>
                  </w:tcBorders>
                  <w:shd w:val="clear" w:color="auto" w:fill="auto"/>
                  <w:noWrap w:val="0"/>
                  <w:vAlign w:val="center"/>
                </w:tcPr>
                <w:p w14:paraId="3D530A10">
                  <w:pPr>
                    <w:adjustRightInd w:val="0"/>
                    <w:snapToGrid w:val="0"/>
                    <w:jc w:val="center"/>
                    <w:rPr>
                      <w:rFonts w:hint="default" w:ascii="Times New Roman" w:hAnsi="Times New Roman" w:eastAsia="宋体" w:cs="Times New Roman"/>
                      <w:bCs/>
                      <w:color w:val="auto"/>
                      <w:kern w:val="2"/>
                      <w:sz w:val="21"/>
                      <w:szCs w:val="21"/>
                      <w:lang w:val="en-US" w:eastAsia="zh-CN" w:bidi="ar-SA"/>
                    </w:rPr>
                  </w:pPr>
                </w:p>
              </w:tc>
            </w:tr>
            <w:tr w14:paraId="43F242FF">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96" w:hRule="atLeast"/>
              </w:trPr>
              <w:tc>
                <w:tcPr>
                  <w:tcW w:w="578" w:type="pct"/>
                  <w:vMerge w:val="restart"/>
                  <w:tcBorders>
                    <w:tl2br w:val="nil"/>
                    <w:tr2bl w:val="nil"/>
                  </w:tcBorders>
                  <w:noWrap w:val="0"/>
                  <w:vAlign w:val="center"/>
                </w:tcPr>
                <w:p w14:paraId="7ADFC6E2">
                  <w:pPr>
                    <w:jc w:val="center"/>
                    <w:rPr>
                      <w:rFonts w:hint="default" w:ascii="Times New Roman" w:hAnsi="Times New Roman" w:cs="Times New Roman"/>
                      <w:b w:val="0"/>
                      <w:bCs w:val="0"/>
                      <w:highlight w:val="none"/>
                      <w:lang w:val="en-US" w:eastAsia="zh-CN"/>
                    </w:rPr>
                  </w:pPr>
                  <w:r>
                    <w:rPr>
                      <w:rFonts w:hint="eastAsia" w:cs="Times New Roman"/>
                      <w:b w:val="0"/>
                      <w:bCs w:val="0"/>
                      <w:highlight w:val="none"/>
                      <w:lang w:val="en-US" w:eastAsia="zh-CN"/>
                    </w:rPr>
                    <w:t>辣椒制品原料</w:t>
                  </w:r>
                </w:p>
              </w:tc>
              <w:tc>
                <w:tcPr>
                  <w:tcW w:w="1224" w:type="pct"/>
                  <w:tcBorders>
                    <w:tl2br w:val="nil"/>
                    <w:tr2bl w:val="nil"/>
                  </w:tcBorders>
                  <w:noWrap w:val="0"/>
                  <w:vAlign w:val="center"/>
                </w:tcPr>
                <w:p w14:paraId="057EC5CB">
                  <w:pPr>
                    <w:jc w:val="center"/>
                    <w:rPr>
                      <w:rFonts w:hint="default" w:ascii="Times New Roman" w:hAnsi="Times New Roman" w:cs="Times New Roman"/>
                      <w:b w:val="0"/>
                      <w:bCs w:val="0"/>
                      <w:highlight w:val="none"/>
                      <w:u w:val="none"/>
                      <w:lang w:val="en-US" w:eastAsia="zh-CN"/>
                    </w:rPr>
                  </w:pPr>
                  <w:r>
                    <w:rPr>
                      <w:rFonts w:hint="eastAsia" w:cs="Times New Roman"/>
                      <w:b w:val="0"/>
                      <w:bCs w:val="0"/>
                      <w:highlight w:val="none"/>
                      <w:u w:val="none"/>
                      <w:lang w:val="en-US" w:eastAsia="zh-CN"/>
                    </w:rPr>
                    <w:t>辣椒</w:t>
                  </w:r>
                </w:p>
              </w:tc>
              <w:tc>
                <w:tcPr>
                  <w:tcW w:w="864" w:type="pct"/>
                  <w:tcBorders>
                    <w:tl2br w:val="nil"/>
                    <w:tr2bl w:val="nil"/>
                  </w:tcBorders>
                  <w:noWrap w:val="0"/>
                  <w:vAlign w:val="center"/>
                </w:tcPr>
                <w:p w14:paraId="7B6CC5CC">
                  <w:pPr>
                    <w:jc w:val="center"/>
                    <w:rPr>
                      <w:rFonts w:hint="default" w:ascii="Times New Roman" w:hAnsi="Times New Roman" w:cs="Times New Roman"/>
                      <w:b w:val="0"/>
                      <w:bCs w:val="0"/>
                      <w:highlight w:val="none"/>
                      <w:u w:val="none"/>
                      <w:lang w:val="en-US" w:eastAsia="zh-CN"/>
                    </w:rPr>
                  </w:pPr>
                  <w:r>
                    <w:rPr>
                      <w:rFonts w:hint="eastAsia" w:cs="Times New Roman"/>
                      <w:b w:val="0"/>
                      <w:bCs w:val="0"/>
                      <w:highlight w:val="none"/>
                      <w:u w:val="none"/>
                      <w:lang w:val="en-US" w:eastAsia="zh-CN"/>
                    </w:rPr>
                    <w:t>1000</w:t>
                  </w:r>
                  <w:r>
                    <w:rPr>
                      <w:rFonts w:hint="default" w:ascii="Times New Roman" w:hAnsi="Times New Roman" w:cs="Times New Roman"/>
                      <w:b w:val="0"/>
                      <w:bCs w:val="0"/>
                      <w:highlight w:val="none"/>
                      <w:u w:val="none"/>
                      <w:lang w:val="en-US" w:eastAsia="zh-CN"/>
                    </w:rPr>
                    <w:t>t/a</w:t>
                  </w:r>
                </w:p>
              </w:tc>
              <w:tc>
                <w:tcPr>
                  <w:tcW w:w="700" w:type="pct"/>
                  <w:tcBorders>
                    <w:tl2br w:val="nil"/>
                    <w:tr2bl w:val="nil"/>
                  </w:tcBorders>
                  <w:noWrap w:val="0"/>
                  <w:vAlign w:val="center"/>
                </w:tcPr>
                <w:p w14:paraId="0F8FCAD7">
                  <w:pPr>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color w:val="auto"/>
                      <w:szCs w:val="21"/>
                      <w:highlight w:val="none"/>
                      <w:lang w:val="en-US" w:eastAsia="zh-CN"/>
                    </w:rPr>
                    <w:t>80</w:t>
                  </w:r>
                  <w:r>
                    <w:rPr>
                      <w:rFonts w:hint="default" w:ascii="Times New Roman" w:hAnsi="Times New Roman" w:eastAsia="宋体" w:cs="Times New Roman"/>
                      <w:color w:val="auto"/>
                      <w:szCs w:val="21"/>
                      <w:highlight w:val="none"/>
                      <w:lang w:val="en-US" w:eastAsia="zh-CN"/>
                    </w:rPr>
                    <w:t>吨</w:t>
                  </w:r>
                </w:p>
              </w:tc>
              <w:tc>
                <w:tcPr>
                  <w:tcW w:w="1633" w:type="pct"/>
                  <w:tcBorders>
                    <w:tl2br w:val="nil"/>
                    <w:tr2bl w:val="nil"/>
                  </w:tcBorders>
                  <w:noWrap w:val="0"/>
                  <w:vAlign w:val="center"/>
                </w:tcPr>
                <w:p w14:paraId="2901A676">
                  <w:pPr>
                    <w:jc w:val="center"/>
                    <w:rPr>
                      <w:rFonts w:hint="default" w:ascii="Times New Roman" w:hAnsi="Times New Roman" w:cs="Times New Roman"/>
                      <w:b w:val="0"/>
                      <w:bCs w:val="0"/>
                      <w:lang w:val="en-US" w:eastAsia="zh-CN"/>
                    </w:rPr>
                  </w:pPr>
                  <w:r>
                    <w:rPr>
                      <w:rFonts w:hint="eastAsia" w:cs="Times New Roman"/>
                      <w:bCs/>
                      <w:color w:val="auto"/>
                      <w:szCs w:val="21"/>
                      <w:lang w:val="en-US" w:eastAsia="zh-CN"/>
                    </w:rPr>
                    <w:t>外购，透气编制袋包装，50kg/袋，常温储存</w:t>
                  </w:r>
                </w:p>
              </w:tc>
            </w:tr>
            <w:tr w14:paraId="4F51EF41">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96" w:hRule="atLeast"/>
              </w:trPr>
              <w:tc>
                <w:tcPr>
                  <w:tcW w:w="578" w:type="pct"/>
                  <w:vMerge w:val="continue"/>
                  <w:tcBorders>
                    <w:tl2br w:val="nil"/>
                    <w:tr2bl w:val="nil"/>
                  </w:tcBorders>
                  <w:noWrap w:val="0"/>
                  <w:vAlign w:val="center"/>
                </w:tcPr>
                <w:p w14:paraId="00728763">
                  <w:pPr>
                    <w:jc w:val="center"/>
                    <w:rPr>
                      <w:rFonts w:hint="default" w:ascii="Times New Roman" w:hAnsi="Times New Roman" w:cs="Times New Roman"/>
                      <w:b w:val="0"/>
                      <w:bCs w:val="0"/>
                      <w:lang w:val="en-US" w:eastAsia="zh-CN"/>
                    </w:rPr>
                  </w:pPr>
                </w:p>
              </w:tc>
              <w:tc>
                <w:tcPr>
                  <w:tcW w:w="1224" w:type="pct"/>
                  <w:tcBorders>
                    <w:tl2br w:val="nil"/>
                    <w:tr2bl w:val="nil"/>
                  </w:tcBorders>
                  <w:noWrap w:val="0"/>
                  <w:vAlign w:val="center"/>
                </w:tcPr>
                <w:p w14:paraId="23FD1DFD">
                  <w:pPr>
                    <w:jc w:val="center"/>
                    <w:rPr>
                      <w:rFonts w:hint="default" w:ascii="Times New Roman" w:hAnsi="Times New Roman" w:cs="Times New Roman"/>
                      <w:b w:val="0"/>
                      <w:bCs w:val="0"/>
                      <w:highlight w:val="none"/>
                      <w:u w:val="none"/>
                      <w:lang w:val="en-US" w:eastAsia="zh-CN"/>
                    </w:rPr>
                  </w:pPr>
                  <w:r>
                    <w:rPr>
                      <w:rFonts w:hint="eastAsia" w:cs="Times New Roman"/>
                      <w:b w:val="0"/>
                      <w:bCs w:val="0"/>
                      <w:highlight w:val="none"/>
                      <w:u w:val="none"/>
                      <w:lang w:val="en-US" w:eastAsia="zh-CN"/>
                    </w:rPr>
                    <w:t>食用油</w:t>
                  </w:r>
                </w:p>
              </w:tc>
              <w:tc>
                <w:tcPr>
                  <w:tcW w:w="864" w:type="pct"/>
                  <w:tcBorders>
                    <w:tl2br w:val="nil"/>
                    <w:tr2bl w:val="nil"/>
                  </w:tcBorders>
                  <w:noWrap w:val="0"/>
                  <w:vAlign w:val="center"/>
                </w:tcPr>
                <w:p w14:paraId="76EDB7C7">
                  <w:pPr>
                    <w:jc w:val="center"/>
                    <w:rPr>
                      <w:rFonts w:hint="default" w:ascii="Times New Roman" w:hAnsi="Times New Roman" w:cs="Times New Roman"/>
                      <w:b w:val="0"/>
                      <w:bCs w:val="0"/>
                      <w:highlight w:val="none"/>
                      <w:u w:val="none"/>
                      <w:lang w:val="en-US" w:eastAsia="zh-CN"/>
                    </w:rPr>
                  </w:pPr>
                  <w:r>
                    <w:rPr>
                      <w:rFonts w:hint="eastAsia" w:cs="Times New Roman"/>
                      <w:b w:val="0"/>
                      <w:bCs w:val="0"/>
                      <w:highlight w:val="none"/>
                      <w:u w:val="none"/>
                      <w:lang w:val="en-US" w:eastAsia="zh-CN"/>
                    </w:rPr>
                    <w:t>200</w:t>
                  </w:r>
                  <w:r>
                    <w:rPr>
                      <w:rFonts w:hint="default" w:ascii="Times New Roman" w:hAnsi="Times New Roman" w:cs="Times New Roman"/>
                      <w:b w:val="0"/>
                      <w:bCs w:val="0"/>
                      <w:highlight w:val="none"/>
                      <w:u w:val="none"/>
                      <w:lang w:val="en-US" w:eastAsia="zh-CN"/>
                    </w:rPr>
                    <w:t>t/a</w:t>
                  </w:r>
                </w:p>
              </w:tc>
              <w:tc>
                <w:tcPr>
                  <w:tcW w:w="700" w:type="pct"/>
                  <w:tcBorders>
                    <w:tl2br w:val="nil"/>
                    <w:tr2bl w:val="nil"/>
                  </w:tcBorders>
                  <w:noWrap w:val="0"/>
                  <w:vAlign w:val="center"/>
                </w:tcPr>
                <w:p w14:paraId="0E4AA1AF">
                  <w:pPr>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color w:val="auto"/>
                      <w:szCs w:val="21"/>
                      <w:highlight w:val="none"/>
                      <w:lang w:val="en-US" w:eastAsia="zh-CN"/>
                    </w:rPr>
                    <w:t>15</w:t>
                  </w:r>
                  <w:r>
                    <w:rPr>
                      <w:rFonts w:hint="default" w:ascii="Times New Roman" w:hAnsi="Times New Roman" w:eastAsia="宋体" w:cs="Times New Roman"/>
                      <w:color w:val="auto"/>
                      <w:szCs w:val="21"/>
                      <w:highlight w:val="none"/>
                      <w:lang w:val="en-US" w:eastAsia="zh-CN"/>
                    </w:rPr>
                    <w:t>吨</w:t>
                  </w:r>
                </w:p>
              </w:tc>
              <w:tc>
                <w:tcPr>
                  <w:tcW w:w="1633" w:type="pct"/>
                  <w:tcBorders>
                    <w:tl2br w:val="nil"/>
                    <w:tr2bl w:val="nil"/>
                  </w:tcBorders>
                  <w:noWrap w:val="0"/>
                  <w:vAlign w:val="center"/>
                </w:tcPr>
                <w:p w14:paraId="26038000">
                  <w:pPr>
                    <w:jc w:val="center"/>
                    <w:rPr>
                      <w:rFonts w:hint="default" w:ascii="Times New Roman" w:hAnsi="Times New Roman" w:cs="Times New Roman"/>
                      <w:b w:val="0"/>
                      <w:bCs w:val="0"/>
                      <w:lang w:val="en-US" w:eastAsia="zh-CN"/>
                    </w:rPr>
                  </w:pPr>
                  <w:r>
                    <w:rPr>
                      <w:rFonts w:hint="eastAsia" w:cs="Times New Roman"/>
                      <w:b w:val="0"/>
                      <w:bCs w:val="0"/>
                      <w:lang w:val="en-US" w:eastAsia="zh-CN"/>
                    </w:rPr>
                    <w:t>外购，塑料桶包装，20升/桶，密闭常温储存</w:t>
                  </w:r>
                </w:p>
              </w:tc>
            </w:tr>
            <w:tr w14:paraId="0B54476C">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31" w:hRule="atLeast"/>
              </w:trPr>
              <w:tc>
                <w:tcPr>
                  <w:tcW w:w="578" w:type="pct"/>
                  <w:vMerge w:val="restart"/>
                  <w:tcBorders>
                    <w:tl2br w:val="nil"/>
                    <w:tr2bl w:val="nil"/>
                  </w:tcBorders>
                  <w:noWrap w:val="0"/>
                  <w:vAlign w:val="center"/>
                </w:tcPr>
                <w:p w14:paraId="4C1CA402">
                  <w:pPr>
                    <w:jc w:val="center"/>
                    <w:rPr>
                      <w:rFonts w:hint="default" w:ascii="Times New Roman" w:hAnsi="Times New Roman" w:cs="Times New Roman"/>
                      <w:b w:val="0"/>
                      <w:bCs w:val="0"/>
                      <w:lang w:val="en-US" w:eastAsia="zh-CN"/>
                    </w:rPr>
                  </w:pPr>
                  <w:r>
                    <w:rPr>
                      <w:rFonts w:hint="eastAsia" w:cs="Times New Roman"/>
                      <w:b w:val="0"/>
                      <w:bCs w:val="0"/>
                      <w:lang w:val="en-US" w:eastAsia="zh-CN"/>
                    </w:rPr>
                    <w:t>原</w:t>
                  </w:r>
                  <w:r>
                    <w:rPr>
                      <w:rFonts w:hint="eastAsia" w:ascii="Times New Roman" w:hAnsi="Times New Roman" w:cs="Times New Roman"/>
                      <w:b w:val="0"/>
                      <w:bCs w:val="0"/>
                      <w:lang w:val="en-US" w:eastAsia="zh-CN"/>
                    </w:rPr>
                    <w:t>辅料</w:t>
                  </w:r>
                </w:p>
              </w:tc>
              <w:tc>
                <w:tcPr>
                  <w:tcW w:w="1224" w:type="pct"/>
                  <w:tcBorders>
                    <w:tl2br w:val="nil"/>
                    <w:tr2bl w:val="nil"/>
                  </w:tcBorders>
                  <w:shd w:val="clear" w:color="auto" w:fill="auto"/>
                  <w:noWrap w:val="0"/>
                  <w:vAlign w:val="center"/>
                </w:tcPr>
                <w:p w14:paraId="07D7ED74">
                  <w:pPr>
                    <w:jc w:val="center"/>
                    <w:rPr>
                      <w:rFonts w:hint="eastAsia" w:ascii="Times New Roman" w:hAnsi="Times New Roman" w:eastAsia="宋体" w:cs="Times New Roman"/>
                      <w:b w:val="0"/>
                      <w:bCs w:val="0"/>
                      <w:kern w:val="2"/>
                      <w:sz w:val="21"/>
                      <w:szCs w:val="21"/>
                      <w:highlight w:val="none"/>
                      <w:u w:val="none"/>
                      <w:lang w:val="en-US" w:eastAsia="zh-CN" w:bidi="ar-SA"/>
                    </w:rPr>
                  </w:pPr>
                  <w:r>
                    <w:rPr>
                      <w:rFonts w:hint="eastAsia" w:cs="Times New Roman"/>
                      <w:b w:val="0"/>
                      <w:bCs w:val="0"/>
                      <w:highlight w:val="none"/>
                      <w:u w:val="none"/>
                      <w:lang w:val="en-US" w:eastAsia="zh-CN"/>
                    </w:rPr>
                    <w:t>食用盐</w:t>
                  </w:r>
                </w:p>
              </w:tc>
              <w:tc>
                <w:tcPr>
                  <w:tcW w:w="864" w:type="pct"/>
                  <w:tcBorders>
                    <w:tl2br w:val="nil"/>
                    <w:tr2bl w:val="nil"/>
                  </w:tcBorders>
                  <w:shd w:val="clear" w:color="auto" w:fill="auto"/>
                  <w:noWrap w:val="0"/>
                  <w:vAlign w:val="center"/>
                </w:tcPr>
                <w:p w14:paraId="040EF01A">
                  <w:pPr>
                    <w:jc w:val="center"/>
                    <w:rPr>
                      <w:rFonts w:hint="eastAsia" w:ascii="Times New Roman" w:hAnsi="Times New Roman" w:eastAsia="宋体" w:cs="Times New Roman"/>
                      <w:b w:val="0"/>
                      <w:bCs w:val="0"/>
                      <w:kern w:val="2"/>
                      <w:sz w:val="21"/>
                      <w:szCs w:val="21"/>
                      <w:highlight w:val="none"/>
                      <w:u w:val="none"/>
                      <w:lang w:val="en-US" w:eastAsia="zh-CN" w:bidi="ar-SA"/>
                    </w:rPr>
                  </w:pPr>
                  <w:r>
                    <w:rPr>
                      <w:rFonts w:hint="eastAsia" w:cs="Times New Roman"/>
                      <w:b w:val="0"/>
                      <w:bCs w:val="0"/>
                      <w:highlight w:val="none"/>
                      <w:u w:val="none"/>
                      <w:lang w:val="en-US" w:eastAsia="zh-CN"/>
                    </w:rPr>
                    <w:t>300</w:t>
                  </w:r>
                  <w:r>
                    <w:rPr>
                      <w:rFonts w:hint="default" w:ascii="Times New Roman" w:hAnsi="Times New Roman" w:cs="Times New Roman"/>
                      <w:b w:val="0"/>
                      <w:bCs w:val="0"/>
                      <w:highlight w:val="none"/>
                      <w:u w:val="none"/>
                      <w:lang w:val="en-US" w:eastAsia="zh-CN"/>
                    </w:rPr>
                    <w:t>t/a</w:t>
                  </w:r>
                </w:p>
              </w:tc>
              <w:tc>
                <w:tcPr>
                  <w:tcW w:w="700" w:type="pct"/>
                  <w:tcBorders>
                    <w:tl2br w:val="nil"/>
                    <w:tr2bl w:val="nil"/>
                  </w:tcBorders>
                  <w:shd w:val="clear" w:color="auto" w:fill="auto"/>
                  <w:noWrap w:val="0"/>
                  <w:vAlign w:val="center"/>
                </w:tcPr>
                <w:p w14:paraId="1932CCFD">
                  <w:pPr>
                    <w:jc w:val="center"/>
                    <w:rPr>
                      <w:rFonts w:hint="eastAsia" w:ascii="Times New Roman" w:hAnsi="Times New Roman" w:eastAsia="宋体" w:cs="Times New Roman"/>
                      <w:b w:val="0"/>
                      <w:bCs w:val="0"/>
                      <w:kern w:val="2"/>
                      <w:sz w:val="21"/>
                      <w:szCs w:val="21"/>
                      <w:highlight w:val="none"/>
                      <w:lang w:val="en-US" w:eastAsia="zh-CN" w:bidi="ar-SA"/>
                    </w:rPr>
                  </w:pPr>
                  <w:r>
                    <w:rPr>
                      <w:rFonts w:hint="eastAsia" w:cs="Times New Roman"/>
                      <w:color w:val="auto"/>
                      <w:szCs w:val="21"/>
                      <w:highlight w:val="none"/>
                      <w:lang w:val="en-US" w:eastAsia="zh-CN"/>
                    </w:rPr>
                    <w:t>25</w:t>
                  </w:r>
                  <w:r>
                    <w:rPr>
                      <w:rFonts w:hint="default" w:ascii="Times New Roman" w:hAnsi="Times New Roman" w:eastAsia="宋体" w:cs="Times New Roman"/>
                      <w:color w:val="auto"/>
                      <w:szCs w:val="21"/>
                      <w:highlight w:val="none"/>
                      <w:lang w:val="en-US" w:eastAsia="zh-CN"/>
                    </w:rPr>
                    <w:t>吨</w:t>
                  </w:r>
                </w:p>
              </w:tc>
              <w:tc>
                <w:tcPr>
                  <w:tcW w:w="1633" w:type="pct"/>
                  <w:tcBorders>
                    <w:tl2br w:val="nil"/>
                    <w:tr2bl w:val="nil"/>
                  </w:tcBorders>
                  <w:shd w:val="clear" w:color="auto" w:fill="auto"/>
                  <w:noWrap w:val="0"/>
                  <w:vAlign w:val="center"/>
                </w:tcPr>
                <w:p w14:paraId="5EAE3A33">
                  <w:pPr>
                    <w:jc w:val="center"/>
                    <w:rPr>
                      <w:rFonts w:hint="eastAsia" w:cs="Times New Roman"/>
                      <w:bCs/>
                      <w:color w:val="auto"/>
                      <w:szCs w:val="21"/>
                      <w:lang w:val="en-US" w:eastAsia="zh-CN"/>
                    </w:rPr>
                  </w:pPr>
                  <w:r>
                    <w:rPr>
                      <w:rFonts w:hint="eastAsia" w:cs="Times New Roman"/>
                      <w:bCs/>
                      <w:color w:val="auto"/>
                      <w:szCs w:val="21"/>
                      <w:lang w:val="en-US" w:eastAsia="zh-CN"/>
                    </w:rPr>
                    <w:t>外购，纸箱包装，50kg/箱</w:t>
                  </w:r>
                </w:p>
                <w:p w14:paraId="57AD26EC">
                  <w:pPr>
                    <w:jc w:val="center"/>
                    <w:rPr>
                      <w:rFonts w:hint="eastAsia" w:ascii="Times New Roman" w:hAnsi="Times New Roman" w:eastAsia="宋体" w:cs="Times New Roman"/>
                      <w:b w:val="0"/>
                      <w:bCs w:val="0"/>
                      <w:kern w:val="2"/>
                      <w:sz w:val="21"/>
                      <w:szCs w:val="21"/>
                      <w:lang w:val="en-US" w:eastAsia="zh-CN" w:bidi="ar-SA"/>
                    </w:rPr>
                  </w:pPr>
                  <w:r>
                    <w:rPr>
                      <w:rFonts w:hint="eastAsia" w:cs="Times New Roman"/>
                      <w:bCs/>
                      <w:color w:val="auto"/>
                      <w:szCs w:val="21"/>
                      <w:lang w:val="en-US" w:eastAsia="zh-CN"/>
                    </w:rPr>
                    <w:t>常温储存</w:t>
                  </w:r>
                </w:p>
              </w:tc>
            </w:tr>
            <w:tr w14:paraId="412DEED0">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417" w:hRule="atLeast"/>
              </w:trPr>
              <w:tc>
                <w:tcPr>
                  <w:tcW w:w="578" w:type="pct"/>
                  <w:vMerge w:val="continue"/>
                  <w:tcBorders>
                    <w:tl2br w:val="nil"/>
                    <w:tr2bl w:val="nil"/>
                  </w:tcBorders>
                  <w:noWrap w:val="0"/>
                  <w:vAlign w:val="center"/>
                </w:tcPr>
                <w:p w14:paraId="7920AF2B">
                  <w:pPr>
                    <w:jc w:val="center"/>
                    <w:rPr>
                      <w:rFonts w:hint="default" w:ascii="Times New Roman" w:hAnsi="Times New Roman" w:cs="Times New Roman"/>
                      <w:b w:val="0"/>
                      <w:bCs w:val="0"/>
                      <w:lang w:val="en-US" w:eastAsia="zh-CN"/>
                    </w:rPr>
                  </w:pPr>
                </w:p>
              </w:tc>
              <w:tc>
                <w:tcPr>
                  <w:tcW w:w="1224" w:type="pct"/>
                  <w:tcBorders>
                    <w:tl2br w:val="nil"/>
                    <w:tr2bl w:val="nil"/>
                  </w:tcBorders>
                  <w:noWrap w:val="0"/>
                  <w:vAlign w:val="center"/>
                </w:tcPr>
                <w:p w14:paraId="7B77294C">
                  <w:pPr>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香辛料</w:t>
                  </w:r>
                </w:p>
                <w:p w14:paraId="08915A0F">
                  <w:pPr>
                    <w:jc w:val="center"/>
                    <w:rPr>
                      <w:rFonts w:hint="default" w:ascii="Times New Roman" w:hAnsi="Times New Roman" w:cs="Times New Roman"/>
                      <w:b w:val="0"/>
                      <w:bCs w:val="0"/>
                      <w:highlight w:val="none"/>
                      <w:u w:val="none"/>
                      <w:lang w:val="en-US" w:eastAsia="zh-CN"/>
                    </w:rPr>
                  </w:pPr>
                  <w:r>
                    <w:rPr>
                      <w:rFonts w:hint="eastAsia" w:cs="Times New Roman"/>
                      <w:bCs/>
                      <w:color w:val="auto"/>
                      <w:szCs w:val="21"/>
                      <w:highlight w:val="none"/>
                      <w:lang w:val="en-US" w:eastAsia="zh-CN"/>
                    </w:rPr>
                    <w:t>（香菇、带骨鸡块、洋葱、花生米、花椒、麻椒、大蒜、白糖、味精、孜然、甜面酱、豆瓣酱等）</w:t>
                  </w:r>
                </w:p>
              </w:tc>
              <w:tc>
                <w:tcPr>
                  <w:tcW w:w="864" w:type="pct"/>
                  <w:tcBorders>
                    <w:tl2br w:val="nil"/>
                    <w:tr2bl w:val="nil"/>
                  </w:tcBorders>
                  <w:noWrap w:val="0"/>
                  <w:vAlign w:val="center"/>
                </w:tcPr>
                <w:p w14:paraId="0302C3EA">
                  <w:pPr>
                    <w:jc w:val="center"/>
                    <w:rPr>
                      <w:rFonts w:hint="default" w:ascii="Times New Roman" w:hAnsi="Times New Roman" w:cs="Times New Roman"/>
                      <w:b w:val="0"/>
                      <w:bCs w:val="0"/>
                      <w:highlight w:val="none"/>
                      <w:u w:val="none"/>
                      <w:lang w:val="en-US" w:eastAsia="zh-CN"/>
                    </w:rPr>
                  </w:pPr>
                  <w:r>
                    <w:rPr>
                      <w:rFonts w:hint="eastAsia" w:cs="Times New Roman"/>
                      <w:b w:val="0"/>
                      <w:bCs w:val="0"/>
                      <w:highlight w:val="none"/>
                      <w:u w:val="none"/>
                      <w:lang w:val="en-US" w:eastAsia="zh-CN"/>
                    </w:rPr>
                    <w:t>200</w:t>
                  </w:r>
                  <w:r>
                    <w:rPr>
                      <w:rFonts w:hint="default" w:ascii="Times New Roman" w:hAnsi="Times New Roman" w:cs="Times New Roman"/>
                      <w:b w:val="0"/>
                      <w:bCs w:val="0"/>
                      <w:highlight w:val="none"/>
                      <w:u w:val="none"/>
                      <w:lang w:val="en-US" w:eastAsia="zh-CN"/>
                    </w:rPr>
                    <w:t>t/a</w:t>
                  </w:r>
                </w:p>
              </w:tc>
              <w:tc>
                <w:tcPr>
                  <w:tcW w:w="700" w:type="pct"/>
                  <w:tcBorders>
                    <w:tl2br w:val="nil"/>
                    <w:tr2bl w:val="nil"/>
                  </w:tcBorders>
                  <w:noWrap w:val="0"/>
                  <w:vAlign w:val="center"/>
                </w:tcPr>
                <w:p w14:paraId="31DB04D5">
                  <w:pPr>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lang w:val="en-US" w:eastAsia="zh-CN"/>
                    </w:rPr>
                    <w:t>吨</w:t>
                  </w:r>
                </w:p>
              </w:tc>
              <w:tc>
                <w:tcPr>
                  <w:tcW w:w="1633" w:type="pct"/>
                  <w:tcBorders>
                    <w:tl2br w:val="nil"/>
                    <w:tr2bl w:val="nil"/>
                  </w:tcBorders>
                  <w:noWrap w:val="0"/>
                  <w:vAlign w:val="center"/>
                </w:tcPr>
                <w:p w14:paraId="4C45EC5B">
                  <w:pPr>
                    <w:jc w:val="center"/>
                    <w:rPr>
                      <w:rFonts w:hint="default" w:ascii="Times New Roman" w:hAnsi="Times New Roman" w:cs="Times New Roman"/>
                      <w:b w:val="0"/>
                      <w:bCs w:val="0"/>
                      <w:lang w:val="en-US" w:eastAsia="zh-CN"/>
                    </w:rPr>
                  </w:pPr>
                  <w:r>
                    <w:rPr>
                      <w:rFonts w:hint="eastAsia" w:cs="Times New Roman"/>
                      <w:b w:val="0"/>
                      <w:bCs w:val="0"/>
                      <w:lang w:val="en-US" w:eastAsia="zh-CN"/>
                    </w:rPr>
                    <w:t>外购，</w:t>
                  </w:r>
                  <w:r>
                    <w:rPr>
                      <w:rFonts w:hint="eastAsia" w:cs="Times New Roman"/>
                      <w:bCs/>
                      <w:color w:val="auto"/>
                      <w:szCs w:val="21"/>
                      <w:lang w:val="en-US" w:eastAsia="zh-CN"/>
                    </w:rPr>
                    <w:t>密封袋包装，10kg/袋，</w:t>
                  </w:r>
                  <w:r>
                    <w:rPr>
                      <w:rFonts w:hint="eastAsia" w:cs="Times New Roman"/>
                      <w:b w:val="0"/>
                      <w:bCs w:val="0"/>
                      <w:lang w:val="en-US" w:eastAsia="zh-CN"/>
                    </w:rPr>
                    <w:t>半成品小料，部分低温存放</w:t>
                  </w:r>
                </w:p>
              </w:tc>
            </w:tr>
            <w:tr w14:paraId="7C3A4B2F">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501" w:hRule="atLeast"/>
              </w:trPr>
              <w:tc>
                <w:tcPr>
                  <w:tcW w:w="578" w:type="pct"/>
                  <w:vMerge w:val="continue"/>
                  <w:tcBorders>
                    <w:tl2br w:val="nil"/>
                    <w:tr2bl w:val="nil"/>
                  </w:tcBorders>
                  <w:noWrap w:val="0"/>
                  <w:vAlign w:val="center"/>
                </w:tcPr>
                <w:p w14:paraId="6F0691EB">
                  <w:pPr>
                    <w:jc w:val="center"/>
                    <w:rPr>
                      <w:rFonts w:hint="eastAsia" w:cs="Times New Roman"/>
                      <w:b w:val="0"/>
                      <w:bCs w:val="0"/>
                      <w:lang w:val="en-US" w:eastAsia="zh-CN"/>
                    </w:rPr>
                  </w:pPr>
                </w:p>
              </w:tc>
              <w:tc>
                <w:tcPr>
                  <w:tcW w:w="1224" w:type="pct"/>
                  <w:tcBorders>
                    <w:tl2br w:val="nil"/>
                    <w:tr2bl w:val="nil"/>
                  </w:tcBorders>
                  <w:noWrap w:val="0"/>
                  <w:vAlign w:val="center"/>
                </w:tcPr>
                <w:p w14:paraId="17AE544A">
                  <w:pPr>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包装材料</w:t>
                  </w:r>
                </w:p>
              </w:tc>
              <w:tc>
                <w:tcPr>
                  <w:tcW w:w="864" w:type="pct"/>
                  <w:tcBorders>
                    <w:tl2br w:val="nil"/>
                    <w:tr2bl w:val="nil"/>
                  </w:tcBorders>
                  <w:noWrap w:val="0"/>
                  <w:vAlign w:val="center"/>
                </w:tcPr>
                <w:p w14:paraId="5CBC2E7C">
                  <w:pPr>
                    <w:jc w:val="center"/>
                    <w:rPr>
                      <w:rFonts w:hint="default" w:cs="Times New Roman"/>
                      <w:b w:val="0"/>
                      <w:bCs w:val="0"/>
                      <w:highlight w:val="none"/>
                      <w:u w:val="none"/>
                      <w:lang w:val="en-US" w:eastAsia="zh-CN"/>
                    </w:rPr>
                  </w:pPr>
                  <w:r>
                    <w:rPr>
                      <w:rFonts w:hint="eastAsia" w:cs="Times New Roman"/>
                      <w:b w:val="0"/>
                      <w:bCs w:val="0"/>
                      <w:highlight w:val="none"/>
                      <w:u w:val="none"/>
                      <w:lang w:val="en-US" w:eastAsia="zh-CN"/>
                    </w:rPr>
                    <w:t>7</w:t>
                  </w:r>
                  <w:r>
                    <w:rPr>
                      <w:rFonts w:hint="default" w:ascii="Times New Roman" w:hAnsi="Times New Roman" w:cs="Times New Roman"/>
                      <w:b w:val="0"/>
                      <w:bCs w:val="0"/>
                      <w:highlight w:val="none"/>
                      <w:u w:val="none"/>
                      <w:lang w:val="en-US" w:eastAsia="zh-CN"/>
                    </w:rPr>
                    <w:t>t/a</w:t>
                  </w:r>
                </w:p>
              </w:tc>
              <w:tc>
                <w:tcPr>
                  <w:tcW w:w="700" w:type="pct"/>
                  <w:tcBorders>
                    <w:tl2br w:val="nil"/>
                    <w:tr2bl w:val="nil"/>
                  </w:tcBorders>
                  <w:noWrap w:val="0"/>
                  <w:vAlign w:val="center"/>
                </w:tcPr>
                <w:p w14:paraId="2AF45934">
                  <w:pPr>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1</w:t>
                  </w:r>
                  <w:r>
                    <w:rPr>
                      <w:rFonts w:hint="default" w:ascii="Times New Roman" w:hAnsi="Times New Roman" w:cs="Times New Roman"/>
                      <w:b w:val="0"/>
                      <w:bCs w:val="0"/>
                      <w:highlight w:val="none"/>
                      <w:u w:val="none"/>
                      <w:lang w:val="en-US" w:eastAsia="zh-CN"/>
                    </w:rPr>
                    <w:t>t/a</w:t>
                  </w:r>
                </w:p>
              </w:tc>
              <w:tc>
                <w:tcPr>
                  <w:tcW w:w="1633" w:type="pct"/>
                  <w:tcBorders>
                    <w:tl2br w:val="nil"/>
                    <w:tr2bl w:val="nil"/>
                  </w:tcBorders>
                  <w:noWrap w:val="0"/>
                  <w:vAlign w:val="center"/>
                </w:tcPr>
                <w:p w14:paraId="3E557A46">
                  <w:pPr>
                    <w:jc w:val="center"/>
                    <w:rPr>
                      <w:rFonts w:hint="default" w:cs="Times New Roman"/>
                      <w:b w:val="0"/>
                      <w:bCs w:val="0"/>
                      <w:lang w:val="en-US" w:eastAsia="zh-CN"/>
                    </w:rPr>
                  </w:pPr>
                  <w:r>
                    <w:rPr>
                      <w:rFonts w:hint="eastAsia" w:cs="Times New Roman"/>
                      <w:b w:val="0"/>
                      <w:bCs w:val="0"/>
                      <w:lang w:val="en-US" w:eastAsia="zh-CN"/>
                    </w:rPr>
                    <w:t>包装材料暂存仓库</w:t>
                  </w:r>
                </w:p>
              </w:tc>
            </w:tr>
            <w:tr w14:paraId="29B3E614">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427" w:hRule="atLeast"/>
              </w:trPr>
              <w:tc>
                <w:tcPr>
                  <w:tcW w:w="578" w:type="pct"/>
                  <w:vMerge w:val="restart"/>
                  <w:tcBorders>
                    <w:tl2br w:val="nil"/>
                    <w:tr2bl w:val="nil"/>
                  </w:tcBorders>
                  <w:noWrap w:val="0"/>
                  <w:vAlign w:val="center"/>
                </w:tcPr>
                <w:p w14:paraId="32911F6A">
                  <w:pPr>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能源</w:t>
                  </w:r>
                </w:p>
              </w:tc>
              <w:tc>
                <w:tcPr>
                  <w:tcW w:w="1224" w:type="pct"/>
                  <w:tcBorders>
                    <w:tl2br w:val="nil"/>
                    <w:tr2bl w:val="nil"/>
                  </w:tcBorders>
                  <w:noWrap w:val="0"/>
                  <w:vAlign w:val="center"/>
                </w:tcPr>
                <w:p w14:paraId="606BC286">
                  <w:pPr>
                    <w:jc w:val="center"/>
                    <w:rPr>
                      <w:rFonts w:hint="default" w:ascii="Times New Roman" w:hAnsi="Times New Roman" w:cs="Times New Roman"/>
                      <w:b w:val="0"/>
                      <w:bCs w:val="0"/>
                      <w:highlight w:val="none"/>
                      <w:u w:val="none"/>
                      <w:lang w:val="en-US" w:eastAsia="zh-CN"/>
                    </w:rPr>
                  </w:pPr>
                  <w:r>
                    <w:rPr>
                      <w:rFonts w:hint="default" w:ascii="Times New Roman" w:hAnsi="Times New Roman" w:cs="Times New Roman"/>
                      <w:b w:val="0"/>
                      <w:bCs w:val="0"/>
                      <w:highlight w:val="none"/>
                      <w:u w:val="none"/>
                      <w:lang w:val="en-US" w:eastAsia="zh-CN"/>
                    </w:rPr>
                    <w:t>水</w:t>
                  </w:r>
                </w:p>
              </w:tc>
              <w:tc>
                <w:tcPr>
                  <w:tcW w:w="864" w:type="pct"/>
                  <w:tcBorders>
                    <w:tl2br w:val="nil"/>
                    <w:tr2bl w:val="nil"/>
                  </w:tcBorders>
                  <w:noWrap w:val="0"/>
                  <w:vAlign w:val="center"/>
                </w:tcPr>
                <w:p w14:paraId="14B238C4">
                  <w:pPr>
                    <w:jc w:val="center"/>
                    <w:rPr>
                      <w:rFonts w:hint="default" w:ascii="Times New Roman" w:hAnsi="Times New Roman" w:cs="Times New Roman"/>
                      <w:b w:val="0"/>
                      <w:bCs w:val="0"/>
                      <w:highlight w:val="none"/>
                      <w:u w:val="none"/>
                      <w:lang w:val="en-US" w:eastAsia="zh-CN"/>
                    </w:rPr>
                  </w:pPr>
                  <w:r>
                    <w:rPr>
                      <w:rFonts w:hint="eastAsia" w:cs="Times New Roman"/>
                      <w:color w:val="000000"/>
                      <w:kern w:val="0"/>
                      <w:szCs w:val="21"/>
                      <w:highlight w:val="none"/>
                      <w:u w:val="none"/>
                      <w:lang w:val="en-US" w:eastAsia="zh-CN"/>
                    </w:rPr>
                    <w:t>4299</w:t>
                  </w:r>
                  <w:r>
                    <w:rPr>
                      <w:rFonts w:hint="default" w:ascii="Times New Roman" w:hAnsi="Times New Roman" w:cs="Times New Roman"/>
                      <w:color w:val="000000"/>
                      <w:kern w:val="0"/>
                      <w:szCs w:val="21"/>
                      <w:highlight w:val="none"/>
                      <w:u w:val="none"/>
                    </w:rPr>
                    <w:t>m</w:t>
                  </w:r>
                  <w:r>
                    <w:rPr>
                      <w:rFonts w:hint="default" w:ascii="Times New Roman" w:hAnsi="Times New Roman" w:cs="Times New Roman"/>
                      <w:color w:val="000000"/>
                      <w:kern w:val="0"/>
                      <w:szCs w:val="21"/>
                      <w:highlight w:val="none"/>
                      <w:u w:val="none"/>
                      <w:vertAlign w:val="superscript"/>
                    </w:rPr>
                    <w:t>3</w:t>
                  </w:r>
                  <w:r>
                    <w:rPr>
                      <w:rFonts w:hint="default" w:ascii="Times New Roman" w:hAnsi="Times New Roman" w:cs="Times New Roman"/>
                      <w:color w:val="000000"/>
                      <w:kern w:val="0"/>
                      <w:szCs w:val="21"/>
                      <w:highlight w:val="none"/>
                      <w:u w:val="none"/>
                    </w:rPr>
                    <w:t>/a</w:t>
                  </w:r>
                </w:p>
              </w:tc>
              <w:tc>
                <w:tcPr>
                  <w:tcW w:w="700" w:type="pct"/>
                  <w:tcBorders>
                    <w:tl2br w:val="nil"/>
                    <w:tr2bl w:val="nil"/>
                  </w:tcBorders>
                  <w:noWrap w:val="0"/>
                  <w:vAlign w:val="center"/>
                </w:tcPr>
                <w:p w14:paraId="7B72D2C7">
                  <w:pPr>
                    <w:jc w:val="center"/>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w:t>
                  </w:r>
                </w:p>
              </w:tc>
              <w:tc>
                <w:tcPr>
                  <w:tcW w:w="1633" w:type="pct"/>
                  <w:tcBorders>
                    <w:tl2br w:val="nil"/>
                    <w:tr2bl w:val="nil"/>
                  </w:tcBorders>
                  <w:noWrap w:val="0"/>
                  <w:vAlign w:val="center"/>
                </w:tcPr>
                <w:p w14:paraId="4BFC9A72">
                  <w:pPr>
                    <w:keepNext w:val="0"/>
                    <w:keepLines w:val="0"/>
                    <w:pageBreakBefore w:val="0"/>
                    <w:widowControl w:val="0"/>
                    <w:kinsoku/>
                    <w:wordWrap w:val="0"/>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厂区自备水井供给</w:t>
                  </w:r>
                </w:p>
              </w:tc>
            </w:tr>
            <w:tr w14:paraId="55A8D397">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439" w:hRule="atLeast"/>
              </w:trPr>
              <w:tc>
                <w:tcPr>
                  <w:tcW w:w="578" w:type="pct"/>
                  <w:vMerge w:val="continue"/>
                  <w:tcBorders>
                    <w:tl2br w:val="nil"/>
                    <w:tr2bl w:val="nil"/>
                  </w:tcBorders>
                  <w:noWrap w:val="0"/>
                  <w:vAlign w:val="center"/>
                </w:tcPr>
                <w:p w14:paraId="5CED6E6D">
                  <w:pPr>
                    <w:jc w:val="center"/>
                    <w:rPr>
                      <w:rFonts w:hint="default" w:ascii="Times New Roman" w:hAnsi="Times New Roman" w:cs="Times New Roman"/>
                      <w:b w:val="0"/>
                      <w:bCs w:val="0"/>
                      <w:lang w:val="en-US" w:eastAsia="zh-CN"/>
                    </w:rPr>
                  </w:pPr>
                </w:p>
              </w:tc>
              <w:tc>
                <w:tcPr>
                  <w:tcW w:w="1224" w:type="pct"/>
                  <w:tcBorders>
                    <w:tl2br w:val="nil"/>
                    <w:tr2bl w:val="nil"/>
                  </w:tcBorders>
                  <w:noWrap w:val="0"/>
                  <w:vAlign w:val="center"/>
                </w:tcPr>
                <w:p w14:paraId="7E53F1DD">
                  <w:pPr>
                    <w:jc w:val="center"/>
                    <w:rPr>
                      <w:rFonts w:hint="default" w:ascii="Times New Roman" w:hAnsi="Times New Roman" w:cs="Times New Roman"/>
                      <w:b w:val="0"/>
                      <w:bCs w:val="0"/>
                      <w:highlight w:val="none"/>
                      <w:u w:val="none"/>
                      <w:lang w:val="en-US" w:eastAsia="zh-CN"/>
                    </w:rPr>
                  </w:pPr>
                  <w:r>
                    <w:rPr>
                      <w:rFonts w:hint="default" w:ascii="Times New Roman" w:hAnsi="Times New Roman" w:cs="Times New Roman"/>
                      <w:b w:val="0"/>
                      <w:bCs w:val="0"/>
                      <w:highlight w:val="none"/>
                      <w:u w:val="none"/>
                      <w:lang w:val="en-US" w:eastAsia="zh-CN"/>
                    </w:rPr>
                    <w:t>电</w:t>
                  </w:r>
                </w:p>
              </w:tc>
              <w:tc>
                <w:tcPr>
                  <w:tcW w:w="864" w:type="pct"/>
                  <w:tcBorders>
                    <w:tl2br w:val="nil"/>
                    <w:tr2bl w:val="nil"/>
                  </w:tcBorders>
                  <w:noWrap w:val="0"/>
                  <w:vAlign w:val="center"/>
                </w:tcPr>
                <w:p w14:paraId="601585B5">
                  <w:pPr>
                    <w:jc w:val="center"/>
                    <w:rPr>
                      <w:rFonts w:hint="default" w:ascii="Times New Roman" w:hAnsi="Times New Roman" w:cs="Times New Roman"/>
                      <w:b w:val="0"/>
                      <w:bCs w:val="0"/>
                      <w:highlight w:val="none"/>
                      <w:u w:val="none"/>
                      <w:lang w:val="en-US" w:eastAsia="zh-CN"/>
                    </w:rPr>
                  </w:pPr>
                  <w:r>
                    <w:rPr>
                      <w:rFonts w:hint="eastAsia" w:cs="Times New Roman"/>
                      <w:color w:val="000000"/>
                      <w:kern w:val="0"/>
                      <w:szCs w:val="21"/>
                      <w:highlight w:val="none"/>
                      <w:u w:val="none"/>
                      <w:lang w:val="en-US" w:eastAsia="zh-CN"/>
                    </w:rPr>
                    <w:t>3.6</w:t>
                  </w:r>
                  <w:r>
                    <w:rPr>
                      <w:rFonts w:hint="default" w:ascii="Times New Roman" w:hAnsi="Times New Roman" w:cs="Times New Roman"/>
                      <w:color w:val="000000"/>
                      <w:kern w:val="0"/>
                      <w:szCs w:val="21"/>
                      <w:highlight w:val="none"/>
                      <w:u w:val="none"/>
                    </w:rPr>
                    <w:t>万kW·h/a</w:t>
                  </w:r>
                </w:p>
              </w:tc>
              <w:tc>
                <w:tcPr>
                  <w:tcW w:w="700" w:type="pct"/>
                  <w:tcBorders>
                    <w:tl2br w:val="nil"/>
                    <w:tr2bl w:val="nil"/>
                  </w:tcBorders>
                  <w:noWrap w:val="0"/>
                  <w:vAlign w:val="center"/>
                </w:tcPr>
                <w:p w14:paraId="2D20B775">
                  <w:pPr>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w:t>
                  </w:r>
                </w:p>
              </w:tc>
              <w:tc>
                <w:tcPr>
                  <w:tcW w:w="1633" w:type="pct"/>
                  <w:tcBorders>
                    <w:tl2br w:val="nil"/>
                    <w:tr2bl w:val="nil"/>
                  </w:tcBorders>
                  <w:noWrap w:val="0"/>
                  <w:vAlign w:val="center"/>
                </w:tcPr>
                <w:p w14:paraId="5F82F77F">
                  <w:pPr>
                    <w:keepNext w:val="0"/>
                    <w:keepLines w:val="0"/>
                    <w:pageBreakBefore w:val="0"/>
                    <w:widowControl w:val="0"/>
                    <w:kinsoku/>
                    <w:wordWrap w:val="0"/>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市政电网供电</w:t>
                  </w:r>
                </w:p>
              </w:tc>
            </w:tr>
            <w:tr w14:paraId="4DAA09EA">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79" w:hRule="atLeast"/>
              </w:trPr>
              <w:tc>
                <w:tcPr>
                  <w:tcW w:w="578" w:type="pct"/>
                  <w:vMerge w:val="continue"/>
                  <w:tcBorders>
                    <w:tl2br w:val="nil"/>
                    <w:tr2bl w:val="nil"/>
                  </w:tcBorders>
                  <w:noWrap w:val="0"/>
                  <w:vAlign w:val="center"/>
                </w:tcPr>
                <w:p w14:paraId="0F43FBA3">
                  <w:pPr>
                    <w:jc w:val="center"/>
                    <w:rPr>
                      <w:rFonts w:hint="default" w:ascii="Times New Roman" w:hAnsi="Times New Roman" w:cs="Times New Roman"/>
                      <w:b w:val="0"/>
                      <w:bCs w:val="0"/>
                      <w:lang w:val="en-US" w:eastAsia="zh-CN"/>
                    </w:rPr>
                  </w:pPr>
                </w:p>
              </w:tc>
              <w:tc>
                <w:tcPr>
                  <w:tcW w:w="1224" w:type="pct"/>
                  <w:tcBorders>
                    <w:tl2br w:val="nil"/>
                    <w:tr2bl w:val="nil"/>
                  </w:tcBorders>
                  <w:noWrap w:val="0"/>
                  <w:vAlign w:val="center"/>
                </w:tcPr>
                <w:p w14:paraId="56C89EF5">
                  <w:pPr>
                    <w:jc w:val="center"/>
                    <w:rPr>
                      <w:rFonts w:hint="default" w:ascii="Times New Roman" w:hAnsi="Times New Roman" w:cs="Times New Roman"/>
                      <w:b w:val="0"/>
                      <w:bCs w:val="0"/>
                      <w:u w:val="none"/>
                      <w:lang w:val="en-US" w:eastAsia="zh-CN"/>
                    </w:rPr>
                  </w:pPr>
                  <w:r>
                    <w:rPr>
                      <w:rFonts w:hint="eastAsia" w:cs="Times New Roman"/>
                      <w:b w:val="0"/>
                      <w:bCs w:val="0"/>
                      <w:u w:val="none"/>
                      <w:lang w:val="en-US" w:eastAsia="zh-CN"/>
                    </w:rPr>
                    <w:t>天然气</w:t>
                  </w:r>
                </w:p>
              </w:tc>
              <w:tc>
                <w:tcPr>
                  <w:tcW w:w="864" w:type="pct"/>
                  <w:tcBorders>
                    <w:tl2br w:val="nil"/>
                    <w:tr2bl w:val="nil"/>
                  </w:tcBorders>
                  <w:noWrap w:val="0"/>
                  <w:vAlign w:val="center"/>
                </w:tcPr>
                <w:p w14:paraId="335B8D93">
                  <w:pPr>
                    <w:jc w:val="center"/>
                    <w:rPr>
                      <w:rFonts w:hint="default" w:ascii="Times New Roman" w:hAnsi="Times New Roman" w:cs="Times New Roman"/>
                      <w:color w:val="000000"/>
                      <w:kern w:val="0"/>
                      <w:szCs w:val="21"/>
                      <w:u w:val="none"/>
                      <w:lang w:val="en-US" w:eastAsia="zh-CN"/>
                    </w:rPr>
                  </w:pPr>
                  <w:r>
                    <w:rPr>
                      <w:rFonts w:hint="eastAsia" w:cs="Times New Roman"/>
                      <w:bCs/>
                      <w:color w:val="auto"/>
                      <w:kern w:val="0"/>
                      <w:szCs w:val="21"/>
                      <w:lang w:val="en-US" w:eastAsia="zh-CN"/>
                    </w:rPr>
                    <w:t>约10万m</w:t>
                  </w:r>
                  <w:r>
                    <w:rPr>
                      <w:rFonts w:hint="eastAsia" w:cs="Times New Roman"/>
                      <w:bCs/>
                      <w:color w:val="auto"/>
                      <w:kern w:val="0"/>
                      <w:szCs w:val="21"/>
                      <w:vertAlign w:val="superscript"/>
                      <w:lang w:val="en-US" w:eastAsia="zh-CN"/>
                    </w:rPr>
                    <w:t>3</w:t>
                  </w:r>
                  <w:r>
                    <w:rPr>
                      <w:rFonts w:hint="eastAsia" w:cs="Times New Roman"/>
                      <w:bCs/>
                      <w:color w:val="auto"/>
                      <w:kern w:val="0"/>
                      <w:szCs w:val="21"/>
                      <w:lang w:val="en-US" w:eastAsia="zh-CN"/>
                    </w:rPr>
                    <w:t>/a</w:t>
                  </w:r>
                </w:p>
              </w:tc>
              <w:tc>
                <w:tcPr>
                  <w:tcW w:w="700" w:type="pct"/>
                  <w:tcBorders>
                    <w:tl2br w:val="nil"/>
                    <w:tr2bl w:val="nil"/>
                  </w:tcBorders>
                  <w:noWrap w:val="0"/>
                  <w:vAlign w:val="center"/>
                </w:tcPr>
                <w:p w14:paraId="45A5F62B">
                  <w:pPr>
                    <w:jc w:val="center"/>
                    <w:rPr>
                      <w:rFonts w:hint="default" w:ascii="Times New Roman" w:hAnsi="Times New Roman" w:cs="Times New Roman"/>
                      <w:b w:val="0"/>
                      <w:bCs w:val="0"/>
                      <w:lang w:val="en-US" w:eastAsia="zh-CN"/>
                    </w:rPr>
                  </w:pPr>
                  <w:r>
                    <w:rPr>
                      <w:rFonts w:hint="eastAsia" w:cs="Times New Roman"/>
                      <w:b w:val="0"/>
                      <w:bCs w:val="0"/>
                      <w:lang w:val="en-US" w:eastAsia="zh-CN"/>
                    </w:rPr>
                    <w:t>/</w:t>
                  </w:r>
                </w:p>
              </w:tc>
              <w:tc>
                <w:tcPr>
                  <w:tcW w:w="1633" w:type="pct"/>
                  <w:tcBorders>
                    <w:tl2br w:val="nil"/>
                    <w:tr2bl w:val="nil"/>
                  </w:tcBorders>
                  <w:noWrap w:val="0"/>
                  <w:vAlign w:val="center"/>
                </w:tcPr>
                <w:p w14:paraId="4E6FEDE0">
                  <w:pPr>
                    <w:keepNext w:val="0"/>
                    <w:keepLines w:val="0"/>
                    <w:pageBreakBefore w:val="0"/>
                    <w:widowControl w:val="0"/>
                    <w:kinsoku/>
                    <w:wordWrap w:val="0"/>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天然气公司输送，不涉及储存</w:t>
                  </w:r>
                </w:p>
              </w:tc>
            </w:tr>
          </w:tbl>
          <w:p w14:paraId="021DB2C2">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）理化性质</w:t>
            </w:r>
          </w:p>
          <w:p w14:paraId="3E73E5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highlight w:val="none"/>
                <w:lang w:val="en-US"/>
              </w:rPr>
            </w:pPr>
            <w:r>
              <w:rPr>
                <w:rFonts w:hint="default" w:ascii="Times New Roman" w:hAnsi="Times New Roman" w:cs="Times New Roman"/>
                <w:sz w:val="24"/>
                <w:highlight w:val="none"/>
                <w:lang w:eastAsia="zh-CN"/>
              </w:rPr>
              <w:t>①</w:t>
            </w:r>
            <w:r>
              <w:rPr>
                <w:rFonts w:hint="default" w:ascii="Times New Roman" w:hAnsi="Times New Roman" w:cs="Times New Roman"/>
                <w:color w:val="auto"/>
                <w:sz w:val="24"/>
                <w:highlight w:val="none"/>
                <w:lang w:val="en-US" w:eastAsia="zh-CN"/>
              </w:rPr>
              <w:t>天然气</w:t>
            </w:r>
          </w:p>
          <w:p w14:paraId="300BFC4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rPr>
            </w:pPr>
            <w:bookmarkStart w:id="2" w:name="4-5"/>
            <w:bookmarkEnd w:id="2"/>
            <w:bookmarkStart w:id="3" w:name="闪点"/>
            <w:bookmarkEnd w:id="3"/>
            <w:r>
              <w:rPr>
                <w:rFonts w:hint="default" w:ascii="Times New Roman" w:hAnsi="Times New Roman" w:cs="Times New Roman"/>
                <w:kern w:val="0"/>
                <w:sz w:val="24"/>
                <w:szCs w:val="24"/>
              </w:rPr>
              <w:t>天然</w:t>
            </w:r>
            <w:r>
              <w:rPr>
                <w:rFonts w:hint="default" w:ascii="Times New Roman" w:hAnsi="Times New Roman" w:cs="Times New Roman"/>
                <w:sz w:val="24"/>
                <w:szCs w:val="24"/>
              </w:rPr>
              <w:t>气主要成分是甲烷，占整个组成的90%以上，余下的已烷、丁烷及丙烷所占比例不到10%</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外观与性状：无色气体，当混有硫化氢时，有强烈的刺鼻臭味</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危险性类别：第2.1类 易燃气体</w:t>
            </w:r>
            <w:r>
              <w:rPr>
                <w:rFonts w:hint="default" w:ascii="Times New Roman" w:hAnsi="Times New Roman" w:cs="Times New Roman"/>
                <w:sz w:val="24"/>
                <w:szCs w:val="24"/>
                <w:lang w:eastAsia="zh-CN"/>
              </w:rPr>
              <w:t>，</w:t>
            </w:r>
            <w:r>
              <w:rPr>
                <w:rFonts w:hint="default" w:ascii="Times New Roman" w:hAnsi="Times New Roman" w:cs="Times New Roman"/>
                <w:sz w:val="24"/>
                <w:szCs w:val="24"/>
              </w:rPr>
              <w:t>CAS号：8006-14-2。甲烷分子式为CH</w:t>
            </w:r>
            <w:r>
              <w:rPr>
                <w:rFonts w:hint="default" w:ascii="Times New Roman" w:hAnsi="Times New Roman" w:cs="Times New Roman"/>
                <w:sz w:val="24"/>
                <w:szCs w:val="24"/>
                <w:vertAlign w:val="subscript"/>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分子量为16.04</w:t>
            </w:r>
            <w:r>
              <w:rPr>
                <w:rFonts w:hint="default" w:ascii="Times New Roman" w:hAnsi="Times New Roman" w:cs="Times New Roman"/>
                <w:sz w:val="24"/>
                <w:szCs w:val="24"/>
                <w:lang w:eastAsia="zh-CN"/>
              </w:rPr>
              <w:t>，</w:t>
            </w:r>
            <w:r>
              <w:rPr>
                <w:rFonts w:hint="default" w:ascii="Times New Roman" w:hAnsi="Times New Roman" w:cs="Times New Roman"/>
                <w:sz w:val="24"/>
                <w:szCs w:val="24"/>
              </w:rPr>
              <w:t>无色无臭气体</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分子是正四面体形分子、非极性分子。蒸汽压53.32kPa/-168.8℃</w:t>
            </w:r>
            <w:r>
              <w:rPr>
                <w:rFonts w:hint="default" w:ascii="Times New Roman" w:hAnsi="Times New Roman" w:cs="Times New Roman"/>
                <w:sz w:val="24"/>
                <w:szCs w:val="24"/>
                <w:lang w:eastAsia="zh-CN"/>
              </w:rPr>
              <w:t>，</w:t>
            </w:r>
            <w:r>
              <w:rPr>
                <w:rFonts w:hint="default" w:ascii="Times New Roman" w:hAnsi="Times New Roman" w:cs="Times New Roman"/>
                <w:sz w:val="24"/>
                <w:szCs w:val="24"/>
              </w:rPr>
              <w:t>闪点：-188℃</w:t>
            </w:r>
            <w:r>
              <w:rPr>
                <w:rFonts w:hint="default" w:ascii="Times New Roman" w:hAnsi="Times New Roman" w:cs="Times New Roman"/>
                <w:sz w:val="24"/>
                <w:szCs w:val="24"/>
                <w:lang w:eastAsia="zh-CN"/>
              </w:rPr>
              <w:t>，</w:t>
            </w:r>
            <w:r>
              <w:rPr>
                <w:rFonts w:hint="default" w:ascii="Times New Roman" w:hAnsi="Times New Roman" w:cs="Times New Roman"/>
                <w:sz w:val="24"/>
                <w:szCs w:val="24"/>
              </w:rPr>
              <w:t>熔点：-182.5℃</w:t>
            </w:r>
            <w:r>
              <w:rPr>
                <w:rFonts w:hint="default" w:ascii="Times New Roman" w:hAnsi="Times New Roman" w:cs="Times New Roman"/>
                <w:sz w:val="24"/>
                <w:szCs w:val="24"/>
                <w:lang w:eastAsia="zh-CN"/>
              </w:rPr>
              <w:t>，</w:t>
            </w:r>
            <w:r>
              <w:rPr>
                <w:rFonts w:hint="default" w:ascii="Times New Roman" w:hAnsi="Times New Roman" w:cs="Times New Roman"/>
                <w:sz w:val="24"/>
                <w:szCs w:val="24"/>
              </w:rPr>
              <w:t>沸点：-161.5℃</w:t>
            </w:r>
            <w:r>
              <w:rPr>
                <w:rFonts w:hint="default" w:ascii="Times New Roman" w:hAnsi="Times New Roman" w:cs="Times New Roman"/>
                <w:sz w:val="24"/>
                <w:szCs w:val="24"/>
                <w:lang w:eastAsia="zh-CN"/>
              </w:rPr>
              <w:t>，</w:t>
            </w:r>
            <w:r>
              <w:rPr>
                <w:rFonts w:hint="default" w:ascii="Times New Roman" w:hAnsi="Times New Roman" w:cs="Times New Roman"/>
                <w:sz w:val="24"/>
                <w:szCs w:val="24"/>
              </w:rPr>
              <w:t>溶解性：</w:t>
            </w:r>
            <w:r>
              <w:rPr>
                <w:rFonts w:hint="default" w:ascii="Times New Roman" w:hAnsi="Times New Roman" w:cs="Times New Roman"/>
                <w:sz w:val="24"/>
                <w:szCs w:val="24"/>
                <w:lang w:val="en-US" w:eastAsia="zh-CN"/>
              </w:rPr>
              <w:t>不</w:t>
            </w:r>
            <w:r>
              <w:rPr>
                <w:rFonts w:hint="default" w:ascii="Times New Roman" w:hAnsi="Times New Roman" w:cs="Times New Roman"/>
                <w:sz w:val="24"/>
                <w:szCs w:val="24"/>
              </w:rPr>
              <w:t>溶于水，溶于醇、乙醚</w:t>
            </w:r>
            <w:r>
              <w:rPr>
                <w:rFonts w:hint="default" w:ascii="Times New Roman" w:hAnsi="Times New Roman" w:cs="Times New Roman"/>
                <w:sz w:val="24"/>
                <w:szCs w:val="24"/>
                <w:lang w:eastAsia="zh-CN"/>
              </w:rPr>
              <w:t>，</w:t>
            </w:r>
            <w:r>
              <w:rPr>
                <w:rFonts w:hint="default" w:ascii="Times New Roman" w:hAnsi="Times New Roman" w:cs="Times New Roman"/>
                <w:sz w:val="24"/>
                <w:szCs w:val="24"/>
              </w:rPr>
              <w:t>相对密度</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水</w:t>
            </w:r>
            <w:r>
              <w:rPr>
                <w:rFonts w:hint="default" w:ascii="Times New Roman" w:hAnsi="Times New Roman" w:cs="Times New Roman"/>
                <w:sz w:val="24"/>
                <w:szCs w:val="24"/>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0.42</w:t>
            </w:r>
            <w:r>
              <w:rPr>
                <w:rFonts w:hint="default" w:ascii="Times New Roman" w:hAnsi="Times New Roman" w:cs="Times New Roman"/>
                <w:sz w:val="24"/>
                <w:szCs w:val="24"/>
                <w:lang w:eastAsia="zh-CN"/>
              </w:rPr>
              <w:t>（</w:t>
            </w:r>
            <w:r>
              <w:rPr>
                <w:rFonts w:hint="default" w:ascii="Times New Roman" w:hAnsi="Times New Roman" w:cs="Times New Roman"/>
                <w:sz w:val="24"/>
                <w:szCs w:val="24"/>
              </w:rPr>
              <w:t>-164℃</w:t>
            </w:r>
            <w:r>
              <w:rPr>
                <w:rFonts w:hint="default" w:ascii="Times New Roman" w:hAnsi="Times New Roman" w:cs="Times New Roman"/>
                <w:sz w:val="24"/>
                <w:szCs w:val="24"/>
                <w:lang w:eastAsia="zh-CN"/>
              </w:rPr>
              <w:t>），</w:t>
            </w:r>
            <w:r>
              <w:rPr>
                <w:rFonts w:hint="default" w:ascii="Times New Roman" w:hAnsi="Times New Roman" w:cs="Times New Roman"/>
                <w:sz w:val="24"/>
                <w:szCs w:val="24"/>
              </w:rPr>
              <w:t>爆炸极限/%：5~15</w:t>
            </w:r>
            <w:r>
              <w:rPr>
                <w:rFonts w:hint="default" w:ascii="Times New Roman" w:hAnsi="Times New Roman" w:cs="Times New Roman"/>
                <w:sz w:val="24"/>
                <w:szCs w:val="24"/>
                <w:lang w:eastAsia="zh-CN"/>
              </w:rPr>
              <w:t>，</w:t>
            </w:r>
            <w:r>
              <w:rPr>
                <w:rFonts w:hint="default" w:ascii="Times New Roman" w:hAnsi="Times New Roman" w:cs="Times New Roman"/>
                <w:sz w:val="24"/>
                <w:szCs w:val="24"/>
              </w:rPr>
              <w:t>引燃温度/℃：482~632℃</w:t>
            </w:r>
            <w:r>
              <w:rPr>
                <w:rFonts w:hint="default" w:ascii="Times New Roman" w:hAnsi="Times New Roman" w:cs="Times New Roman"/>
                <w:sz w:val="24"/>
                <w:szCs w:val="24"/>
                <w:lang w:eastAsia="zh-CN"/>
              </w:rPr>
              <w:t>，</w:t>
            </w:r>
            <w:r>
              <w:rPr>
                <w:rFonts w:hint="default" w:ascii="Times New Roman" w:hAnsi="Times New Roman" w:cs="Times New Roman"/>
                <w:sz w:val="24"/>
                <w:szCs w:val="24"/>
              </w:rPr>
              <w:t>相对密度</w:t>
            </w:r>
            <w:r>
              <w:rPr>
                <w:rFonts w:hint="default" w:ascii="Times New Roman" w:hAnsi="Times New Roman" w:cs="Times New Roman"/>
                <w:sz w:val="24"/>
                <w:szCs w:val="24"/>
                <w:lang w:eastAsia="zh-CN"/>
              </w:rPr>
              <w:t>（</w:t>
            </w:r>
            <w:r>
              <w:rPr>
                <w:rFonts w:hint="default" w:ascii="Times New Roman" w:hAnsi="Times New Roman" w:cs="Times New Roman"/>
                <w:sz w:val="24"/>
                <w:szCs w:val="24"/>
              </w:rPr>
              <w:t>空气=1</w:t>
            </w:r>
            <w:r>
              <w:rPr>
                <w:rFonts w:hint="default" w:ascii="Times New Roman" w:hAnsi="Times New Roman" w:cs="Times New Roman"/>
                <w:sz w:val="24"/>
                <w:szCs w:val="24"/>
                <w:lang w:eastAsia="zh-CN"/>
              </w:rPr>
              <w:t>）</w:t>
            </w:r>
            <w:r>
              <w:rPr>
                <w:rFonts w:hint="default" w:ascii="Times New Roman" w:hAnsi="Times New Roman" w:cs="Times New Roman"/>
                <w:sz w:val="24"/>
                <w:szCs w:val="24"/>
              </w:rPr>
              <w:t>0.55</w:t>
            </w:r>
            <w:r>
              <w:rPr>
                <w:rFonts w:hint="default" w:ascii="Times New Roman" w:hAnsi="Times New Roman" w:cs="Times New Roman"/>
                <w:sz w:val="24"/>
                <w:szCs w:val="24"/>
                <w:lang w:eastAsia="zh-CN"/>
              </w:rPr>
              <w:t>，</w:t>
            </w:r>
            <w:r>
              <w:rPr>
                <w:rFonts w:hint="default" w:ascii="Times New Roman" w:hAnsi="Times New Roman" w:cs="Times New Roman"/>
                <w:sz w:val="24"/>
                <w:szCs w:val="24"/>
              </w:rPr>
              <w:t>禁配物：硝酸、浓硫酸、高锰酸钾、重铬酸盐等强氧化剂</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危险特性：易燃，遇热源或明火有燃烧爆炸危险。</w:t>
            </w:r>
          </w:p>
          <w:p w14:paraId="6CA78DDE">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b/>
              </w:rPr>
            </w:pPr>
            <w:r>
              <w:rPr>
                <w:rFonts w:hint="eastAsia" w:ascii="Times New Roman" w:hAnsi="Times New Roman" w:cs="Times New Roman"/>
                <w:b/>
                <w:highlight w:val="none"/>
                <w:lang w:val="en-US" w:eastAsia="zh-CN"/>
              </w:rPr>
              <w:t>5</w:t>
            </w:r>
            <w:r>
              <w:rPr>
                <w:rFonts w:hint="default" w:ascii="Times New Roman" w:hAnsi="Times New Roman" w:cs="Times New Roman"/>
                <w:b/>
                <w:highlight w:val="none"/>
              </w:rPr>
              <w:t>、</w:t>
            </w:r>
            <w:r>
              <w:rPr>
                <w:rFonts w:hint="default" w:ascii="Times New Roman" w:hAnsi="Times New Roman" w:cs="Times New Roman"/>
                <w:b/>
                <w:highlight w:val="none"/>
                <w:lang w:val="en-US" w:eastAsia="zh-CN"/>
              </w:rPr>
              <w:t>本项目</w:t>
            </w:r>
            <w:r>
              <w:rPr>
                <w:rFonts w:hint="default" w:ascii="Times New Roman" w:hAnsi="Times New Roman" w:cs="Times New Roman"/>
                <w:b/>
                <w:highlight w:val="none"/>
              </w:rPr>
              <w:t>主</w:t>
            </w:r>
            <w:r>
              <w:rPr>
                <w:rFonts w:hint="default" w:ascii="Times New Roman" w:hAnsi="Times New Roman" w:cs="Times New Roman"/>
                <w:b/>
              </w:rPr>
              <w:t>要</w:t>
            </w:r>
            <w:r>
              <w:rPr>
                <w:rFonts w:hint="default" w:ascii="Times New Roman" w:hAnsi="Times New Roman" w:cs="Times New Roman"/>
                <w:b/>
                <w:lang w:val="en-US" w:eastAsia="zh-CN"/>
              </w:rPr>
              <w:t>生产</w:t>
            </w:r>
            <w:r>
              <w:rPr>
                <w:rFonts w:hint="default" w:ascii="Times New Roman" w:hAnsi="Times New Roman" w:cs="Times New Roman"/>
                <w:b/>
              </w:rPr>
              <w:t>设备</w:t>
            </w:r>
          </w:p>
          <w:p w14:paraId="7B4868B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本项目主要生产设备见表</w:t>
            </w:r>
            <w:r>
              <w:rPr>
                <w:rFonts w:hint="eastAsia" w:ascii="Times New Roman" w:hAnsi="Times New Roman" w:cs="Times New Roman"/>
                <w:sz w:val="24"/>
                <w:lang w:val="en-US" w:eastAsia="zh-CN"/>
              </w:rPr>
              <w:t>2-4</w:t>
            </w:r>
            <w:r>
              <w:rPr>
                <w:rFonts w:hint="eastAsia" w:cs="Times New Roman"/>
                <w:sz w:val="24"/>
                <w:lang w:val="en-US" w:eastAsia="zh-CN"/>
              </w:rPr>
              <w:t>和2-5</w:t>
            </w:r>
            <w:r>
              <w:rPr>
                <w:rFonts w:hint="default" w:ascii="Times New Roman" w:hAnsi="Times New Roman" w:cs="Times New Roman"/>
                <w:sz w:val="24"/>
              </w:rPr>
              <w:t>。</w:t>
            </w:r>
          </w:p>
          <w:p w14:paraId="22237A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w:t>
            </w:r>
            <w:r>
              <w:rPr>
                <w:rFonts w:hint="eastAsia" w:ascii="Times New Roman" w:hAnsi="Times New Roman" w:eastAsia="黑体" w:cs="Times New Roman"/>
                <w:sz w:val="24"/>
                <w:highlight w:val="none"/>
                <w:lang w:val="en-US" w:eastAsia="zh-CN"/>
              </w:rPr>
              <w:t>2-4</w:t>
            </w:r>
            <w:r>
              <w:rPr>
                <w:rFonts w:hint="default" w:ascii="Times New Roman" w:hAnsi="Times New Roman" w:eastAsia="黑体" w:cs="Times New Roman"/>
                <w:sz w:val="24"/>
                <w:highlight w:val="none"/>
              </w:rPr>
              <w:t xml:space="preserve">  </w:t>
            </w:r>
            <w:r>
              <w:rPr>
                <w:rFonts w:hint="eastAsia" w:eastAsia="黑体" w:cs="Times New Roman"/>
                <w:sz w:val="24"/>
                <w:highlight w:val="none"/>
                <w:lang w:val="en-US" w:eastAsia="zh-CN"/>
              </w:rPr>
              <w:t>项目生产</w:t>
            </w:r>
            <w:r>
              <w:rPr>
                <w:rFonts w:hint="default" w:ascii="Times New Roman" w:hAnsi="Times New Roman" w:eastAsia="黑体" w:cs="Times New Roman"/>
                <w:sz w:val="24"/>
                <w:highlight w:val="none"/>
              </w:rPr>
              <w:t>主要设备一览表</w:t>
            </w:r>
          </w:p>
          <w:tbl>
            <w:tblPr>
              <w:tblStyle w:val="21"/>
              <w:tblW w:w="4868" w:type="pct"/>
              <w:tblInd w:w="121"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754"/>
              <w:gridCol w:w="1920"/>
              <w:gridCol w:w="867"/>
              <w:gridCol w:w="809"/>
              <w:gridCol w:w="3447"/>
            </w:tblGrid>
            <w:tr w14:paraId="2EB0DC3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19" w:hRule="atLeast"/>
              </w:trPr>
              <w:tc>
                <w:tcPr>
                  <w:tcW w:w="483" w:type="pct"/>
                  <w:tcBorders>
                    <w:tl2br w:val="nil"/>
                    <w:tr2bl w:val="nil"/>
                  </w:tcBorders>
                  <w:noWrap w:val="0"/>
                  <w:vAlign w:val="center"/>
                </w:tcPr>
                <w:p w14:paraId="1EB61A31">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231" w:type="pct"/>
                  <w:tcBorders>
                    <w:tl2br w:val="nil"/>
                    <w:tr2bl w:val="nil"/>
                  </w:tcBorders>
                  <w:noWrap w:val="0"/>
                  <w:vAlign w:val="center"/>
                </w:tcPr>
                <w:p w14:paraId="5FA47154">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名称</w:t>
                  </w:r>
                </w:p>
              </w:tc>
              <w:tc>
                <w:tcPr>
                  <w:tcW w:w="555" w:type="pct"/>
                  <w:tcBorders>
                    <w:tl2br w:val="nil"/>
                    <w:tr2bl w:val="nil"/>
                  </w:tcBorders>
                  <w:noWrap w:val="0"/>
                  <w:vAlign w:val="center"/>
                </w:tcPr>
                <w:p w14:paraId="48F0A38E">
                  <w:pPr>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单位</w:t>
                  </w:r>
                </w:p>
              </w:tc>
              <w:tc>
                <w:tcPr>
                  <w:tcW w:w="518" w:type="pct"/>
                  <w:tcBorders>
                    <w:tl2br w:val="nil"/>
                    <w:tr2bl w:val="nil"/>
                  </w:tcBorders>
                  <w:noWrap w:val="0"/>
                  <w:vAlign w:val="center"/>
                </w:tcPr>
                <w:p w14:paraId="59A8D5C0">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数量</w:t>
                  </w:r>
                </w:p>
              </w:tc>
              <w:tc>
                <w:tcPr>
                  <w:tcW w:w="2210" w:type="pct"/>
                  <w:tcBorders>
                    <w:tl2br w:val="nil"/>
                    <w:tr2bl w:val="nil"/>
                  </w:tcBorders>
                  <w:noWrap w:val="0"/>
                  <w:vAlign w:val="center"/>
                </w:tcPr>
                <w:p w14:paraId="6AF10A2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7276C0F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05" w:hRule="atLeast"/>
              </w:trPr>
              <w:tc>
                <w:tcPr>
                  <w:tcW w:w="483" w:type="pct"/>
                  <w:vMerge w:val="restart"/>
                  <w:tcBorders>
                    <w:tl2br w:val="nil"/>
                    <w:tr2bl w:val="nil"/>
                  </w:tcBorders>
                  <w:noWrap w:val="0"/>
                  <w:vAlign w:val="center"/>
                </w:tcPr>
                <w:p w14:paraId="03EC3F6A">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牛骨高汤</w:t>
                  </w:r>
                  <w:r>
                    <w:rPr>
                      <w:rFonts w:hint="eastAsia" w:cs="Times New Roman"/>
                      <w:kern w:val="2"/>
                      <w:sz w:val="21"/>
                      <w:szCs w:val="21"/>
                      <w:highlight w:val="none"/>
                      <w:lang w:val="en-US" w:eastAsia="zh-CN" w:bidi="ar-SA"/>
                    </w:rPr>
                    <w:t>生产线</w:t>
                  </w:r>
                </w:p>
              </w:tc>
              <w:tc>
                <w:tcPr>
                  <w:tcW w:w="1231" w:type="pct"/>
                  <w:tcBorders>
                    <w:tl2br w:val="nil"/>
                    <w:tr2bl w:val="nil"/>
                  </w:tcBorders>
                  <w:shd w:val="clear" w:color="auto" w:fill="auto"/>
                  <w:noWrap w:val="0"/>
                  <w:vAlign w:val="center"/>
                </w:tcPr>
                <w:p w14:paraId="56480F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粉碎机</w:t>
                  </w:r>
                </w:p>
              </w:tc>
              <w:tc>
                <w:tcPr>
                  <w:tcW w:w="555" w:type="pct"/>
                  <w:tcBorders>
                    <w:tl2br w:val="nil"/>
                    <w:tr2bl w:val="nil"/>
                  </w:tcBorders>
                  <w:noWrap w:val="0"/>
                  <w:vAlign w:val="center"/>
                </w:tcPr>
                <w:p w14:paraId="43C62EC8">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038D0A32">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7D3AC53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可以将原料均匀</w:t>
                  </w:r>
                  <w:r>
                    <w:rPr>
                      <w:rFonts w:hint="eastAsia" w:ascii="Times New Roman" w:hAnsi="Times New Roman" w:eastAsia="宋体" w:cs="Times New Roman"/>
                      <w:sz w:val="21"/>
                      <w:szCs w:val="21"/>
                      <w:lang w:val="en-US" w:eastAsia="zh-CN"/>
                    </w:rPr>
                    <w:t>粉碎</w:t>
                  </w:r>
                </w:p>
              </w:tc>
            </w:tr>
            <w:tr w14:paraId="2793F58E">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2" w:hRule="atLeast"/>
              </w:trPr>
              <w:tc>
                <w:tcPr>
                  <w:tcW w:w="483" w:type="pct"/>
                  <w:vMerge w:val="continue"/>
                  <w:tcBorders>
                    <w:tl2br w:val="nil"/>
                    <w:tr2bl w:val="nil"/>
                  </w:tcBorders>
                  <w:noWrap w:val="0"/>
                  <w:vAlign w:val="center"/>
                </w:tcPr>
                <w:p w14:paraId="0B77A6B9">
                  <w:pPr>
                    <w:jc w:val="center"/>
                    <w:rPr>
                      <w:rFonts w:hint="default" w:ascii="Times New Roman" w:hAnsi="Times New Roman" w:eastAsia="宋体" w:cs="Times New Roman"/>
                      <w:sz w:val="21"/>
                      <w:szCs w:val="21"/>
                      <w:highlight w:val="none"/>
                      <w:lang w:eastAsia="zh-CN"/>
                    </w:rPr>
                  </w:pPr>
                </w:p>
              </w:tc>
              <w:tc>
                <w:tcPr>
                  <w:tcW w:w="1231" w:type="pct"/>
                  <w:tcBorders>
                    <w:tl2br w:val="nil"/>
                    <w:tr2bl w:val="nil"/>
                  </w:tcBorders>
                  <w:shd w:val="clear" w:color="auto" w:fill="auto"/>
                  <w:noWrap w:val="0"/>
                  <w:vAlign w:val="center"/>
                </w:tcPr>
                <w:p w14:paraId="633573E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蒸煮锅</w:t>
                  </w:r>
                </w:p>
              </w:tc>
              <w:tc>
                <w:tcPr>
                  <w:tcW w:w="555" w:type="pct"/>
                  <w:tcBorders>
                    <w:tl2br w:val="nil"/>
                    <w:tr2bl w:val="nil"/>
                  </w:tcBorders>
                  <w:noWrap w:val="0"/>
                  <w:vAlign w:val="center"/>
                </w:tcPr>
                <w:p w14:paraId="04B5C6C4">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0338D5A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1A4B53A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对牛骨、牛油进行蒸煮</w:t>
                  </w:r>
                </w:p>
              </w:tc>
            </w:tr>
            <w:tr w14:paraId="2908B71B">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49" w:hRule="atLeast"/>
              </w:trPr>
              <w:tc>
                <w:tcPr>
                  <w:tcW w:w="483" w:type="pct"/>
                  <w:vMerge w:val="continue"/>
                  <w:tcBorders>
                    <w:tl2br w:val="nil"/>
                    <w:tr2bl w:val="nil"/>
                  </w:tcBorders>
                  <w:noWrap w:val="0"/>
                  <w:vAlign w:val="center"/>
                </w:tcPr>
                <w:p w14:paraId="3C2228D5">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109BE33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压力蒸煮锅</w:t>
                  </w:r>
                </w:p>
              </w:tc>
              <w:tc>
                <w:tcPr>
                  <w:tcW w:w="555" w:type="pct"/>
                  <w:tcBorders>
                    <w:tl2br w:val="nil"/>
                    <w:tr2bl w:val="nil"/>
                  </w:tcBorders>
                  <w:noWrap w:val="0"/>
                  <w:vAlign w:val="center"/>
                </w:tcPr>
                <w:p w14:paraId="0E27B6A0">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1B3B8BC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6F8CB58A">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对牛骨</w:t>
                  </w:r>
                  <w:r>
                    <w:rPr>
                      <w:rFonts w:hint="eastAsia" w:eastAsia="宋体" w:cs="Times New Roman"/>
                      <w:sz w:val="21"/>
                      <w:szCs w:val="21"/>
                      <w:lang w:val="en-US" w:eastAsia="zh-CN"/>
                    </w:rPr>
                    <w:t>、牛油</w:t>
                  </w:r>
                  <w:r>
                    <w:rPr>
                      <w:rFonts w:hint="eastAsia" w:ascii="Times New Roman" w:hAnsi="Times New Roman" w:eastAsia="宋体" w:cs="Times New Roman"/>
                      <w:sz w:val="21"/>
                      <w:szCs w:val="21"/>
                      <w:lang w:val="en-US" w:eastAsia="zh-CN"/>
                    </w:rPr>
                    <w:t>进行高压蒸煮</w:t>
                  </w:r>
                </w:p>
              </w:tc>
            </w:tr>
            <w:tr w14:paraId="6BDA31C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4" w:hRule="atLeast"/>
              </w:trPr>
              <w:tc>
                <w:tcPr>
                  <w:tcW w:w="483" w:type="pct"/>
                  <w:vMerge w:val="continue"/>
                  <w:tcBorders>
                    <w:tl2br w:val="nil"/>
                    <w:tr2bl w:val="nil"/>
                  </w:tcBorders>
                  <w:noWrap w:val="0"/>
                  <w:vAlign w:val="center"/>
                </w:tcPr>
                <w:p w14:paraId="0265F745">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21A9AB71">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静置罐</w:t>
                  </w:r>
                </w:p>
              </w:tc>
              <w:tc>
                <w:tcPr>
                  <w:tcW w:w="555" w:type="pct"/>
                  <w:tcBorders>
                    <w:tl2br w:val="nil"/>
                    <w:tr2bl w:val="nil"/>
                  </w:tcBorders>
                  <w:noWrap w:val="0"/>
                  <w:vAlign w:val="center"/>
                </w:tcPr>
                <w:p w14:paraId="6CBBA288">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676FAD3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2210" w:type="pct"/>
                  <w:tcBorders>
                    <w:tl2br w:val="nil"/>
                    <w:tr2bl w:val="nil"/>
                  </w:tcBorders>
                  <w:noWrap w:val="0"/>
                  <w:vAlign w:val="center"/>
                </w:tcPr>
                <w:p w14:paraId="56DE202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用于处理后原料静置</w:t>
                  </w:r>
                </w:p>
              </w:tc>
            </w:tr>
            <w:tr w14:paraId="78E28D9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83" w:type="pct"/>
                  <w:vMerge w:val="continue"/>
                  <w:tcBorders>
                    <w:tl2br w:val="nil"/>
                    <w:tr2bl w:val="nil"/>
                  </w:tcBorders>
                  <w:noWrap w:val="0"/>
                  <w:vAlign w:val="center"/>
                </w:tcPr>
                <w:p w14:paraId="33537C69">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24D34E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浓缩</w:t>
                  </w:r>
                  <w:r>
                    <w:rPr>
                      <w:rFonts w:hint="eastAsia" w:cs="Times New Roman"/>
                      <w:i w:val="0"/>
                      <w:iCs w:val="0"/>
                      <w:color w:val="000000"/>
                      <w:kern w:val="0"/>
                      <w:sz w:val="21"/>
                      <w:szCs w:val="21"/>
                      <w:u w:val="none"/>
                      <w:lang w:val="en-US" w:eastAsia="zh-CN" w:bidi="ar"/>
                    </w:rPr>
                    <w:t>锅</w:t>
                  </w:r>
                </w:p>
              </w:tc>
              <w:tc>
                <w:tcPr>
                  <w:tcW w:w="555" w:type="pct"/>
                  <w:tcBorders>
                    <w:tl2br w:val="nil"/>
                    <w:tr2bl w:val="nil"/>
                  </w:tcBorders>
                  <w:noWrap w:val="0"/>
                  <w:vAlign w:val="center"/>
                </w:tcPr>
                <w:p w14:paraId="2B8F26AD">
                  <w:pPr>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67F5817B">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45DFDD9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牛油、牛骨熬制汤进行浓缩</w:t>
                  </w:r>
                </w:p>
              </w:tc>
            </w:tr>
            <w:tr w14:paraId="390FE51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8" w:hRule="atLeast"/>
              </w:trPr>
              <w:tc>
                <w:tcPr>
                  <w:tcW w:w="483" w:type="pct"/>
                  <w:vMerge w:val="continue"/>
                  <w:tcBorders>
                    <w:tl2br w:val="nil"/>
                    <w:tr2bl w:val="nil"/>
                  </w:tcBorders>
                  <w:noWrap w:val="0"/>
                  <w:vAlign w:val="center"/>
                </w:tcPr>
                <w:p w14:paraId="0EDEEA89">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7A4428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篮式过滤器</w:t>
                  </w:r>
                </w:p>
              </w:tc>
              <w:tc>
                <w:tcPr>
                  <w:tcW w:w="555" w:type="pct"/>
                  <w:tcBorders>
                    <w:tl2br w:val="nil"/>
                    <w:tr2bl w:val="nil"/>
                  </w:tcBorders>
                  <w:noWrap w:val="0"/>
                  <w:vAlign w:val="center"/>
                </w:tcPr>
                <w:p w14:paraId="7B4FE803">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7C674EC1">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6E57C7A9">
                  <w:pPr>
                    <w:tabs>
                      <w:tab w:val="left" w:pos="896"/>
                    </w:tabs>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利用滤网过滤掉大的固体颗粒</w:t>
                  </w:r>
                </w:p>
              </w:tc>
            </w:tr>
            <w:tr w14:paraId="2B7076D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9" w:hRule="atLeast"/>
              </w:trPr>
              <w:tc>
                <w:tcPr>
                  <w:tcW w:w="483" w:type="pct"/>
                  <w:vMerge w:val="continue"/>
                  <w:tcBorders>
                    <w:tl2br w:val="nil"/>
                    <w:tr2bl w:val="nil"/>
                  </w:tcBorders>
                  <w:noWrap w:val="0"/>
                  <w:vAlign w:val="center"/>
                </w:tcPr>
                <w:p w14:paraId="0BAFDB55">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33C72A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热水罐</w:t>
                  </w:r>
                </w:p>
              </w:tc>
              <w:tc>
                <w:tcPr>
                  <w:tcW w:w="555" w:type="pct"/>
                  <w:tcBorders>
                    <w:tl2br w:val="nil"/>
                    <w:tr2bl w:val="nil"/>
                  </w:tcBorders>
                  <w:noWrap w:val="0"/>
                  <w:vAlign w:val="center"/>
                </w:tcPr>
                <w:p w14:paraId="730FA208">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365C48FF">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2A5FECB6">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储存加热后的热水，便于用取</w:t>
                  </w:r>
                </w:p>
              </w:tc>
            </w:tr>
            <w:tr w14:paraId="4FCD445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8" w:hRule="atLeast"/>
              </w:trPr>
              <w:tc>
                <w:tcPr>
                  <w:tcW w:w="483" w:type="pct"/>
                  <w:vMerge w:val="continue"/>
                  <w:tcBorders>
                    <w:tl2br w:val="nil"/>
                    <w:tr2bl w:val="nil"/>
                  </w:tcBorders>
                  <w:noWrap w:val="0"/>
                  <w:vAlign w:val="center"/>
                </w:tcPr>
                <w:p w14:paraId="56FF8332">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43821A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调配罐</w:t>
                  </w:r>
                </w:p>
              </w:tc>
              <w:tc>
                <w:tcPr>
                  <w:tcW w:w="555" w:type="pct"/>
                  <w:tcBorders>
                    <w:tl2br w:val="nil"/>
                    <w:tr2bl w:val="nil"/>
                  </w:tcBorders>
                  <w:noWrap w:val="0"/>
                  <w:vAlign w:val="center"/>
                </w:tcPr>
                <w:p w14:paraId="1BBFC02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7DB8C2C3">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2210" w:type="pct"/>
                  <w:tcBorders>
                    <w:tl2br w:val="nil"/>
                    <w:tr2bl w:val="nil"/>
                  </w:tcBorders>
                  <w:noWrap w:val="0"/>
                  <w:vAlign w:val="center"/>
                </w:tcPr>
                <w:p w14:paraId="12E1E1C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添加其他原辅料调配</w:t>
                  </w:r>
                </w:p>
              </w:tc>
            </w:tr>
            <w:tr w14:paraId="6308EB6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1" w:hRule="atLeast"/>
              </w:trPr>
              <w:tc>
                <w:tcPr>
                  <w:tcW w:w="483" w:type="pct"/>
                  <w:vMerge w:val="continue"/>
                  <w:tcBorders>
                    <w:tl2br w:val="nil"/>
                    <w:tr2bl w:val="nil"/>
                  </w:tcBorders>
                  <w:noWrap w:val="0"/>
                  <w:vAlign w:val="center"/>
                </w:tcPr>
                <w:p w14:paraId="75ED3AF7">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33AFE2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高压均质机</w:t>
                  </w:r>
                </w:p>
              </w:tc>
              <w:tc>
                <w:tcPr>
                  <w:tcW w:w="555" w:type="pct"/>
                  <w:tcBorders>
                    <w:tl2br w:val="nil"/>
                    <w:tr2bl w:val="nil"/>
                  </w:tcBorders>
                  <w:noWrap w:val="0"/>
                  <w:vAlign w:val="center"/>
                </w:tcPr>
                <w:p w14:paraId="425112D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64E3728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235DDDD5">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机器内含搅拌可以乳化</w:t>
                  </w:r>
                </w:p>
              </w:tc>
            </w:tr>
            <w:tr w14:paraId="01187B2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539" w:hRule="atLeast"/>
              </w:trPr>
              <w:tc>
                <w:tcPr>
                  <w:tcW w:w="483" w:type="pct"/>
                  <w:vMerge w:val="continue"/>
                  <w:tcBorders>
                    <w:tl2br w:val="nil"/>
                    <w:tr2bl w:val="nil"/>
                  </w:tcBorders>
                  <w:noWrap w:val="0"/>
                  <w:vAlign w:val="center"/>
                </w:tcPr>
                <w:p w14:paraId="0BA57839">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4FAF0B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高精度电子计</w:t>
                  </w:r>
                </w:p>
                <w:p w14:paraId="435D2B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重秤</w:t>
                  </w:r>
                </w:p>
              </w:tc>
              <w:tc>
                <w:tcPr>
                  <w:tcW w:w="555" w:type="pct"/>
                  <w:tcBorders>
                    <w:tl2br w:val="nil"/>
                    <w:tr2bl w:val="nil"/>
                  </w:tcBorders>
                  <w:noWrap w:val="0"/>
                  <w:vAlign w:val="center"/>
                </w:tcPr>
                <w:p w14:paraId="2BA413A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6BE5CF11">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20CE4A5E">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对各种原料、原辅料和成品</w:t>
                  </w:r>
                </w:p>
                <w:p w14:paraId="35449F3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确定重量</w:t>
                  </w:r>
                </w:p>
              </w:tc>
            </w:tr>
            <w:tr w14:paraId="0175B81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45" w:hRule="atLeast"/>
              </w:trPr>
              <w:tc>
                <w:tcPr>
                  <w:tcW w:w="483" w:type="pct"/>
                  <w:vMerge w:val="continue"/>
                  <w:tcBorders>
                    <w:tl2br w:val="nil"/>
                    <w:tr2bl w:val="nil"/>
                  </w:tcBorders>
                  <w:noWrap w:val="0"/>
                  <w:vAlign w:val="center"/>
                </w:tcPr>
                <w:p w14:paraId="6C69C76D">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0214D9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灌装车</w:t>
                  </w:r>
                </w:p>
              </w:tc>
              <w:tc>
                <w:tcPr>
                  <w:tcW w:w="555" w:type="pct"/>
                  <w:tcBorders>
                    <w:tl2br w:val="nil"/>
                    <w:tr2bl w:val="nil"/>
                  </w:tcBorders>
                  <w:noWrap w:val="0"/>
                  <w:vAlign w:val="center"/>
                </w:tcPr>
                <w:p w14:paraId="6F928CAA">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台</w:t>
                  </w:r>
                </w:p>
              </w:tc>
              <w:tc>
                <w:tcPr>
                  <w:tcW w:w="518" w:type="pct"/>
                  <w:tcBorders>
                    <w:tl2br w:val="nil"/>
                    <w:tr2bl w:val="nil"/>
                  </w:tcBorders>
                  <w:noWrap w:val="0"/>
                  <w:vAlign w:val="center"/>
                </w:tcPr>
                <w:p w14:paraId="4CBB0136">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2210" w:type="pct"/>
                  <w:tcBorders>
                    <w:tl2br w:val="nil"/>
                    <w:tr2bl w:val="nil"/>
                  </w:tcBorders>
                  <w:noWrap w:val="0"/>
                  <w:vAlign w:val="center"/>
                </w:tcPr>
                <w:p w14:paraId="7DF6ED1A">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用于各种成品灌装</w:t>
                  </w:r>
                </w:p>
              </w:tc>
            </w:tr>
            <w:tr w14:paraId="597A2EDA">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16" w:hRule="atLeast"/>
              </w:trPr>
              <w:tc>
                <w:tcPr>
                  <w:tcW w:w="483" w:type="pct"/>
                  <w:vMerge w:val="continue"/>
                  <w:tcBorders>
                    <w:tl2br w:val="nil"/>
                    <w:tr2bl w:val="nil"/>
                  </w:tcBorders>
                  <w:noWrap w:val="0"/>
                  <w:vAlign w:val="center"/>
                </w:tcPr>
                <w:p w14:paraId="752834EB">
                  <w:pPr>
                    <w:jc w:val="center"/>
                    <w:rPr>
                      <w:rFonts w:hint="default" w:ascii="Times New Roman" w:hAnsi="Times New Roman" w:eastAsia="宋体" w:cs="Times New Roman"/>
                      <w:kern w:val="2"/>
                      <w:sz w:val="21"/>
                      <w:szCs w:val="21"/>
                      <w:highlight w:val="none"/>
                      <w:lang w:val="en-US" w:eastAsia="zh-CN" w:bidi="ar-SA"/>
                    </w:rPr>
                  </w:pPr>
                </w:p>
              </w:tc>
              <w:tc>
                <w:tcPr>
                  <w:tcW w:w="1231" w:type="pct"/>
                  <w:tcBorders>
                    <w:tl2br w:val="nil"/>
                    <w:tr2bl w:val="nil"/>
                  </w:tcBorders>
                  <w:shd w:val="clear" w:color="auto" w:fill="auto"/>
                  <w:noWrap w:val="0"/>
                  <w:vAlign w:val="center"/>
                </w:tcPr>
                <w:p w14:paraId="3964C7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包装打包机</w:t>
                  </w:r>
                </w:p>
              </w:tc>
              <w:tc>
                <w:tcPr>
                  <w:tcW w:w="555" w:type="pct"/>
                  <w:tcBorders>
                    <w:tl2br w:val="nil"/>
                    <w:tr2bl w:val="nil"/>
                  </w:tcBorders>
                  <w:noWrap w:val="0"/>
                  <w:vAlign w:val="center"/>
                </w:tcPr>
                <w:p w14:paraId="5E53F984">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套</w:t>
                  </w:r>
                </w:p>
              </w:tc>
              <w:tc>
                <w:tcPr>
                  <w:tcW w:w="518" w:type="pct"/>
                  <w:tcBorders>
                    <w:tl2br w:val="nil"/>
                    <w:tr2bl w:val="nil"/>
                  </w:tcBorders>
                  <w:noWrap w:val="0"/>
                  <w:vAlign w:val="center"/>
                </w:tcPr>
                <w:p w14:paraId="4BA7E1EF">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6480549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密封打包封口</w:t>
                  </w:r>
                </w:p>
              </w:tc>
            </w:tr>
            <w:tr w14:paraId="7B0CCD3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04" w:hRule="atLeast"/>
              </w:trPr>
              <w:tc>
                <w:tcPr>
                  <w:tcW w:w="483" w:type="pct"/>
                  <w:vMerge w:val="restart"/>
                  <w:tcBorders>
                    <w:tl2br w:val="nil"/>
                    <w:tr2bl w:val="nil"/>
                  </w:tcBorders>
                  <w:noWrap w:val="0"/>
                  <w:vAlign w:val="center"/>
                </w:tcPr>
                <w:p w14:paraId="7EE97A8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辣椒制品</w:t>
                  </w:r>
                  <w:r>
                    <w:rPr>
                      <w:rFonts w:hint="eastAsia" w:cs="Times New Roman"/>
                      <w:sz w:val="21"/>
                      <w:szCs w:val="21"/>
                      <w:highlight w:val="none"/>
                      <w:lang w:val="en-US" w:eastAsia="zh-CN"/>
                    </w:rPr>
                    <w:t>生产线</w:t>
                  </w:r>
                </w:p>
              </w:tc>
              <w:tc>
                <w:tcPr>
                  <w:tcW w:w="1231" w:type="pct"/>
                  <w:tcBorders>
                    <w:tl2br w:val="nil"/>
                    <w:tr2bl w:val="nil"/>
                  </w:tcBorders>
                  <w:shd w:val="clear" w:color="auto" w:fill="auto"/>
                  <w:noWrap w:val="0"/>
                  <w:vAlign w:val="center"/>
                </w:tcPr>
                <w:p w14:paraId="36585B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腌制罐</w:t>
                  </w:r>
                </w:p>
              </w:tc>
              <w:tc>
                <w:tcPr>
                  <w:tcW w:w="555" w:type="pct"/>
                  <w:tcBorders>
                    <w:tl2br w:val="nil"/>
                    <w:tr2bl w:val="nil"/>
                  </w:tcBorders>
                  <w:noWrap w:val="0"/>
                  <w:vAlign w:val="center"/>
                </w:tcPr>
                <w:p w14:paraId="4C4DF327">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套</w:t>
                  </w:r>
                </w:p>
              </w:tc>
              <w:tc>
                <w:tcPr>
                  <w:tcW w:w="518" w:type="pct"/>
                  <w:tcBorders>
                    <w:tl2br w:val="nil"/>
                    <w:tr2bl w:val="nil"/>
                  </w:tcBorders>
                  <w:noWrap w:val="0"/>
                  <w:vAlign w:val="center"/>
                </w:tcPr>
                <w:p w14:paraId="09ECC281">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2210" w:type="pct"/>
                  <w:tcBorders>
                    <w:tl2br w:val="nil"/>
                    <w:tr2bl w:val="nil"/>
                  </w:tcBorders>
                  <w:noWrap w:val="0"/>
                  <w:vAlign w:val="center"/>
                </w:tcPr>
                <w:p w14:paraId="76506B3A">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用来腌制辣椒</w:t>
                  </w:r>
                </w:p>
              </w:tc>
            </w:tr>
            <w:tr w14:paraId="1BC3B25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04" w:hRule="atLeast"/>
              </w:trPr>
              <w:tc>
                <w:tcPr>
                  <w:tcW w:w="483" w:type="pct"/>
                  <w:vMerge w:val="continue"/>
                  <w:tcBorders>
                    <w:tl2br w:val="nil"/>
                    <w:tr2bl w:val="nil"/>
                  </w:tcBorders>
                  <w:noWrap w:val="0"/>
                  <w:vAlign w:val="center"/>
                </w:tcPr>
                <w:p w14:paraId="73676AAB">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2B150B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单层搅拌锅</w:t>
                  </w:r>
                </w:p>
              </w:tc>
              <w:tc>
                <w:tcPr>
                  <w:tcW w:w="555" w:type="pct"/>
                  <w:tcBorders>
                    <w:tl2br w:val="nil"/>
                    <w:tr2bl w:val="nil"/>
                  </w:tcBorders>
                  <w:noWrap w:val="0"/>
                  <w:vAlign w:val="center"/>
                </w:tcPr>
                <w:p w14:paraId="04691547">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台</w:t>
                  </w:r>
                </w:p>
              </w:tc>
              <w:tc>
                <w:tcPr>
                  <w:tcW w:w="518" w:type="pct"/>
                  <w:tcBorders>
                    <w:tl2br w:val="nil"/>
                    <w:tr2bl w:val="nil"/>
                  </w:tcBorders>
                  <w:noWrap w:val="0"/>
                  <w:vAlign w:val="center"/>
                </w:tcPr>
                <w:p w14:paraId="31D98EB3">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622570F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可以进行简单搅拌切料</w:t>
                  </w:r>
                </w:p>
              </w:tc>
            </w:tr>
            <w:tr w14:paraId="01E408E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04" w:hRule="atLeast"/>
              </w:trPr>
              <w:tc>
                <w:tcPr>
                  <w:tcW w:w="483" w:type="pct"/>
                  <w:vMerge w:val="continue"/>
                  <w:tcBorders>
                    <w:tl2br w:val="nil"/>
                    <w:tr2bl w:val="nil"/>
                  </w:tcBorders>
                  <w:noWrap w:val="0"/>
                  <w:vAlign w:val="center"/>
                </w:tcPr>
                <w:p w14:paraId="33D72E10">
                  <w:pPr>
                    <w:jc w:val="center"/>
                    <w:rPr>
                      <w:rFonts w:hint="eastAsia"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640DC3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切菜机</w:t>
                  </w:r>
                </w:p>
              </w:tc>
              <w:tc>
                <w:tcPr>
                  <w:tcW w:w="555" w:type="pct"/>
                  <w:tcBorders>
                    <w:tl2br w:val="nil"/>
                    <w:tr2bl w:val="nil"/>
                  </w:tcBorders>
                  <w:noWrap w:val="0"/>
                  <w:vAlign w:val="center"/>
                </w:tcPr>
                <w:p w14:paraId="5DA0BE81">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台</w:t>
                  </w:r>
                </w:p>
              </w:tc>
              <w:tc>
                <w:tcPr>
                  <w:tcW w:w="518" w:type="pct"/>
                  <w:tcBorders>
                    <w:tl2br w:val="nil"/>
                    <w:tr2bl w:val="nil"/>
                  </w:tcBorders>
                  <w:noWrap w:val="0"/>
                  <w:vAlign w:val="center"/>
                </w:tcPr>
                <w:p w14:paraId="704E7AB4">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2210" w:type="pct"/>
                  <w:tcBorders>
                    <w:tl2br w:val="nil"/>
                    <w:tr2bl w:val="nil"/>
                  </w:tcBorders>
                  <w:noWrap w:val="0"/>
                  <w:vAlign w:val="center"/>
                </w:tcPr>
                <w:p w14:paraId="14B6F58D">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对辣椒进行切菜粉碎</w:t>
                  </w:r>
                </w:p>
              </w:tc>
            </w:tr>
            <w:tr w14:paraId="450BC59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33" w:hRule="atLeast"/>
              </w:trPr>
              <w:tc>
                <w:tcPr>
                  <w:tcW w:w="483" w:type="pct"/>
                  <w:vMerge w:val="continue"/>
                  <w:tcBorders>
                    <w:tl2br w:val="nil"/>
                    <w:tr2bl w:val="nil"/>
                  </w:tcBorders>
                  <w:noWrap w:val="0"/>
                  <w:vAlign w:val="center"/>
                </w:tcPr>
                <w:p w14:paraId="1CFF5EFA">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6EB3BF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搅拌锅</w:t>
                  </w:r>
                </w:p>
              </w:tc>
              <w:tc>
                <w:tcPr>
                  <w:tcW w:w="555" w:type="pct"/>
                  <w:tcBorders>
                    <w:tl2br w:val="nil"/>
                    <w:tr2bl w:val="nil"/>
                  </w:tcBorders>
                  <w:shd w:val="clear" w:color="auto" w:fill="auto"/>
                  <w:noWrap w:val="0"/>
                  <w:vAlign w:val="center"/>
                </w:tcPr>
                <w:p w14:paraId="582D7626">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台</w:t>
                  </w:r>
                </w:p>
              </w:tc>
              <w:tc>
                <w:tcPr>
                  <w:tcW w:w="518" w:type="pct"/>
                  <w:tcBorders>
                    <w:tl2br w:val="nil"/>
                    <w:tr2bl w:val="nil"/>
                  </w:tcBorders>
                  <w:shd w:val="clear" w:color="auto" w:fill="auto"/>
                  <w:noWrap w:val="0"/>
                  <w:vAlign w:val="center"/>
                </w:tcPr>
                <w:p w14:paraId="1243D59D">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5D7EB00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辣椒酱搅拌均匀</w:t>
                  </w:r>
                </w:p>
              </w:tc>
            </w:tr>
            <w:tr w14:paraId="2B10F51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33" w:hRule="atLeast"/>
              </w:trPr>
              <w:tc>
                <w:tcPr>
                  <w:tcW w:w="483" w:type="pct"/>
                  <w:vMerge w:val="continue"/>
                  <w:tcBorders>
                    <w:tl2br w:val="nil"/>
                    <w:tr2bl w:val="nil"/>
                  </w:tcBorders>
                  <w:noWrap w:val="0"/>
                  <w:vAlign w:val="center"/>
                </w:tcPr>
                <w:p w14:paraId="6F3BE1CE">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2397CE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炒制锅</w:t>
                  </w:r>
                </w:p>
              </w:tc>
              <w:tc>
                <w:tcPr>
                  <w:tcW w:w="555" w:type="pct"/>
                  <w:tcBorders>
                    <w:tl2br w:val="nil"/>
                    <w:tr2bl w:val="nil"/>
                  </w:tcBorders>
                  <w:shd w:val="clear" w:color="auto" w:fill="auto"/>
                  <w:noWrap w:val="0"/>
                  <w:vAlign w:val="center"/>
                </w:tcPr>
                <w:p w14:paraId="70E521F3">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台</w:t>
                  </w:r>
                </w:p>
              </w:tc>
              <w:tc>
                <w:tcPr>
                  <w:tcW w:w="518" w:type="pct"/>
                  <w:tcBorders>
                    <w:tl2br w:val="nil"/>
                    <w:tr2bl w:val="nil"/>
                  </w:tcBorders>
                  <w:shd w:val="clear" w:color="auto" w:fill="auto"/>
                  <w:noWrap w:val="0"/>
                  <w:vAlign w:val="center"/>
                </w:tcPr>
                <w:p w14:paraId="66E61A67">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2210" w:type="pct"/>
                  <w:tcBorders>
                    <w:tl2br w:val="nil"/>
                    <w:tr2bl w:val="nil"/>
                  </w:tcBorders>
                  <w:noWrap w:val="0"/>
                  <w:vAlign w:val="center"/>
                </w:tcPr>
                <w:p w14:paraId="635C50E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用于辣椒酱的炒制</w:t>
                  </w:r>
                </w:p>
              </w:tc>
            </w:tr>
            <w:tr w14:paraId="2FB9DDDE">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77" w:hRule="atLeast"/>
              </w:trPr>
              <w:tc>
                <w:tcPr>
                  <w:tcW w:w="483" w:type="pct"/>
                  <w:vMerge w:val="continue"/>
                  <w:tcBorders>
                    <w:tl2br w:val="nil"/>
                    <w:tr2bl w:val="nil"/>
                  </w:tcBorders>
                  <w:noWrap w:val="0"/>
                  <w:vAlign w:val="center"/>
                </w:tcPr>
                <w:p w14:paraId="77770A0F">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506818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挑选台面</w:t>
                  </w:r>
                </w:p>
              </w:tc>
              <w:tc>
                <w:tcPr>
                  <w:tcW w:w="555" w:type="pct"/>
                  <w:tcBorders>
                    <w:tl2br w:val="nil"/>
                    <w:tr2bl w:val="nil"/>
                  </w:tcBorders>
                  <w:shd w:val="clear" w:color="auto" w:fill="auto"/>
                  <w:noWrap w:val="0"/>
                  <w:vAlign w:val="center"/>
                </w:tcPr>
                <w:p w14:paraId="07524CB2">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张</w:t>
                  </w:r>
                </w:p>
              </w:tc>
              <w:tc>
                <w:tcPr>
                  <w:tcW w:w="518" w:type="pct"/>
                  <w:tcBorders>
                    <w:tl2br w:val="nil"/>
                    <w:tr2bl w:val="nil"/>
                  </w:tcBorders>
                  <w:shd w:val="clear" w:color="auto" w:fill="auto"/>
                  <w:noWrap w:val="0"/>
                  <w:vAlign w:val="center"/>
                </w:tcPr>
                <w:p w14:paraId="187B9379">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sz w:val="21"/>
                      <w:szCs w:val="21"/>
                      <w:highlight w:val="none"/>
                      <w:lang w:val="en-US" w:eastAsia="zh-CN"/>
                    </w:rPr>
                    <w:t>5</w:t>
                  </w:r>
                </w:p>
              </w:tc>
              <w:tc>
                <w:tcPr>
                  <w:tcW w:w="2210" w:type="pct"/>
                  <w:tcBorders>
                    <w:tl2br w:val="nil"/>
                    <w:tr2bl w:val="nil"/>
                  </w:tcBorders>
                  <w:noWrap w:val="0"/>
                  <w:vAlign w:val="center"/>
                </w:tcPr>
                <w:p w14:paraId="6DFF868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辣椒酱平铺在台面上进行挑选</w:t>
                  </w:r>
                </w:p>
              </w:tc>
            </w:tr>
            <w:tr w14:paraId="1B1B3DB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5" w:hRule="atLeast"/>
              </w:trPr>
              <w:tc>
                <w:tcPr>
                  <w:tcW w:w="483" w:type="pct"/>
                  <w:vMerge w:val="continue"/>
                  <w:tcBorders>
                    <w:tl2br w:val="nil"/>
                    <w:tr2bl w:val="nil"/>
                  </w:tcBorders>
                  <w:noWrap w:val="0"/>
                  <w:vAlign w:val="center"/>
                </w:tcPr>
                <w:p w14:paraId="1358AC64">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327E6E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不锈钢框</w:t>
                  </w:r>
                </w:p>
              </w:tc>
              <w:tc>
                <w:tcPr>
                  <w:tcW w:w="555" w:type="pct"/>
                  <w:tcBorders>
                    <w:tl2br w:val="nil"/>
                    <w:tr2bl w:val="nil"/>
                  </w:tcBorders>
                  <w:shd w:val="clear" w:color="auto" w:fill="auto"/>
                  <w:noWrap w:val="0"/>
                  <w:vAlign w:val="center"/>
                </w:tcPr>
                <w:p w14:paraId="3548E364">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个</w:t>
                  </w:r>
                </w:p>
              </w:tc>
              <w:tc>
                <w:tcPr>
                  <w:tcW w:w="518" w:type="pct"/>
                  <w:tcBorders>
                    <w:tl2br w:val="nil"/>
                    <w:tr2bl w:val="nil"/>
                  </w:tcBorders>
                  <w:shd w:val="clear" w:color="auto" w:fill="auto"/>
                  <w:noWrap w:val="0"/>
                  <w:vAlign w:val="center"/>
                </w:tcPr>
                <w:p w14:paraId="5EF54301">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6</w:t>
                  </w:r>
                </w:p>
              </w:tc>
              <w:tc>
                <w:tcPr>
                  <w:tcW w:w="2210" w:type="pct"/>
                  <w:tcBorders>
                    <w:tl2br w:val="nil"/>
                    <w:tr2bl w:val="nil"/>
                  </w:tcBorders>
                  <w:noWrap w:val="0"/>
                  <w:vAlign w:val="center"/>
                </w:tcPr>
                <w:p w14:paraId="7DEA805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盛装辣椒或其他原料</w:t>
                  </w:r>
                </w:p>
              </w:tc>
            </w:tr>
            <w:tr w14:paraId="2B778A6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66" w:hRule="atLeast"/>
              </w:trPr>
              <w:tc>
                <w:tcPr>
                  <w:tcW w:w="483" w:type="pct"/>
                  <w:vMerge w:val="continue"/>
                  <w:tcBorders>
                    <w:tl2br w:val="nil"/>
                    <w:tr2bl w:val="nil"/>
                  </w:tcBorders>
                  <w:noWrap w:val="0"/>
                  <w:vAlign w:val="center"/>
                </w:tcPr>
                <w:p w14:paraId="75BED2E6">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0AC64D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推车</w:t>
                  </w:r>
                </w:p>
              </w:tc>
              <w:tc>
                <w:tcPr>
                  <w:tcW w:w="555" w:type="pct"/>
                  <w:tcBorders>
                    <w:tl2br w:val="nil"/>
                    <w:tr2bl w:val="nil"/>
                  </w:tcBorders>
                  <w:shd w:val="clear" w:color="auto" w:fill="auto"/>
                  <w:noWrap w:val="0"/>
                  <w:vAlign w:val="center"/>
                </w:tcPr>
                <w:p w14:paraId="35CA62CB">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sz w:val="21"/>
                      <w:szCs w:val="21"/>
                      <w:highlight w:val="none"/>
                      <w:lang w:val="en-US" w:eastAsia="zh-CN"/>
                    </w:rPr>
                    <w:t>个</w:t>
                  </w:r>
                </w:p>
              </w:tc>
              <w:tc>
                <w:tcPr>
                  <w:tcW w:w="518" w:type="pct"/>
                  <w:tcBorders>
                    <w:tl2br w:val="nil"/>
                    <w:tr2bl w:val="nil"/>
                  </w:tcBorders>
                  <w:shd w:val="clear" w:color="auto" w:fill="auto"/>
                  <w:noWrap w:val="0"/>
                  <w:vAlign w:val="center"/>
                </w:tcPr>
                <w:p w14:paraId="73197403">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6</w:t>
                  </w:r>
                </w:p>
              </w:tc>
              <w:tc>
                <w:tcPr>
                  <w:tcW w:w="2210" w:type="pct"/>
                  <w:tcBorders>
                    <w:tl2br w:val="nil"/>
                    <w:tr2bl w:val="nil"/>
                  </w:tcBorders>
                  <w:noWrap w:val="0"/>
                  <w:vAlign w:val="center"/>
                </w:tcPr>
                <w:p w14:paraId="05122AB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运送处理好的鲜辣椒</w:t>
                  </w:r>
                </w:p>
              </w:tc>
            </w:tr>
            <w:tr w14:paraId="793CFB1E">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561" w:hRule="atLeast"/>
              </w:trPr>
              <w:tc>
                <w:tcPr>
                  <w:tcW w:w="483" w:type="pct"/>
                  <w:vMerge w:val="continue"/>
                  <w:tcBorders>
                    <w:tl2br w:val="nil"/>
                    <w:tr2bl w:val="nil"/>
                  </w:tcBorders>
                  <w:noWrap w:val="0"/>
                  <w:vAlign w:val="center"/>
                </w:tcPr>
                <w:p w14:paraId="41C5AC3C">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4EC196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高精度电子计</w:t>
                  </w:r>
                </w:p>
                <w:p w14:paraId="632904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重秤</w:t>
                  </w:r>
                </w:p>
              </w:tc>
              <w:tc>
                <w:tcPr>
                  <w:tcW w:w="555" w:type="pct"/>
                  <w:tcBorders>
                    <w:tl2br w:val="nil"/>
                    <w:tr2bl w:val="nil"/>
                  </w:tcBorders>
                  <w:shd w:val="clear" w:color="auto" w:fill="auto"/>
                  <w:noWrap w:val="0"/>
                  <w:vAlign w:val="center"/>
                </w:tcPr>
                <w:p w14:paraId="11546716">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台</w:t>
                  </w:r>
                </w:p>
              </w:tc>
              <w:tc>
                <w:tcPr>
                  <w:tcW w:w="518" w:type="pct"/>
                  <w:tcBorders>
                    <w:tl2br w:val="nil"/>
                    <w:tr2bl w:val="nil"/>
                  </w:tcBorders>
                  <w:shd w:val="clear" w:color="auto" w:fill="auto"/>
                  <w:noWrap w:val="0"/>
                  <w:vAlign w:val="center"/>
                </w:tcPr>
                <w:p w14:paraId="2AA5384D">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78FC91BC">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对各种原料、原辅料和成品</w:t>
                  </w:r>
                </w:p>
                <w:p w14:paraId="0A163ED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确定重量</w:t>
                  </w:r>
                </w:p>
              </w:tc>
            </w:tr>
            <w:tr w14:paraId="104EF40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76" w:hRule="atLeast"/>
              </w:trPr>
              <w:tc>
                <w:tcPr>
                  <w:tcW w:w="483" w:type="pct"/>
                  <w:vMerge w:val="continue"/>
                  <w:tcBorders>
                    <w:tl2br w:val="nil"/>
                    <w:tr2bl w:val="nil"/>
                  </w:tcBorders>
                  <w:noWrap w:val="0"/>
                  <w:vAlign w:val="center"/>
                </w:tcPr>
                <w:p w14:paraId="7103DEFC">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6FA52E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真空包装机</w:t>
                  </w:r>
                </w:p>
              </w:tc>
              <w:tc>
                <w:tcPr>
                  <w:tcW w:w="555" w:type="pct"/>
                  <w:tcBorders>
                    <w:tl2br w:val="nil"/>
                    <w:tr2bl w:val="nil"/>
                  </w:tcBorders>
                  <w:shd w:val="clear" w:color="auto" w:fill="auto"/>
                  <w:noWrap w:val="0"/>
                  <w:vAlign w:val="center"/>
                </w:tcPr>
                <w:p w14:paraId="1FD3AC5F">
                  <w:pPr>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套</w:t>
                  </w:r>
                </w:p>
              </w:tc>
              <w:tc>
                <w:tcPr>
                  <w:tcW w:w="518" w:type="pct"/>
                  <w:tcBorders>
                    <w:tl2br w:val="nil"/>
                    <w:tr2bl w:val="nil"/>
                  </w:tcBorders>
                  <w:shd w:val="clear" w:color="auto" w:fill="auto"/>
                  <w:noWrap w:val="0"/>
                  <w:vAlign w:val="center"/>
                </w:tcPr>
                <w:p w14:paraId="48057699">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2F57E45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产品有些需要抽取真空打包</w:t>
                  </w:r>
                </w:p>
              </w:tc>
            </w:tr>
            <w:tr w14:paraId="14DC851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1" w:hRule="atLeast"/>
              </w:trPr>
              <w:tc>
                <w:tcPr>
                  <w:tcW w:w="483" w:type="pct"/>
                  <w:vMerge w:val="continue"/>
                  <w:tcBorders>
                    <w:tl2br w:val="nil"/>
                    <w:tr2bl w:val="nil"/>
                  </w:tcBorders>
                  <w:noWrap w:val="0"/>
                  <w:vAlign w:val="center"/>
                </w:tcPr>
                <w:p w14:paraId="1F2DCDE1">
                  <w:pPr>
                    <w:jc w:val="center"/>
                    <w:rPr>
                      <w:rFonts w:hint="default" w:ascii="Times New Roman" w:hAnsi="Times New Roman" w:eastAsia="宋体" w:cs="Times New Roman"/>
                      <w:sz w:val="21"/>
                      <w:szCs w:val="21"/>
                      <w:highlight w:val="none"/>
                      <w:lang w:val="en-US" w:eastAsia="zh-CN"/>
                    </w:rPr>
                  </w:pPr>
                </w:p>
              </w:tc>
              <w:tc>
                <w:tcPr>
                  <w:tcW w:w="1231" w:type="pct"/>
                  <w:tcBorders>
                    <w:tl2br w:val="nil"/>
                    <w:tr2bl w:val="nil"/>
                  </w:tcBorders>
                  <w:shd w:val="clear" w:color="auto" w:fill="auto"/>
                  <w:noWrap w:val="0"/>
                  <w:vAlign w:val="center"/>
                </w:tcPr>
                <w:p w14:paraId="59CD96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金属探测器</w:t>
                  </w:r>
                </w:p>
              </w:tc>
              <w:tc>
                <w:tcPr>
                  <w:tcW w:w="555" w:type="pct"/>
                  <w:tcBorders>
                    <w:tl2br w:val="nil"/>
                    <w:tr2bl w:val="nil"/>
                  </w:tcBorders>
                  <w:shd w:val="clear" w:color="auto" w:fill="auto"/>
                  <w:noWrap w:val="0"/>
                  <w:vAlign w:val="center"/>
                </w:tcPr>
                <w:p w14:paraId="29E948CE">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台</w:t>
                  </w:r>
                </w:p>
              </w:tc>
              <w:tc>
                <w:tcPr>
                  <w:tcW w:w="518" w:type="pct"/>
                  <w:tcBorders>
                    <w:tl2br w:val="nil"/>
                    <w:tr2bl w:val="nil"/>
                  </w:tcBorders>
                  <w:shd w:val="clear" w:color="auto" w:fill="auto"/>
                  <w:noWrap w:val="0"/>
                  <w:vAlign w:val="center"/>
                </w:tcPr>
                <w:p w14:paraId="523A4656">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210" w:type="pct"/>
                  <w:tcBorders>
                    <w:tl2br w:val="nil"/>
                    <w:tr2bl w:val="nil"/>
                  </w:tcBorders>
                  <w:noWrap w:val="0"/>
                  <w:vAlign w:val="center"/>
                </w:tcPr>
                <w:p w14:paraId="0B95BD5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对辣椒内部外部进行筛选</w:t>
                  </w:r>
                </w:p>
              </w:tc>
            </w:tr>
            <w:tr w14:paraId="20DFAB1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51" w:hRule="atLeast"/>
              </w:trPr>
              <w:tc>
                <w:tcPr>
                  <w:tcW w:w="483" w:type="pct"/>
                  <w:tcBorders>
                    <w:tl2br w:val="nil"/>
                    <w:tr2bl w:val="nil"/>
                  </w:tcBorders>
                  <w:noWrap w:val="0"/>
                  <w:vAlign w:val="center"/>
                </w:tcPr>
                <w:p w14:paraId="151E52F2">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锅炉</w:t>
                  </w:r>
                </w:p>
              </w:tc>
              <w:tc>
                <w:tcPr>
                  <w:tcW w:w="1231" w:type="pct"/>
                  <w:tcBorders>
                    <w:tl2br w:val="nil"/>
                    <w:tr2bl w:val="nil"/>
                  </w:tcBorders>
                  <w:shd w:val="clear" w:color="auto" w:fill="auto"/>
                  <w:noWrap w:val="0"/>
                  <w:vAlign w:val="center"/>
                </w:tcPr>
                <w:p w14:paraId="1782D6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蒸汽锅炉</w:t>
                  </w:r>
                </w:p>
              </w:tc>
              <w:tc>
                <w:tcPr>
                  <w:tcW w:w="555" w:type="pct"/>
                  <w:tcBorders>
                    <w:tl2br w:val="nil"/>
                    <w:tr2bl w:val="nil"/>
                  </w:tcBorders>
                  <w:shd w:val="clear" w:color="auto" w:fill="auto"/>
                  <w:noWrap w:val="0"/>
                  <w:vAlign w:val="center"/>
                </w:tcPr>
                <w:p w14:paraId="2B011793">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台</w:t>
                  </w:r>
                </w:p>
              </w:tc>
              <w:tc>
                <w:tcPr>
                  <w:tcW w:w="518" w:type="pct"/>
                  <w:tcBorders>
                    <w:tl2br w:val="nil"/>
                    <w:tr2bl w:val="nil"/>
                  </w:tcBorders>
                  <w:shd w:val="clear" w:color="auto" w:fill="auto"/>
                  <w:noWrap w:val="0"/>
                  <w:vAlign w:val="center"/>
                </w:tcPr>
                <w:p w14:paraId="7F09C7C5">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2210" w:type="pct"/>
                  <w:tcBorders>
                    <w:tl2br w:val="nil"/>
                    <w:tr2bl w:val="nil"/>
                  </w:tcBorders>
                  <w:noWrap w:val="0"/>
                  <w:vAlign w:val="center"/>
                </w:tcPr>
                <w:p w14:paraId="793B1C4E">
                  <w:pPr>
                    <w:jc w:val="center"/>
                    <w:rPr>
                      <w:rFonts w:hint="default" w:ascii="Times New Roman" w:hAnsi="Times New Roman" w:eastAsia="宋体" w:cs="Times New Roman"/>
                      <w:sz w:val="21"/>
                      <w:szCs w:val="21"/>
                      <w:lang w:val="en-US" w:eastAsia="zh-CN"/>
                    </w:rPr>
                  </w:pPr>
                  <w:bookmarkStart w:id="4" w:name="OLE_LINK7"/>
                  <w:r>
                    <w:rPr>
                      <w:rFonts w:hint="eastAsia" w:cs="Times New Roman"/>
                      <w:sz w:val="21"/>
                      <w:szCs w:val="21"/>
                      <w:lang w:val="en-US" w:eastAsia="zh-CN"/>
                    </w:rPr>
                    <w:t>4t/h蒸汽锅炉提供蒸汽</w:t>
                  </w:r>
                  <w:bookmarkEnd w:id="4"/>
                </w:p>
              </w:tc>
            </w:tr>
          </w:tbl>
          <w:p w14:paraId="28FBD7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w:t>
            </w:r>
            <w:r>
              <w:rPr>
                <w:rFonts w:hint="eastAsia" w:ascii="Times New Roman" w:hAnsi="Times New Roman" w:eastAsia="黑体" w:cs="Times New Roman"/>
                <w:sz w:val="24"/>
                <w:highlight w:val="none"/>
                <w:lang w:val="en-US" w:eastAsia="zh-CN"/>
              </w:rPr>
              <w:t>2-</w:t>
            </w:r>
            <w:r>
              <w:rPr>
                <w:rFonts w:hint="eastAsia" w:eastAsia="黑体" w:cs="Times New Roman"/>
                <w:sz w:val="24"/>
                <w:highlight w:val="none"/>
                <w:lang w:val="en-US" w:eastAsia="zh-CN"/>
              </w:rPr>
              <w:t>5</w:t>
            </w:r>
            <w:r>
              <w:rPr>
                <w:rFonts w:hint="default" w:ascii="Times New Roman" w:hAnsi="Times New Roman" w:eastAsia="黑体" w:cs="Times New Roman"/>
                <w:sz w:val="24"/>
                <w:highlight w:val="none"/>
              </w:rPr>
              <w:t xml:space="preserve">  </w:t>
            </w:r>
            <w:r>
              <w:rPr>
                <w:rFonts w:hint="eastAsia" w:eastAsia="黑体" w:cs="Times New Roman"/>
                <w:sz w:val="24"/>
                <w:highlight w:val="none"/>
                <w:lang w:val="en-US" w:eastAsia="zh-CN"/>
              </w:rPr>
              <w:t>项目化验</w:t>
            </w:r>
            <w:r>
              <w:rPr>
                <w:rFonts w:hint="default" w:ascii="Times New Roman" w:hAnsi="Times New Roman" w:eastAsia="黑体" w:cs="Times New Roman"/>
                <w:sz w:val="24"/>
                <w:highlight w:val="none"/>
              </w:rPr>
              <w:t>主要设备一览表</w:t>
            </w:r>
          </w:p>
          <w:tbl>
            <w:tblPr>
              <w:tblStyle w:val="21"/>
              <w:tblW w:w="4880" w:type="pct"/>
              <w:tblInd w:w="193"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93"/>
              <w:gridCol w:w="2295"/>
              <w:gridCol w:w="744"/>
              <w:gridCol w:w="756"/>
              <w:gridCol w:w="2048"/>
              <w:gridCol w:w="1279"/>
            </w:tblGrid>
            <w:tr w14:paraId="6CDC107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9" w:hRule="atLeast"/>
              </w:trPr>
              <w:tc>
                <w:tcPr>
                  <w:tcW w:w="443" w:type="pct"/>
                  <w:tcBorders>
                    <w:tl2br w:val="nil"/>
                    <w:tr2bl w:val="nil"/>
                  </w:tcBorders>
                  <w:noWrap w:val="0"/>
                  <w:vAlign w:val="center"/>
                </w:tcPr>
                <w:p w14:paraId="1A14321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468" w:type="pct"/>
                  <w:tcBorders>
                    <w:tl2br w:val="nil"/>
                    <w:tr2bl w:val="nil"/>
                  </w:tcBorders>
                  <w:noWrap w:val="0"/>
                  <w:vAlign w:val="center"/>
                </w:tcPr>
                <w:p w14:paraId="09FFB6B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名称</w:t>
                  </w:r>
                </w:p>
              </w:tc>
              <w:tc>
                <w:tcPr>
                  <w:tcW w:w="476" w:type="pct"/>
                  <w:tcBorders>
                    <w:tl2br w:val="nil"/>
                    <w:tr2bl w:val="nil"/>
                  </w:tcBorders>
                  <w:noWrap w:val="0"/>
                  <w:vAlign w:val="center"/>
                </w:tcPr>
                <w:p w14:paraId="14DB367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单位</w:t>
                  </w:r>
                </w:p>
              </w:tc>
              <w:tc>
                <w:tcPr>
                  <w:tcW w:w="483" w:type="pct"/>
                  <w:tcBorders>
                    <w:tl2br w:val="nil"/>
                    <w:tr2bl w:val="nil"/>
                  </w:tcBorders>
                  <w:noWrap w:val="0"/>
                  <w:vAlign w:val="center"/>
                </w:tcPr>
                <w:p w14:paraId="558D76D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数量</w:t>
                  </w:r>
                </w:p>
              </w:tc>
              <w:tc>
                <w:tcPr>
                  <w:tcW w:w="2128" w:type="pct"/>
                  <w:gridSpan w:val="2"/>
                  <w:tcBorders>
                    <w:tl2br w:val="nil"/>
                    <w:tr2bl w:val="nil"/>
                  </w:tcBorders>
                  <w:noWrap w:val="0"/>
                  <w:vAlign w:val="center"/>
                </w:tcPr>
                <w:p w14:paraId="132488C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2D1E3A6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5" w:hRule="atLeast"/>
              </w:trPr>
              <w:tc>
                <w:tcPr>
                  <w:tcW w:w="443" w:type="pct"/>
                  <w:vMerge w:val="restart"/>
                  <w:tcBorders>
                    <w:tl2br w:val="nil"/>
                    <w:tr2bl w:val="nil"/>
                  </w:tcBorders>
                  <w:noWrap w:val="0"/>
                  <w:vAlign w:val="center"/>
                </w:tcPr>
                <w:p w14:paraId="1A3D7CC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化验室</w:t>
                  </w:r>
                </w:p>
              </w:tc>
              <w:tc>
                <w:tcPr>
                  <w:tcW w:w="1468" w:type="pct"/>
                  <w:tcBorders>
                    <w:tl2br w:val="nil"/>
                    <w:tr2bl w:val="nil"/>
                  </w:tcBorders>
                  <w:shd w:val="clear" w:color="auto" w:fill="auto"/>
                  <w:noWrap w:val="0"/>
                  <w:vAlign w:val="center"/>
                </w:tcPr>
                <w:p w14:paraId="13F557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电热恒温培养箱</w:t>
                  </w:r>
                </w:p>
              </w:tc>
              <w:tc>
                <w:tcPr>
                  <w:tcW w:w="476" w:type="pct"/>
                  <w:tcBorders>
                    <w:tl2br w:val="nil"/>
                    <w:tr2bl w:val="nil"/>
                  </w:tcBorders>
                  <w:noWrap w:val="0"/>
                  <w:vAlign w:val="center"/>
                </w:tcPr>
                <w:p w14:paraId="53B474E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1F41833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4272569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DH-3600II</w:t>
                  </w:r>
                </w:p>
              </w:tc>
              <w:tc>
                <w:tcPr>
                  <w:tcW w:w="818" w:type="pct"/>
                  <w:vMerge w:val="restart"/>
                  <w:tcBorders>
                    <w:tl2br w:val="nil"/>
                    <w:tr2bl w:val="nil"/>
                  </w:tcBorders>
                  <w:noWrap w:val="0"/>
                  <w:vAlign w:val="center"/>
                </w:tcPr>
                <w:p w14:paraId="60A3D0C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存放在化验室内，定期对产品进行检测和抽检，检测产品是否合格</w:t>
                  </w:r>
                </w:p>
              </w:tc>
            </w:tr>
            <w:tr w14:paraId="1712D4F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71" w:hRule="atLeast"/>
              </w:trPr>
              <w:tc>
                <w:tcPr>
                  <w:tcW w:w="443" w:type="pct"/>
                  <w:vMerge w:val="continue"/>
                  <w:tcBorders>
                    <w:tl2br w:val="nil"/>
                    <w:tr2bl w:val="nil"/>
                  </w:tcBorders>
                  <w:noWrap w:val="0"/>
                  <w:vAlign w:val="center"/>
                </w:tcPr>
                <w:p w14:paraId="20FCAEC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p>
              </w:tc>
              <w:tc>
                <w:tcPr>
                  <w:tcW w:w="1468" w:type="pct"/>
                  <w:tcBorders>
                    <w:tl2br w:val="nil"/>
                    <w:tr2bl w:val="nil"/>
                  </w:tcBorders>
                  <w:shd w:val="clear" w:color="auto" w:fill="auto"/>
                  <w:noWrap w:val="0"/>
                  <w:vAlign w:val="center"/>
                </w:tcPr>
                <w:p w14:paraId="5EE7F7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数字酸度计</w:t>
                  </w:r>
                </w:p>
              </w:tc>
              <w:tc>
                <w:tcPr>
                  <w:tcW w:w="476" w:type="pct"/>
                  <w:tcBorders>
                    <w:tl2br w:val="nil"/>
                    <w:tr2bl w:val="nil"/>
                  </w:tcBorders>
                  <w:noWrap w:val="0"/>
                  <w:vAlign w:val="center"/>
                </w:tcPr>
                <w:p w14:paraId="2B047CF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5C16C3A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54F9C80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PHS-25C</w:t>
                  </w:r>
                </w:p>
              </w:tc>
              <w:tc>
                <w:tcPr>
                  <w:tcW w:w="818" w:type="pct"/>
                  <w:vMerge w:val="continue"/>
                  <w:tcBorders>
                    <w:tl2br w:val="nil"/>
                    <w:tr2bl w:val="nil"/>
                  </w:tcBorders>
                  <w:noWrap w:val="0"/>
                  <w:vAlign w:val="center"/>
                </w:tcPr>
                <w:p w14:paraId="3623DD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2298895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45" w:hRule="atLeast"/>
              </w:trPr>
              <w:tc>
                <w:tcPr>
                  <w:tcW w:w="443" w:type="pct"/>
                  <w:vMerge w:val="continue"/>
                  <w:tcBorders>
                    <w:tl2br w:val="nil"/>
                    <w:tr2bl w:val="nil"/>
                  </w:tcBorders>
                  <w:noWrap w:val="0"/>
                  <w:vAlign w:val="center"/>
                </w:tcPr>
                <w:p w14:paraId="729714E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p>
              </w:tc>
              <w:tc>
                <w:tcPr>
                  <w:tcW w:w="1468" w:type="pct"/>
                  <w:tcBorders>
                    <w:tl2br w:val="nil"/>
                    <w:tr2bl w:val="nil"/>
                  </w:tcBorders>
                  <w:shd w:val="clear" w:color="auto" w:fill="auto"/>
                  <w:noWrap w:val="0"/>
                  <w:vAlign w:val="center"/>
                </w:tcPr>
                <w:p w14:paraId="4A7B65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476" w:type="pct"/>
                  <w:tcBorders>
                    <w:tl2br w:val="nil"/>
                    <w:tr2bl w:val="nil"/>
                  </w:tcBorders>
                  <w:noWrap w:val="0"/>
                  <w:vAlign w:val="center"/>
                </w:tcPr>
                <w:p w14:paraId="157754F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73919B4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462F2203">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CP214</w:t>
                  </w:r>
                </w:p>
              </w:tc>
              <w:tc>
                <w:tcPr>
                  <w:tcW w:w="818" w:type="pct"/>
                  <w:vMerge w:val="continue"/>
                  <w:tcBorders>
                    <w:tl2br w:val="nil"/>
                    <w:tr2bl w:val="nil"/>
                  </w:tcBorders>
                  <w:noWrap w:val="0"/>
                  <w:vAlign w:val="center"/>
                </w:tcPr>
                <w:p w14:paraId="60A87A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000E7AC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3" w:hRule="atLeast"/>
              </w:trPr>
              <w:tc>
                <w:tcPr>
                  <w:tcW w:w="443" w:type="pct"/>
                  <w:vMerge w:val="continue"/>
                  <w:tcBorders>
                    <w:tl2br w:val="nil"/>
                    <w:tr2bl w:val="nil"/>
                  </w:tcBorders>
                  <w:noWrap w:val="0"/>
                  <w:vAlign w:val="center"/>
                </w:tcPr>
                <w:p w14:paraId="65CE840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p>
              </w:tc>
              <w:tc>
                <w:tcPr>
                  <w:tcW w:w="1468" w:type="pct"/>
                  <w:tcBorders>
                    <w:tl2br w:val="nil"/>
                    <w:tr2bl w:val="nil"/>
                  </w:tcBorders>
                  <w:shd w:val="clear" w:color="auto" w:fill="auto"/>
                  <w:noWrap w:val="0"/>
                  <w:vAlign w:val="center"/>
                </w:tcPr>
                <w:p w14:paraId="48E53E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476" w:type="pct"/>
                  <w:tcBorders>
                    <w:tl2br w:val="nil"/>
                    <w:tr2bl w:val="nil"/>
                  </w:tcBorders>
                  <w:noWrap w:val="0"/>
                  <w:vAlign w:val="center"/>
                </w:tcPr>
                <w:p w14:paraId="17F35A4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3152E3A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445B58D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JY1002</w:t>
                  </w:r>
                </w:p>
              </w:tc>
              <w:tc>
                <w:tcPr>
                  <w:tcW w:w="818" w:type="pct"/>
                  <w:vMerge w:val="continue"/>
                  <w:tcBorders>
                    <w:tl2br w:val="nil"/>
                    <w:tr2bl w:val="nil"/>
                  </w:tcBorders>
                  <w:noWrap w:val="0"/>
                  <w:vAlign w:val="center"/>
                </w:tcPr>
                <w:p w14:paraId="1A25849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4121404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45" w:hRule="atLeast"/>
              </w:trPr>
              <w:tc>
                <w:tcPr>
                  <w:tcW w:w="443" w:type="pct"/>
                  <w:vMerge w:val="continue"/>
                  <w:tcBorders>
                    <w:tl2br w:val="nil"/>
                    <w:tr2bl w:val="nil"/>
                  </w:tcBorders>
                  <w:noWrap w:val="0"/>
                  <w:vAlign w:val="center"/>
                </w:tcPr>
                <w:p w14:paraId="797A7F2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rPr>
                  </w:pPr>
                </w:p>
              </w:tc>
              <w:tc>
                <w:tcPr>
                  <w:tcW w:w="1468" w:type="pct"/>
                  <w:tcBorders>
                    <w:tl2br w:val="nil"/>
                    <w:tr2bl w:val="nil"/>
                  </w:tcBorders>
                  <w:shd w:val="clear" w:color="auto" w:fill="auto"/>
                  <w:noWrap w:val="0"/>
                  <w:vAlign w:val="center"/>
                </w:tcPr>
                <w:p w14:paraId="0959ED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电热鼓风干燥箱</w:t>
                  </w:r>
                </w:p>
              </w:tc>
              <w:tc>
                <w:tcPr>
                  <w:tcW w:w="476" w:type="pct"/>
                  <w:tcBorders>
                    <w:tl2br w:val="nil"/>
                    <w:tr2bl w:val="nil"/>
                  </w:tcBorders>
                  <w:noWrap w:val="0"/>
                  <w:vAlign w:val="center"/>
                </w:tcPr>
                <w:p w14:paraId="2D72446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0AA2A41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78C192AD">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FX101-2型</w:t>
                  </w:r>
                </w:p>
              </w:tc>
              <w:tc>
                <w:tcPr>
                  <w:tcW w:w="818" w:type="pct"/>
                  <w:vMerge w:val="continue"/>
                  <w:tcBorders>
                    <w:tl2br w:val="nil"/>
                    <w:tr2bl w:val="nil"/>
                  </w:tcBorders>
                  <w:noWrap w:val="0"/>
                  <w:vAlign w:val="center"/>
                </w:tcPr>
                <w:p w14:paraId="62A3FE4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p>
              </w:tc>
            </w:tr>
            <w:tr w14:paraId="0AC9273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07" w:hRule="atLeast"/>
              </w:trPr>
              <w:tc>
                <w:tcPr>
                  <w:tcW w:w="443" w:type="pct"/>
                  <w:vMerge w:val="continue"/>
                  <w:tcBorders>
                    <w:tl2br w:val="nil"/>
                    <w:tr2bl w:val="nil"/>
                  </w:tcBorders>
                  <w:noWrap w:val="0"/>
                  <w:vAlign w:val="center"/>
                </w:tcPr>
                <w:p w14:paraId="443125F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1468" w:type="pct"/>
                  <w:tcBorders>
                    <w:tl2br w:val="nil"/>
                    <w:tr2bl w:val="nil"/>
                  </w:tcBorders>
                  <w:shd w:val="clear" w:color="auto" w:fill="auto"/>
                  <w:noWrap w:val="0"/>
                  <w:vAlign w:val="center"/>
                </w:tcPr>
                <w:p w14:paraId="09D95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箱式电阻炉</w:t>
                  </w:r>
                </w:p>
              </w:tc>
              <w:tc>
                <w:tcPr>
                  <w:tcW w:w="476" w:type="pct"/>
                  <w:tcBorders>
                    <w:tl2br w:val="nil"/>
                    <w:tr2bl w:val="nil"/>
                  </w:tcBorders>
                  <w:noWrap w:val="0"/>
                  <w:vAlign w:val="center"/>
                </w:tcPr>
                <w:p w14:paraId="32EA2A4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318AF1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1B2DD922">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SX2.5-10</w:t>
                  </w:r>
                </w:p>
              </w:tc>
              <w:tc>
                <w:tcPr>
                  <w:tcW w:w="818" w:type="pct"/>
                  <w:vMerge w:val="continue"/>
                  <w:tcBorders>
                    <w:tl2br w:val="nil"/>
                    <w:tr2bl w:val="nil"/>
                  </w:tcBorders>
                  <w:noWrap w:val="0"/>
                  <w:vAlign w:val="center"/>
                </w:tcPr>
                <w:p w14:paraId="3243711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4CE4D84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tcBorders>
                    <w:tl2br w:val="nil"/>
                    <w:tr2bl w:val="nil"/>
                  </w:tcBorders>
                  <w:noWrap w:val="0"/>
                  <w:vAlign w:val="center"/>
                </w:tcPr>
                <w:p w14:paraId="0FAEF8F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1468" w:type="pct"/>
                  <w:tcBorders>
                    <w:tl2br w:val="nil"/>
                    <w:tr2bl w:val="nil"/>
                  </w:tcBorders>
                  <w:shd w:val="clear" w:color="auto" w:fill="auto"/>
                  <w:noWrap w:val="0"/>
                  <w:vAlign w:val="center"/>
                </w:tcPr>
                <w:p w14:paraId="092B4A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恒温水浴锅</w:t>
                  </w:r>
                </w:p>
              </w:tc>
              <w:tc>
                <w:tcPr>
                  <w:tcW w:w="476" w:type="pct"/>
                  <w:tcBorders>
                    <w:tl2br w:val="nil"/>
                    <w:tr2bl w:val="nil"/>
                  </w:tcBorders>
                  <w:noWrap w:val="0"/>
                  <w:vAlign w:val="center"/>
                </w:tcPr>
                <w:p w14:paraId="5CA8FAB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c>
                <w:tcPr>
                  <w:tcW w:w="483" w:type="pct"/>
                  <w:tcBorders>
                    <w:tl2br w:val="nil"/>
                    <w:tr2bl w:val="nil"/>
                  </w:tcBorders>
                  <w:noWrap w:val="0"/>
                  <w:vAlign w:val="center"/>
                </w:tcPr>
                <w:p w14:paraId="0778D88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310" w:type="pct"/>
                  <w:tcBorders>
                    <w:tl2br w:val="nil"/>
                    <w:tr2bl w:val="nil"/>
                  </w:tcBorders>
                  <w:shd w:val="clear" w:color="auto" w:fill="auto"/>
                  <w:noWrap w:val="0"/>
                  <w:vAlign w:val="center"/>
                </w:tcPr>
                <w:p w14:paraId="2B6B24D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DZKW-C单列一孔</w:t>
                  </w:r>
                </w:p>
              </w:tc>
              <w:tc>
                <w:tcPr>
                  <w:tcW w:w="818" w:type="pct"/>
                  <w:vMerge w:val="continue"/>
                  <w:tcBorders>
                    <w:tl2br w:val="nil"/>
                    <w:tr2bl w:val="nil"/>
                  </w:tcBorders>
                  <w:noWrap w:val="0"/>
                  <w:vAlign w:val="center"/>
                </w:tcPr>
                <w:p w14:paraId="34B618C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4A74987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45E68AB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0A1210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恒温水浴锅</w:t>
                  </w:r>
                </w:p>
              </w:tc>
              <w:tc>
                <w:tcPr>
                  <w:tcW w:w="0" w:type="auto"/>
                  <w:shd w:val="clear" w:color="auto" w:fill="auto"/>
                  <w:vAlign w:val="center"/>
                </w:tcPr>
                <w:p w14:paraId="096A470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3BF18D0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77E5E382">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DZKW-4双列四孔</w:t>
                  </w:r>
                </w:p>
              </w:tc>
              <w:tc>
                <w:tcPr>
                  <w:tcW w:w="818" w:type="pct"/>
                  <w:vMerge w:val="continue"/>
                  <w:vAlign w:val="center"/>
                </w:tcPr>
                <w:p w14:paraId="01BED4D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698C149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3053CC2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5FA15B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实用型（双人单面垂直净化工作台）</w:t>
                  </w:r>
                </w:p>
              </w:tc>
              <w:tc>
                <w:tcPr>
                  <w:tcW w:w="0" w:type="auto"/>
                  <w:shd w:val="clear" w:color="auto" w:fill="auto"/>
                  <w:vAlign w:val="center"/>
                </w:tcPr>
                <w:p w14:paraId="375352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3E799DD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1396033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SW-CJ-2D</w:t>
                  </w:r>
                </w:p>
              </w:tc>
              <w:tc>
                <w:tcPr>
                  <w:tcW w:w="818" w:type="pct"/>
                  <w:vMerge w:val="continue"/>
                  <w:vAlign w:val="center"/>
                </w:tcPr>
                <w:p w14:paraId="1E31D87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1DC0AF1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5694765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631FFD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显微镜</w:t>
                  </w:r>
                </w:p>
              </w:tc>
              <w:tc>
                <w:tcPr>
                  <w:tcW w:w="0" w:type="auto"/>
                  <w:shd w:val="clear" w:color="auto" w:fill="auto"/>
                  <w:vAlign w:val="center"/>
                </w:tcPr>
                <w:p w14:paraId="41ED438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4903F98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4BE1C885">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XSB-02</w:t>
                  </w:r>
                </w:p>
              </w:tc>
              <w:tc>
                <w:tcPr>
                  <w:tcW w:w="818" w:type="pct"/>
                  <w:vMerge w:val="continue"/>
                  <w:vAlign w:val="center"/>
                </w:tcPr>
                <w:p w14:paraId="4405563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49E4DCC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376B10A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1EABE1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手提式压力蒸汽</w:t>
                  </w:r>
                </w:p>
                <w:p w14:paraId="63168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灭菌锅</w:t>
                  </w:r>
                </w:p>
              </w:tc>
              <w:tc>
                <w:tcPr>
                  <w:tcW w:w="0" w:type="auto"/>
                  <w:shd w:val="clear" w:color="auto" w:fill="auto"/>
                  <w:vAlign w:val="center"/>
                </w:tcPr>
                <w:p w14:paraId="33BFDA7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7D8287A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7F92C24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YX-24HDD</w:t>
                  </w:r>
                </w:p>
              </w:tc>
              <w:tc>
                <w:tcPr>
                  <w:tcW w:w="818" w:type="pct"/>
                  <w:vMerge w:val="continue"/>
                  <w:vAlign w:val="center"/>
                </w:tcPr>
                <w:p w14:paraId="10F0E12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528629F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7739675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1FFC99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磁力加热搅拌器</w:t>
                  </w:r>
                </w:p>
              </w:tc>
              <w:tc>
                <w:tcPr>
                  <w:tcW w:w="0" w:type="auto"/>
                  <w:shd w:val="clear" w:color="auto" w:fill="auto"/>
                  <w:vAlign w:val="center"/>
                </w:tcPr>
                <w:p w14:paraId="219D304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49C1BFC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00FBA3F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78-1型</w:t>
                  </w:r>
                </w:p>
              </w:tc>
              <w:tc>
                <w:tcPr>
                  <w:tcW w:w="818" w:type="pct"/>
                  <w:vMerge w:val="continue"/>
                  <w:vAlign w:val="center"/>
                </w:tcPr>
                <w:p w14:paraId="718272F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72AA5E4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25D5BE7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093D92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自动定氮仪蒸馏器</w:t>
                  </w:r>
                </w:p>
              </w:tc>
              <w:tc>
                <w:tcPr>
                  <w:tcW w:w="0" w:type="auto"/>
                  <w:shd w:val="clear" w:color="auto" w:fill="auto"/>
                  <w:vAlign w:val="center"/>
                </w:tcPr>
                <w:p w14:paraId="64F4C94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7A472DB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551EFB0F">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u w:val="none"/>
                      <w:lang w:val="en-US" w:eastAsia="zh-CN"/>
                    </w:rPr>
                    <w:t>/</w:t>
                  </w:r>
                </w:p>
              </w:tc>
              <w:tc>
                <w:tcPr>
                  <w:tcW w:w="818" w:type="pct"/>
                  <w:vMerge w:val="continue"/>
                  <w:vAlign w:val="center"/>
                </w:tcPr>
                <w:p w14:paraId="7929F79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01EB15BF">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148E04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71EB3C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定氮消化炉</w:t>
                  </w:r>
                </w:p>
              </w:tc>
              <w:tc>
                <w:tcPr>
                  <w:tcW w:w="0" w:type="auto"/>
                  <w:shd w:val="clear" w:color="auto" w:fill="auto"/>
                  <w:vAlign w:val="center"/>
                </w:tcPr>
                <w:p w14:paraId="2673694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3913B48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4C511B11">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KDN-08SX</w:t>
                  </w:r>
                </w:p>
              </w:tc>
              <w:tc>
                <w:tcPr>
                  <w:tcW w:w="818" w:type="pct"/>
                  <w:vMerge w:val="continue"/>
                  <w:vAlign w:val="center"/>
                </w:tcPr>
                <w:p w14:paraId="5BCE0B2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59561B7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7EB4DDB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3B21C4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脂肪测定仪</w:t>
                  </w:r>
                </w:p>
              </w:tc>
              <w:tc>
                <w:tcPr>
                  <w:tcW w:w="0" w:type="auto"/>
                  <w:shd w:val="clear" w:color="auto" w:fill="auto"/>
                  <w:vAlign w:val="center"/>
                </w:tcPr>
                <w:p w14:paraId="376205C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4A648BC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5A98F20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SZF-06G</w:t>
                  </w:r>
                </w:p>
              </w:tc>
              <w:tc>
                <w:tcPr>
                  <w:tcW w:w="818" w:type="pct"/>
                  <w:vMerge w:val="continue"/>
                  <w:vAlign w:val="center"/>
                </w:tcPr>
                <w:p w14:paraId="2B74628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r w14:paraId="3C3936A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93" w:hRule="atLeast"/>
              </w:trPr>
              <w:tc>
                <w:tcPr>
                  <w:tcW w:w="443" w:type="pct"/>
                  <w:vMerge w:val="continue"/>
                  <w:vAlign w:val="center"/>
                </w:tcPr>
                <w:p w14:paraId="4250EBC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highlight w:val="none"/>
                      <w:lang w:val="en-US" w:eastAsia="zh-CN"/>
                    </w:rPr>
                  </w:pPr>
                </w:p>
              </w:tc>
              <w:tc>
                <w:tcPr>
                  <w:tcW w:w="0" w:type="auto"/>
                  <w:shd w:val="clear" w:color="auto" w:fill="auto"/>
                  <w:vAlign w:val="center"/>
                </w:tcPr>
                <w:p w14:paraId="025389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通风橱</w:t>
                  </w:r>
                </w:p>
              </w:tc>
              <w:tc>
                <w:tcPr>
                  <w:tcW w:w="0" w:type="auto"/>
                  <w:shd w:val="clear" w:color="auto" w:fill="auto"/>
                  <w:vAlign w:val="center"/>
                </w:tcPr>
                <w:p w14:paraId="56BDA32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台</w:t>
                  </w:r>
                </w:p>
              </w:tc>
              <w:tc>
                <w:tcPr>
                  <w:tcW w:w="0" w:type="auto"/>
                  <w:shd w:val="clear" w:color="auto" w:fill="auto"/>
                  <w:vAlign w:val="center"/>
                </w:tcPr>
                <w:p w14:paraId="0366981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310" w:type="pct"/>
                  <w:shd w:val="clear" w:color="auto" w:fill="auto"/>
                  <w:vAlign w:val="center"/>
                </w:tcPr>
                <w:p w14:paraId="7CA9B57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1500*850*2350</w:t>
                  </w:r>
                </w:p>
              </w:tc>
              <w:tc>
                <w:tcPr>
                  <w:tcW w:w="818" w:type="pct"/>
                  <w:vMerge w:val="continue"/>
                  <w:vAlign w:val="center"/>
                </w:tcPr>
                <w:p w14:paraId="6E5212C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p>
              </w:tc>
            </w:tr>
          </w:tbl>
          <w:p w14:paraId="21A2219F">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default" w:ascii="Times New Roman" w:hAnsi="Times New Roman" w:eastAsia="宋体" w:cs="Times New Roman"/>
                <w:b/>
                <w:color w:val="auto"/>
                <w:sz w:val="24"/>
                <w:lang w:val="en-US" w:eastAsia="zh-CN"/>
              </w:rPr>
            </w:pPr>
            <w:r>
              <w:rPr>
                <w:rFonts w:hint="eastAsia"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、劳动</w:t>
            </w:r>
            <w:r>
              <w:rPr>
                <w:rFonts w:hint="default" w:ascii="Times New Roman" w:hAnsi="Times New Roman" w:cs="Times New Roman"/>
                <w:b/>
                <w:color w:val="auto"/>
                <w:sz w:val="24"/>
              </w:rPr>
              <w:t>定员和生产</w:t>
            </w:r>
            <w:r>
              <w:rPr>
                <w:rFonts w:hint="default" w:ascii="Times New Roman" w:hAnsi="Times New Roman" w:cs="Times New Roman"/>
                <w:b/>
                <w:color w:val="auto"/>
                <w:sz w:val="24"/>
                <w:lang w:val="en-US" w:eastAsia="zh-CN"/>
              </w:rPr>
              <w:t>安排</w:t>
            </w:r>
          </w:p>
          <w:p w14:paraId="51114149">
            <w:pPr>
              <w:keepNext w:val="0"/>
              <w:keepLines w:val="0"/>
              <w:pageBreakBefore w:val="0"/>
              <w:widowControl w:val="0"/>
              <w:kinsoku/>
              <w:wordWrap/>
              <w:overflowPunct/>
              <w:topLinePunct w:val="0"/>
              <w:autoSpaceDE/>
              <w:autoSpaceDN/>
              <w:bidi w:val="0"/>
              <w:adjustRightInd w:val="0"/>
              <w:snapToGrid w:val="0"/>
              <w:spacing w:line="500" w:lineRule="exact"/>
              <w:ind w:firstLine="588" w:firstLineChars="245"/>
              <w:textAlignment w:val="auto"/>
              <w:rPr>
                <w:rFonts w:hint="default" w:ascii="Times New Roman" w:hAnsi="Times New Roman" w:cs="Times New Roman"/>
                <w:color w:val="auto"/>
                <w:sz w:val="24"/>
              </w:rPr>
            </w:pPr>
            <w:r>
              <w:rPr>
                <w:rFonts w:hint="default" w:ascii="Times New Roman" w:hAnsi="Times New Roman" w:cs="Times New Roman"/>
                <w:color w:val="auto"/>
                <w:sz w:val="24"/>
              </w:rPr>
              <w:t>（1）工作</w:t>
            </w:r>
            <w:r>
              <w:rPr>
                <w:rFonts w:hint="default" w:ascii="Times New Roman" w:hAnsi="Times New Roman" w:cs="Times New Roman"/>
                <w:color w:val="auto"/>
                <w:sz w:val="24"/>
                <w:lang w:val="en-US" w:eastAsia="zh-CN"/>
              </w:rPr>
              <w:t>安排</w:t>
            </w:r>
            <w:r>
              <w:rPr>
                <w:rFonts w:hint="default" w:ascii="Times New Roman" w:hAnsi="Times New Roman" w:cs="Times New Roman"/>
                <w:color w:val="auto"/>
                <w:sz w:val="24"/>
              </w:rPr>
              <w:t>：年工作3</w:t>
            </w:r>
            <w:r>
              <w:rPr>
                <w:rFonts w:hint="eastAsia" w:cs="Times New Roman"/>
                <w:color w:val="auto"/>
                <w:sz w:val="24"/>
                <w:lang w:val="en-US" w:eastAsia="zh-CN"/>
              </w:rPr>
              <w:t>0</w:t>
            </w:r>
            <w:r>
              <w:rPr>
                <w:rFonts w:hint="default" w:ascii="Times New Roman" w:hAnsi="Times New Roman" w:cs="Times New Roman"/>
                <w:color w:val="auto"/>
                <w:sz w:val="24"/>
              </w:rPr>
              <w:t>0天，每天</w:t>
            </w:r>
            <w:r>
              <w:rPr>
                <w:rFonts w:hint="eastAsia" w:cs="Times New Roman"/>
                <w:color w:val="auto"/>
                <w:sz w:val="24"/>
                <w:lang w:val="en-US" w:eastAsia="zh-CN"/>
              </w:rPr>
              <w:t>1</w:t>
            </w:r>
            <w:r>
              <w:rPr>
                <w:rFonts w:hint="default" w:ascii="Times New Roman" w:hAnsi="Times New Roman" w:cs="Times New Roman"/>
                <w:color w:val="auto"/>
                <w:sz w:val="24"/>
              </w:rPr>
              <w:t>班，每</w:t>
            </w:r>
            <w:r>
              <w:rPr>
                <w:rFonts w:hint="default" w:ascii="Times New Roman" w:hAnsi="Times New Roman" w:cs="Times New Roman"/>
                <w:color w:val="auto"/>
                <w:sz w:val="24"/>
                <w:lang w:val="en-US" w:eastAsia="zh-CN"/>
              </w:rPr>
              <w:t>班8</w:t>
            </w:r>
            <w:r>
              <w:rPr>
                <w:rFonts w:hint="default" w:ascii="Times New Roman" w:hAnsi="Times New Roman" w:cs="Times New Roman"/>
                <w:color w:val="auto"/>
                <w:sz w:val="24"/>
              </w:rPr>
              <w:t>h工作制。</w:t>
            </w:r>
          </w:p>
          <w:p w14:paraId="75C80268">
            <w:pPr>
              <w:keepNext w:val="0"/>
              <w:keepLines w:val="0"/>
              <w:pageBreakBefore w:val="0"/>
              <w:widowControl w:val="0"/>
              <w:kinsoku/>
              <w:wordWrap/>
              <w:overflowPunct/>
              <w:topLinePunct w:val="0"/>
              <w:autoSpaceDE/>
              <w:autoSpaceDN/>
              <w:bidi w:val="0"/>
              <w:adjustRightInd w:val="0"/>
              <w:snapToGrid w:val="0"/>
              <w:spacing w:line="500" w:lineRule="exact"/>
              <w:ind w:firstLine="588" w:firstLineChars="245"/>
              <w:textAlignment w:val="auto"/>
              <w:rPr>
                <w:rFonts w:hint="eastAsia" w:ascii="Times New Roman" w:hAnsi="Times New Roman" w:cs="Times New Roman"/>
                <w:b/>
                <w:color w:val="auto"/>
                <w:sz w:val="24"/>
                <w:highlight w:val="none"/>
                <w:lang w:val="en-US" w:eastAsia="zh-CN"/>
              </w:rPr>
            </w:pPr>
            <w:r>
              <w:rPr>
                <w:rFonts w:hint="default" w:ascii="Times New Roman" w:hAnsi="Times New Roman" w:cs="Times New Roman"/>
                <w:color w:val="auto"/>
                <w:sz w:val="24"/>
              </w:rPr>
              <w:t>（2）劳动定员：本项目劳动定员</w:t>
            </w:r>
            <w:r>
              <w:rPr>
                <w:rFonts w:hint="eastAsia" w:cs="Times New Roman"/>
                <w:color w:val="auto"/>
                <w:sz w:val="24"/>
                <w:lang w:val="en-US" w:eastAsia="zh-CN"/>
              </w:rPr>
              <w:t>30</w:t>
            </w:r>
            <w:r>
              <w:rPr>
                <w:rFonts w:hint="default" w:ascii="Times New Roman" w:hAnsi="Times New Roman" w:cs="Times New Roman"/>
                <w:color w:val="auto"/>
                <w:sz w:val="24"/>
              </w:rPr>
              <w:t>人，均为附近村民，</w:t>
            </w:r>
            <w:r>
              <w:rPr>
                <w:rFonts w:hint="default" w:ascii="Times New Roman" w:hAnsi="Times New Roman" w:cs="Times New Roman"/>
                <w:color w:val="auto"/>
                <w:sz w:val="24"/>
                <w:lang w:val="en-US" w:eastAsia="zh-CN"/>
              </w:rPr>
              <w:t>不</w:t>
            </w:r>
            <w:r>
              <w:rPr>
                <w:rFonts w:hint="default" w:ascii="Times New Roman" w:hAnsi="Times New Roman" w:cs="Times New Roman"/>
                <w:color w:val="auto"/>
                <w:sz w:val="24"/>
              </w:rPr>
              <w:t>在厂</w:t>
            </w:r>
            <w:r>
              <w:rPr>
                <w:rFonts w:hint="default" w:ascii="Times New Roman" w:hAnsi="Times New Roman" w:cs="Times New Roman"/>
                <w:color w:val="auto"/>
                <w:sz w:val="24"/>
                <w:highlight w:val="none"/>
              </w:rPr>
              <w:t>区</w:t>
            </w:r>
            <w:r>
              <w:rPr>
                <w:rFonts w:hint="default" w:ascii="Times New Roman" w:hAnsi="Times New Roman" w:cs="Times New Roman"/>
                <w:color w:val="auto"/>
                <w:sz w:val="24"/>
                <w:highlight w:val="none"/>
                <w:lang w:val="en-US" w:eastAsia="zh-CN"/>
              </w:rPr>
              <w:t>食</w:t>
            </w:r>
            <w:r>
              <w:rPr>
                <w:rFonts w:hint="default" w:ascii="Times New Roman" w:hAnsi="Times New Roman" w:cs="Times New Roman"/>
                <w:color w:val="auto"/>
                <w:sz w:val="24"/>
                <w:highlight w:val="none"/>
              </w:rPr>
              <w:t>宿</w:t>
            </w:r>
            <w:r>
              <w:rPr>
                <w:rFonts w:hint="default" w:ascii="Times New Roman" w:hAnsi="Times New Roman" w:cs="Times New Roman"/>
                <w:color w:val="auto"/>
                <w:sz w:val="24"/>
              </w:rPr>
              <w:t>。</w:t>
            </w:r>
          </w:p>
          <w:p w14:paraId="0CCA840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7</w:t>
            </w:r>
            <w:r>
              <w:rPr>
                <w:rFonts w:hint="default" w:ascii="Times New Roman" w:hAnsi="Times New Roman" w:cs="Times New Roman"/>
                <w:b/>
                <w:color w:val="auto"/>
                <w:sz w:val="24"/>
                <w:highlight w:val="none"/>
              </w:rPr>
              <w:t>、公用设施</w:t>
            </w:r>
            <w:r>
              <w:rPr>
                <w:rFonts w:hint="eastAsia" w:cs="Times New Roman"/>
                <w:b/>
                <w:color w:val="auto"/>
                <w:sz w:val="24"/>
                <w:highlight w:val="none"/>
                <w:lang w:val="en-US" w:eastAsia="zh-CN"/>
              </w:rPr>
              <w:t>安排</w:t>
            </w:r>
          </w:p>
          <w:p w14:paraId="751B0552">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eastAsia="宋体"/>
                <w:color w:val="000000"/>
                <w:sz w:val="24"/>
                <w:highlight w:val="none"/>
                <w:lang w:val="en-US" w:eastAsia="zh-CN"/>
              </w:rPr>
            </w:pPr>
            <w:r>
              <w:rPr>
                <w:rFonts w:hint="eastAsia"/>
                <w:color w:val="000000"/>
                <w:sz w:val="24"/>
                <w:highlight w:val="none"/>
              </w:rPr>
              <w:t>（1）</w:t>
            </w:r>
            <w:r>
              <w:rPr>
                <w:rFonts w:hint="eastAsia"/>
                <w:color w:val="000000"/>
                <w:sz w:val="24"/>
                <w:highlight w:val="none"/>
                <w:lang w:val="en-US" w:eastAsia="zh-CN"/>
              </w:rPr>
              <w:t>生产用水</w:t>
            </w:r>
          </w:p>
          <w:p w14:paraId="0758D2EF">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eastAsia" w:ascii="Times New Roman" w:cs="Times New Roman"/>
                <w:color w:val="auto"/>
                <w:sz w:val="24"/>
                <w:highlight w:val="none"/>
                <w:lang w:val="en-US" w:eastAsia="zh-CN"/>
              </w:rPr>
            </w:pPr>
            <w:r>
              <w:rPr>
                <w:rFonts w:hint="eastAsia" w:ascii="Times New Roman" w:cs="Times New Roman"/>
                <w:color w:val="auto"/>
                <w:sz w:val="24"/>
                <w:highlight w:val="none"/>
                <w:lang w:val="en-US" w:eastAsia="zh-CN"/>
              </w:rPr>
              <w:t>根据企业设计资料及生产规模分析</w:t>
            </w:r>
            <w:r>
              <w:rPr>
                <w:rFonts w:hint="eastAsia" w:cs="Times New Roman"/>
                <w:color w:val="auto"/>
                <w:sz w:val="24"/>
                <w:highlight w:val="none"/>
                <w:lang w:val="en-US" w:eastAsia="zh-CN"/>
              </w:rPr>
              <w:t>，生产用水来自于厂区内自备的水井，生产用水需要将井水输送到加热罐中，再利用蒸汽对加热罐井水进行加热后（加热至90-95</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），加热罐内的水才能使用，具体将加热后的水使用在蒸煮、浓缩、产品调配、均质等一系列生产过程中。企业按照生产情况和实际经验生产用水</w:t>
            </w:r>
            <w:r>
              <w:rPr>
                <w:rFonts w:hint="eastAsia" w:ascii="Times New Roman" w:cs="Times New Roman"/>
                <w:color w:val="auto"/>
                <w:sz w:val="24"/>
                <w:highlight w:val="none"/>
                <w:lang w:val="en-US" w:eastAsia="zh-CN"/>
              </w:rPr>
              <w:t>为3m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/d、900m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/a，井水经过加热罐加热后在生产中使用，不外排。</w:t>
            </w:r>
          </w:p>
          <w:p w14:paraId="43899473">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color w:val="000000"/>
                <w:sz w:val="24"/>
                <w:highlight w:val="none"/>
              </w:rPr>
            </w:pPr>
            <w:r>
              <w:rPr>
                <w:rFonts w:hint="eastAsia"/>
                <w:color w:val="000000"/>
                <w:sz w:val="24"/>
                <w:highlight w:val="none"/>
              </w:rPr>
              <w:t>（</w:t>
            </w:r>
            <w:r>
              <w:rPr>
                <w:rFonts w:hint="eastAsia"/>
                <w:color w:val="000000"/>
                <w:sz w:val="24"/>
                <w:highlight w:val="none"/>
                <w:lang w:val="en-US" w:eastAsia="zh-CN"/>
              </w:rPr>
              <w:t>2</w:t>
            </w:r>
            <w:r>
              <w:rPr>
                <w:rFonts w:hint="eastAsia"/>
                <w:color w:val="000000"/>
                <w:sz w:val="24"/>
                <w:highlight w:val="none"/>
              </w:rPr>
              <w:t>）</w:t>
            </w:r>
            <w:r>
              <w:rPr>
                <w:rFonts w:hint="eastAsia"/>
                <w:color w:val="000000"/>
                <w:sz w:val="24"/>
                <w:highlight w:val="none"/>
                <w:lang w:val="en-US" w:eastAsia="zh-CN"/>
              </w:rPr>
              <w:t>冷却</w:t>
            </w:r>
            <w:r>
              <w:rPr>
                <w:rFonts w:hint="eastAsia"/>
                <w:color w:val="000000"/>
                <w:sz w:val="24"/>
                <w:highlight w:val="none"/>
              </w:rPr>
              <w:t>用水</w:t>
            </w:r>
          </w:p>
          <w:p w14:paraId="578CFA86">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eastAsia"/>
                <w:color w:val="000000"/>
                <w:sz w:val="24"/>
                <w:highlight w:val="none"/>
                <w:lang w:val="en-US" w:eastAsia="zh-CN"/>
              </w:rPr>
            </w:pPr>
            <w:r>
              <w:rPr>
                <w:rFonts w:hint="eastAsia" w:cs="Times New Roman"/>
                <w:color w:val="auto"/>
                <w:sz w:val="24"/>
                <w:highlight w:val="none"/>
                <w:lang w:val="en-US" w:eastAsia="zh-CN"/>
              </w:rPr>
              <w:t>牛骨高汤在灌装时需要成品是冷的，需要灌装的牛骨高汤在冷却锅内利用冷水流动进行冷却后灌装，冷却水使用井水不需要特别处理，冷却水通过设计的管道和冷却水池进行循环流动，在双层冷却锅中外隔层循环流动达到冷却的作用，企业按照实际经验分析冷却水</w:t>
            </w:r>
            <w:r>
              <w:rPr>
                <w:rFonts w:hint="eastAsia" w:ascii="Times New Roman" w:cs="Times New Roman"/>
                <w:color w:val="auto"/>
                <w:sz w:val="24"/>
                <w:highlight w:val="none"/>
                <w:lang w:val="en-US" w:eastAsia="zh-CN"/>
              </w:rPr>
              <w:t>用量为</w:t>
            </w:r>
            <w:r>
              <w:rPr>
                <w:rFonts w:hint="eastAsia" w:cs="Times New Roman"/>
                <w:color w:val="auto"/>
                <w:sz w:val="24"/>
                <w:highlight w:val="none"/>
                <w:lang w:val="en-US" w:eastAsia="zh-CN"/>
              </w:rPr>
              <w:t>0.1</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/d、30m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循环过程中会有约为10%的损耗约为3.0</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a，冷却水定时补充，冷却水通过管道和冷却水池循环利用，不外排</w:t>
            </w:r>
            <w:r>
              <w:rPr>
                <w:rFonts w:hint="eastAsia" w:ascii="Times New Roman" w:cs="Times New Roman"/>
                <w:color w:val="auto"/>
                <w:sz w:val="24"/>
                <w:highlight w:val="none"/>
                <w:lang w:val="en-US" w:eastAsia="zh-CN"/>
              </w:rPr>
              <w:t>。</w:t>
            </w:r>
          </w:p>
          <w:p w14:paraId="5F7D27DA">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eastAsia="宋体"/>
                <w:color w:val="000000"/>
                <w:sz w:val="24"/>
                <w:highlight w:val="none"/>
                <w:lang w:val="en-US" w:eastAsia="zh-CN"/>
              </w:rPr>
            </w:pPr>
            <w:r>
              <w:rPr>
                <w:rFonts w:hint="eastAsia"/>
                <w:color w:val="000000"/>
                <w:sz w:val="24"/>
                <w:highlight w:val="none"/>
              </w:rPr>
              <w:t>（</w:t>
            </w:r>
            <w:r>
              <w:rPr>
                <w:rFonts w:hint="eastAsia"/>
                <w:color w:val="000000"/>
                <w:sz w:val="24"/>
                <w:highlight w:val="none"/>
                <w:lang w:val="en-US" w:eastAsia="zh-CN"/>
              </w:rPr>
              <w:t>3</w:t>
            </w:r>
            <w:r>
              <w:rPr>
                <w:rFonts w:hint="eastAsia"/>
                <w:color w:val="000000"/>
                <w:sz w:val="24"/>
                <w:highlight w:val="none"/>
              </w:rPr>
              <w:t>）</w:t>
            </w:r>
            <w:r>
              <w:rPr>
                <w:rFonts w:hint="eastAsia"/>
                <w:color w:val="000000"/>
                <w:sz w:val="24"/>
                <w:highlight w:val="none"/>
                <w:lang w:val="en-US" w:eastAsia="zh-CN"/>
              </w:rPr>
              <w:t>锅炉</w:t>
            </w:r>
            <w:r>
              <w:rPr>
                <w:rFonts w:hint="eastAsia"/>
                <w:color w:val="000000"/>
                <w:sz w:val="24"/>
                <w:highlight w:val="none"/>
              </w:rPr>
              <w:t>用水</w:t>
            </w:r>
            <w:r>
              <w:rPr>
                <w:rFonts w:hint="eastAsia"/>
                <w:color w:val="000000"/>
                <w:sz w:val="24"/>
                <w:highlight w:val="none"/>
                <w:lang w:val="en-US" w:eastAsia="zh-CN"/>
              </w:rPr>
              <w:t>与排水</w:t>
            </w:r>
          </w:p>
          <w:p w14:paraId="450CC528">
            <w:pPr>
              <w:keepNext w:val="0"/>
              <w:keepLines w:val="0"/>
              <w:pageBreakBefore w:val="0"/>
              <w:kinsoku/>
              <w:overflowPunct/>
              <w:topLinePunct w:val="0"/>
              <w:autoSpaceDE/>
              <w:autoSpaceDN/>
              <w:bidi w:val="0"/>
              <w:spacing w:line="50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项目使用的锅炉为蒸汽锅炉。</w:t>
            </w:r>
            <w:r>
              <w:rPr>
                <w:rFonts w:hint="eastAsia" w:ascii="Times New Roman" w:hAnsi="Times New Roman" w:eastAsia="宋体" w:cs="Times New Roman"/>
                <w:b w:val="0"/>
                <w:bCs/>
                <w:color w:val="auto"/>
                <w:sz w:val="24"/>
                <w:szCs w:val="24"/>
                <w:highlight w:val="none"/>
                <w:lang w:val="en-US" w:eastAsia="zh-CN"/>
              </w:rPr>
              <w:t>井水进入软水制备装置（项目软水制备是由树脂罐、盐罐（作用为软化树脂）、控制器组成的一体化设备，采用自动控制系统，虹吸原理吸盐，自动注水化盐，自动再生），软</w:t>
            </w:r>
            <w:r>
              <w:rPr>
                <w:rFonts w:hint="default" w:ascii="Times New Roman" w:hAnsi="Times New Roman" w:eastAsia="宋体" w:cs="Times New Roman"/>
                <w:b w:val="0"/>
                <w:bCs/>
                <w:color w:val="auto"/>
                <w:sz w:val="24"/>
                <w:szCs w:val="24"/>
                <w:highlight w:val="none"/>
                <w:lang w:val="en-US" w:eastAsia="zh-CN"/>
              </w:rPr>
              <w:t>水从下集箱进入，再通过燃烧天然气提供的热量加热锅内的水，使水在水管内汽化成蒸汽从上集箱的蒸汽出口排出，最后经管道输送供</w:t>
            </w:r>
            <w:r>
              <w:rPr>
                <w:rFonts w:hint="eastAsia"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b w:val="0"/>
                <w:bCs/>
                <w:color w:val="auto"/>
                <w:sz w:val="24"/>
                <w:szCs w:val="24"/>
                <w:highlight w:val="none"/>
                <w:lang w:val="en-US" w:eastAsia="zh-CN"/>
              </w:rPr>
              <w:t>使用</w:t>
            </w:r>
            <w:r>
              <w:rPr>
                <w:rFonts w:hint="eastAsia" w:ascii="Times New Roman" w:hAnsi="Times New Roman" w:eastAsia="宋体" w:cs="Times New Roman"/>
                <w:b w:val="0"/>
                <w:bCs/>
                <w:color w:val="auto"/>
                <w:sz w:val="24"/>
                <w:szCs w:val="24"/>
                <w:highlight w:val="none"/>
                <w:lang w:val="en-US" w:eastAsia="zh-CN"/>
              </w:rPr>
              <w:t>，锅炉产生的蒸汽用在生产加工、产品杀菌、包装杀菌等工段中，采用间接加热方式，不与物料接触，加热和杀菌操作完成后，蒸汽被输送回锅炉中重新循环往复使用</w:t>
            </w:r>
            <w:r>
              <w:rPr>
                <w:rFonts w:hint="default" w:ascii="Times New Roman" w:hAnsi="Times New Roman" w:eastAsia="宋体" w:cs="Times New Roman"/>
                <w:b w:val="0"/>
                <w:bCs/>
                <w:color w:val="auto"/>
                <w:sz w:val="24"/>
                <w:szCs w:val="24"/>
                <w:highlight w:val="none"/>
                <w:lang w:val="en-US" w:eastAsia="zh-CN"/>
              </w:rPr>
              <w:t>。</w:t>
            </w:r>
          </w:p>
          <w:p w14:paraId="544F2A14">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a、蒸汽锅炉用水</w:t>
            </w:r>
          </w:p>
          <w:p w14:paraId="26F0937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项目配备1台4t/h蒸汽锅炉为生产加工提供蒸汽，建成后全年运行300天，每天运行8小时，企业按照生产情况和实际经验，井水进入软水制备装置，软水再进入锅炉内加热产生蒸汽，锅炉用量为5m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/d、1500m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p>
          <w:p w14:paraId="47FC6225">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b、蒸汽锅炉排水</w:t>
            </w:r>
          </w:p>
          <w:p w14:paraId="47086CA8">
            <w:pPr>
              <w:pStyle w:val="9"/>
              <w:keepNext w:val="0"/>
              <w:keepLines w:val="0"/>
              <w:pageBreakBefore w:val="0"/>
              <w:widowControl w:val="0"/>
              <w:kinsoku/>
              <w:wordWrap/>
              <w:overflowPunct/>
              <w:topLinePunct w:val="0"/>
              <w:bidi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锅炉排水的目的是降低锅炉内水浓度，保证蒸汽品质良好，及时排出水渣，防治受热面结垢，锅炉排污应做到既能使锅炉内水达到合格标准，又尽量减少热损失，故定期排水后直接继续补充软水进入。锅炉定期排污水量为0.3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/d、90m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/a。锅炉排水污染物产生浓度参考《陕西工业职业技术学院天然气锅炉（西区10t/h蒸汽锅炉）供暖工程环境质量现状及污染源监测报告》（PHJC-202101-ZH010）中天然气锅炉排水的监测数据最大值COD</w:t>
            </w:r>
            <w:r>
              <w:rPr>
                <w:rFonts w:hint="eastAsia"/>
                <w:sz w:val="24"/>
                <w:highlight w:val="none"/>
                <w:lang w:eastAsia="zh-CN"/>
              </w:rPr>
              <w:t>：</w:t>
            </w:r>
            <w:r>
              <w:rPr>
                <w:rFonts w:hint="eastAsia" w:cs="Times New Roman"/>
                <w:color w:val="auto"/>
                <w:sz w:val="24"/>
                <w:highlight w:val="none"/>
                <w:lang w:val="en-US" w:eastAsia="zh-CN"/>
              </w:rPr>
              <w:t>32mg/L、SS</w:t>
            </w:r>
            <w:r>
              <w:rPr>
                <w:rFonts w:hint="eastAsia"/>
                <w:sz w:val="24"/>
                <w:highlight w:val="none"/>
                <w:lang w:eastAsia="zh-CN"/>
              </w:rPr>
              <w:t>：</w:t>
            </w:r>
            <w:r>
              <w:rPr>
                <w:rFonts w:hint="eastAsia" w:cs="Times New Roman"/>
                <w:color w:val="auto"/>
                <w:sz w:val="24"/>
                <w:highlight w:val="none"/>
                <w:lang w:val="en-US" w:eastAsia="zh-CN"/>
              </w:rPr>
              <w:t>294mg/L。锅炉排出的废水进入隔油池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p>
          <w:p w14:paraId="4F461C8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c、锅炉软化废水排水</w:t>
            </w:r>
          </w:p>
          <w:p w14:paraId="04C37D64">
            <w:pPr>
              <w:pStyle w:val="9"/>
              <w:keepNext w:val="0"/>
              <w:keepLines w:val="0"/>
              <w:pageBreakBefore w:val="0"/>
              <w:widowControl w:val="0"/>
              <w:kinsoku/>
              <w:wordWrap/>
              <w:overflowPunct/>
              <w:topLinePunct w:val="0"/>
              <w:bidi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b w:val="0"/>
                <w:bCs/>
                <w:color w:val="auto"/>
                <w:sz w:val="24"/>
                <w:szCs w:val="24"/>
                <w:highlight w:val="none"/>
                <w:lang w:val="en-US" w:eastAsia="zh-CN"/>
              </w:rPr>
              <w:t>锅炉</w:t>
            </w:r>
            <w:r>
              <w:rPr>
                <w:rFonts w:hint="eastAsia" w:ascii="Times New Roman" w:hAnsi="Times New Roman" w:eastAsia="宋体" w:cs="Times New Roman"/>
                <w:b w:val="0"/>
                <w:bCs/>
                <w:color w:val="auto"/>
                <w:sz w:val="24"/>
                <w:szCs w:val="24"/>
                <w:highlight w:val="none"/>
                <w:lang w:val="en-US" w:eastAsia="zh-CN"/>
              </w:rPr>
              <w:t>软水制备装置</w:t>
            </w:r>
            <w:r>
              <w:rPr>
                <w:rFonts w:hint="eastAsia" w:cs="Times New Roman"/>
                <w:b w:val="0"/>
                <w:bCs/>
                <w:color w:val="auto"/>
                <w:sz w:val="24"/>
                <w:szCs w:val="24"/>
                <w:highlight w:val="none"/>
                <w:lang w:val="en-US" w:eastAsia="zh-CN"/>
              </w:rPr>
              <w:t>采用的是离子交换树脂工艺，则软水制备率最高80%，即</w:t>
            </w:r>
            <w:r>
              <w:rPr>
                <w:rFonts w:hint="eastAsia" w:cs="Times New Roman"/>
                <w:color w:val="auto"/>
                <w:sz w:val="24"/>
                <w:highlight w:val="none"/>
                <w:lang w:val="en-US" w:eastAsia="zh-CN"/>
              </w:rPr>
              <w:t>锅炉5m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的井水，软水制备率80%，能制出4</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的软水进入锅炉变成蒸汽，产生出1</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的软化废水。软化废水属于清下水，污染物含量较低，软化</w:t>
            </w:r>
            <w:r>
              <w:rPr>
                <w:rFonts w:hint="eastAsia" w:cs="Times New Roman"/>
                <w:color w:val="auto"/>
                <w:sz w:val="24"/>
                <w:highlight w:val="none"/>
                <w:lang w:val="en-US" w:eastAsia="zh-CN"/>
              </w:rPr>
              <w:t>废水先进入隔油池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p>
          <w:p w14:paraId="33FF08A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color w:val="000000"/>
                <w:sz w:val="24"/>
                <w:highlight w:val="none"/>
              </w:rPr>
            </w:pPr>
            <w:r>
              <w:rPr>
                <w:rFonts w:hint="eastAsia"/>
                <w:color w:val="000000"/>
                <w:sz w:val="24"/>
                <w:highlight w:val="none"/>
              </w:rPr>
              <w:t>（</w:t>
            </w:r>
            <w:r>
              <w:rPr>
                <w:rFonts w:hint="eastAsia"/>
                <w:color w:val="000000"/>
                <w:sz w:val="24"/>
                <w:highlight w:val="none"/>
                <w:lang w:val="en-US" w:eastAsia="zh-CN"/>
              </w:rPr>
              <w:t>4</w:t>
            </w:r>
            <w:r>
              <w:rPr>
                <w:rFonts w:hint="eastAsia"/>
                <w:color w:val="000000"/>
                <w:sz w:val="24"/>
                <w:highlight w:val="none"/>
              </w:rPr>
              <w:t>）</w:t>
            </w:r>
            <w:r>
              <w:rPr>
                <w:rFonts w:hint="eastAsia"/>
                <w:color w:val="000000"/>
                <w:sz w:val="24"/>
                <w:highlight w:val="none"/>
                <w:lang w:val="en-US" w:eastAsia="zh-CN"/>
              </w:rPr>
              <w:t>清洗</w:t>
            </w:r>
            <w:r>
              <w:rPr>
                <w:rFonts w:hint="eastAsia"/>
                <w:color w:val="000000"/>
                <w:sz w:val="24"/>
                <w:highlight w:val="none"/>
              </w:rPr>
              <w:t>用水</w:t>
            </w:r>
            <w:r>
              <w:rPr>
                <w:color w:val="000000"/>
                <w:sz w:val="24"/>
                <w:highlight w:val="none"/>
              </w:rPr>
              <w:t>与排水</w:t>
            </w:r>
          </w:p>
          <w:p w14:paraId="579E1AA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hint="default"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清洗废水包括清洗辣椒、牛骨、原辅料的废水、设备清洗废水、地面清洗废水、清洗包装材料废水等。</w:t>
            </w:r>
          </w:p>
          <w:p w14:paraId="00801F67">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eastAsia="宋体"/>
                <w:b w:val="0"/>
                <w:bCs w:val="0"/>
                <w:color w:val="auto"/>
                <w:sz w:val="24"/>
                <w:highlight w:val="none"/>
                <w:u w:val="none"/>
                <w:lang w:val="en-US" w:eastAsia="zh-CN"/>
              </w:rPr>
              <w:t>①原料</w:t>
            </w:r>
            <w:r>
              <w:rPr>
                <w:rFonts w:hint="eastAsia" w:ascii="Times New Roman" w:hAnsi="Times New Roman" w:eastAsia="宋体"/>
                <w:b w:val="0"/>
                <w:bCs w:val="0"/>
                <w:color w:val="auto"/>
                <w:sz w:val="24"/>
                <w:highlight w:val="none"/>
                <w:u w:val="none"/>
                <w:lang w:val="en-US" w:eastAsia="zh-CN"/>
              </w:rPr>
              <w:t>清洗废水</w:t>
            </w:r>
          </w:p>
          <w:p w14:paraId="21B0D71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ascii="Times New Roman" w:hAnsi="Times New Roman" w:eastAsia="宋体"/>
                <w:b w:val="0"/>
                <w:bCs w:val="0"/>
                <w:color w:val="auto"/>
                <w:sz w:val="24"/>
                <w:highlight w:val="none"/>
                <w:u w:val="none"/>
              </w:rPr>
              <w:t>项目</w:t>
            </w:r>
            <w:r>
              <w:rPr>
                <w:rFonts w:hint="eastAsia" w:eastAsia="宋体"/>
                <w:b w:val="0"/>
                <w:bCs w:val="0"/>
                <w:color w:val="auto"/>
                <w:sz w:val="24"/>
                <w:highlight w:val="none"/>
                <w:u w:val="none"/>
                <w:lang w:val="en-US" w:eastAsia="zh-CN"/>
              </w:rPr>
              <w:t>原料</w:t>
            </w:r>
            <w:r>
              <w:rPr>
                <w:rFonts w:hint="eastAsia"/>
                <w:b w:val="0"/>
                <w:bCs w:val="0"/>
                <w:color w:val="auto"/>
                <w:sz w:val="24"/>
                <w:highlight w:val="none"/>
                <w:u w:val="none"/>
                <w:lang w:val="en-US" w:eastAsia="zh-CN"/>
              </w:rPr>
              <w:t>辣椒、牛骨和一些原辅料</w:t>
            </w:r>
            <w:r>
              <w:rPr>
                <w:rFonts w:hint="eastAsia" w:ascii="Times New Roman" w:hAnsi="Times New Roman" w:eastAsia="宋体"/>
                <w:b w:val="0"/>
                <w:bCs w:val="0"/>
                <w:color w:val="auto"/>
                <w:sz w:val="24"/>
                <w:highlight w:val="none"/>
                <w:u w:val="none"/>
              </w:rPr>
              <w:t>需</w:t>
            </w:r>
            <w:r>
              <w:rPr>
                <w:rFonts w:hint="eastAsia" w:eastAsia="宋体"/>
                <w:b w:val="0"/>
                <w:bCs w:val="0"/>
                <w:color w:val="auto"/>
                <w:sz w:val="24"/>
                <w:highlight w:val="none"/>
                <w:u w:val="none"/>
                <w:lang w:val="en-US" w:eastAsia="zh-CN"/>
              </w:rPr>
              <w:t>提前</w:t>
            </w:r>
            <w:r>
              <w:rPr>
                <w:rFonts w:hint="eastAsia" w:ascii="Times New Roman" w:hAnsi="Times New Roman" w:eastAsia="宋体"/>
                <w:b w:val="0"/>
                <w:bCs w:val="0"/>
                <w:color w:val="auto"/>
                <w:sz w:val="24"/>
                <w:highlight w:val="none"/>
                <w:u w:val="none"/>
              </w:rPr>
              <w:t>用清水进行</w:t>
            </w:r>
            <w:r>
              <w:rPr>
                <w:rFonts w:hint="eastAsia" w:ascii="Times New Roman" w:hAnsi="Times New Roman" w:eastAsia="宋体"/>
                <w:b w:val="0"/>
                <w:bCs w:val="0"/>
                <w:color w:val="auto"/>
                <w:sz w:val="24"/>
                <w:highlight w:val="none"/>
                <w:u w:val="none"/>
                <w:lang w:eastAsia="zh-CN"/>
              </w:rPr>
              <w:t>两次</w:t>
            </w:r>
            <w:r>
              <w:rPr>
                <w:rFonts w:ascii="Times New Roman" w:hAnsi="Times New Roman" w:eastAsia="宋体"/>
                <w:b w:val="0"/>
                <w:bCs w:val="0"/>
                <w:color w:val="auto"/>
                <w:sz w:val="24"/>
                <w:highlight w:val="none"/>
                <w:u w:val="none"/>
              </w:rPr>
              <w:t>清洗</w:t>
            </w:r>
            <w:r>
              <w:rPr>
                <w:rFonts w:hint="eastAsia" w:ascii="Times New Roman" w:hAnsi="Times New Roman" w:eastAsia="宋体"/>
                <w:b w:val="0"/>
                <w:bCs w:val="0"/>
                <w:color w:val="auto"/>
                <w:sz w:val="24"/>
                <w:highlight w:val="none"/>
                <w:u w:val="none"/>
                <w:lang w:eastAsia="zh-CN"/>
              </w:rPr>
              <w:t>，</w:t>
            </w:r>
            <w:r>
              <w:rPr>
                <w:rFonts w:hint="eastAsia"/>
                <w:b w:val="0"/>
                <w:bCs w:val="0"/>
                <w:color w:val="auto"/>
                <w:sz w:val="24"/>
                <w:highlight w:val="none"/>
                <w:u w:val="none"/>
                <w:lang w:val="en-US" w:eastAsia="zh-CN"/>
              </w:rPr>
              <w:t>清洗使用新鲜水清洗，</w:t>
            </w:r>
            <w:r>
              <w:rPr>
                <w:rFonts w:hint="eastAsia" w:cs="Times New Roman"/>
                <w:color w:val="auto"/>
                <w:sz w:val="24"/>
                <w:highlight w:val="none"/>
                <w:lang w:val="en-US" w:eastAsia="zh-CN"/>
              </w:rPr>
              <w:t>企业按照生产情况和实际经验</w:t>
            </w:r>
            <w:r>
              <w:rPr>
                <w:rFonts w:hint="eastAsia" w:ascii="Times New Roman" w:hAnsi="Times New Roman" w:eastAsia="宋体"/>
                <w:b w:val="0"/>
                <w:bCs w:val="0"/>
                <w:color w:val="auto"/>
                <w:sz w:val="24"/>
                <w:highlight w:val="none"/>
                <w:u w:val="none"/>
                <w:lang w:val="en-US" w:eastAsia="zh-CN"/>
              </w:rPr>
              <w:t>和河南省内同类型的轻食品加工卫辉市曹阿姨食品有限公司辣椒酱、油辣椒生产项目</w:t>
            </w:r>
            <w:r>
              <w:rPr>
                <w:rFonts w:hint="eastAsia" w:ascii="Times New Roman" w:hAnsi="Times New Roman" w:eastAsia="宋体"/>
                <w:b w:val="0"/>
                <w:bCs w:val="0"/>
                <w:color w:val="auto"/>
                <w:sz w:val="24"/>
                <w:highlight w:val="none"/>
                <w:u w:val="none"/>
              </w:rPr>
              <w:t>，</w:t>
            </w:r>
            <w:r>
              <w:rPr>
                <w:rFonts w:hint="eastAsia" w:eastAsia="宋体"/>
                <w:b w:val="0"/>
                <w:bCs w:val="0"/>
                <w:color w:val="auto"/>
                <w:sz w:val="24"/>
                <w:highlight w:val="none"/>
                <w:u w:val="none"/>
                <w:lang w:val="en-US" w:eastAsia="zh-CN"/>
              </w:rPr>
              <w:t>两次原料清洗用水量约为</w:t>
            </w:r>
            <w:r>
              <w:rPr>
                <w:rFonts w:hint="eastAsia"/>
                <w:b w:val="0"/>
                <w:bCs w:val="0"/>
                <w:color w:val="auto"/>
                <w:sz w:val="24"/>
                <w:highlight w:val="none"/>
                <w:u w:val="none"/>
                <w:lang w:val="en-US" w:eastAsia="zh-CN"/>
              </w:rPr>
              <w:t>3.0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900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。项目主要进行</w:t>
            </w:r>
            <w:r>
              <w:rPr>
                <w:rFonts w:hint="eastAsia" w:eastAsia="宋体"/>
                <w:b w:val="0"/>
                <w:bCs w:val="0"/>
                <w:color w:val="auto"/>
                <w:sz w:val="24"/>
                <w:highlight w:val="none"/>
                <w:u w:val="none"/>
                <w:lang w:val="en-US" w:eastAsia="zh-CN"/>
              </w:rPr>
              <w:t>辣椒、牛骨食品加工</w:t>
            </w:r>
            <w:r>
              <w:rPr>
                <w:rFonts w:hint="eastAsia" w:ascii="Times New Roman" w:hAnsi="Times New Roman" w:eastAsia="宋体"/>
                <w:b w:val="0"/>
                <w:bCs w:val="0"/>
                <w:color w:val="auto"/>
                <w:sz w:val="24"/>
                <w:highlight w:val="none"/>
                <w:u w:val="none"/>
                <w:lang w:eastAsia="zh-CN"/>
              </w:rPr>
              <w:t>生产，</w:t>
            </w:r>
            <w:r>
              <w:rPr>
                <w:rFonts w:hint="eastAsia" w:eastAsia="宋体"/>
                <w:b w:val="0"/>
                <w:bCs w:val="0"/>
                <w:color w:val="auto"/>
                <w:sz w:val="24"/>
                <w:highlight w:val="none"/>
                <w:u w:val="none"/>
                <w:lang w:val="en-US" w:eastAsia="zh-CN"/>
              </w:rPr>
              <w:t>原料</w:t>
            </w:r>
            <w:r>
              <w:rPr>
                <w:rFonts w:hint="eastAsia" w:ascii="Times New Roman" w:hAnsi="Times New Roman" w:eastAsia="宋体"/>
                <w:b w:val="0"/>
                <w:bCs w:val="0"/>
                <w:color w:val="auto"/>
                <w:sz w:val="24"/>
                <w:highlight w:val="none"/>
                <w:u w:val="none"/>
                <w:lang w:eastAsia="zh-CN"/>
              </w:rPr>
              <w:t>清洗废水</w:t>
            </w:r>
            <w:r>
              <w:rPr>
                <w:rFonts w:hint="eastAsia" w:eastAsia="宋体"/>
                <w:b w:val="0"/>
                <w:bCs w:val="0"/>
                <w:color w:val="auto"/>
                <w:sz w:val="24"/>
                <w:highlight w:val="none"/>
                <w:u w:val="none"/>
                <w:lang w:val="en-US" w:eastAsia="zh-CN"/>
              </w:rPr>
              <w:t>中</w:t>
            </w:r>
            <w:r>
              <w:rPr>
                <w:rFonts w:hint="eastAsia" w:ascii="Times New Roman" w:hAnsi="Times New Roman" w:eastAsia="宋体"/>
                <w:b w:val="0"/>
                <w:bCs w:val="0"/>
                <w:color w:val="auto"/>
                <w:sz w:val="24"/>
                <w:highlight w:val="none"/>
                <w:u w:val="none"/>
                <w:lang w:eastAsia="zh-CN"/>
              </w:rPr>
              <w:t>不含有毒有害成分</w:t>
            </w:r>
            <w:r>
              <w:rPr>
                <w:rFonts w:hint="eastAsia" w:eastAsia="宋体"/>
                <w:b w:val="0"/>
                <w:bCs w:val="0"/>
                <w:color w:val="auto"/>
                <w:sz w:val="24"/>
                <w:highlight w:val="none"/>
                <w:u w:val="none"/>
                <w:lang w:eastAsia="zh-CN"/>
              </w:rPr>
              <w:t>，</w:t>
            </w:r>
            <w:r>
              <w:rPr>
                <w:rFonts w:hint="eastAsia" w:eastAsia="宋体"/>
                <w:b w:val="0"/>
                <w:bCs w:val="0"/>
                <w:color w:val="auto"/>
                <w:sz w:val="24"/>
                <w:highlight w:val="none"/>
                <w:u w:val="none"/>
                <w:lang w:val="en-US" w:eastAsia="zh-CN"/>
              </w:rPr>
              <w:t>主要为原料表面污渍清洗的沉淀物，</w:t>
            </w:r>
            <w:r>
              <w:rPr>
                <w:rFonts w:hint="eastAsia"/>
                <w:b w:val="0"/>
                <w:bCs w:val="0"/>
                <w:color w:val="auto"/>
                <w:sz w:val="24"/>
                <w:highlight w:val="none"/>
                <w:u w:val="none"/>
                <w:lang w:val="en-US" w:eastAsia="zh-CN"/>
              </w:rPr>
              <w:t>经过沉淀后会产生沉淀杂质，</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w:t>
            </w:r>
            <w:r>
              <w:rPr>
                <w:rFonts w:hint="eastAsia" w:eastAsia="宋体"/>
                <w:b w:val="0"/>
                <w:bCs w:val="0"/>
                <w:color w:val="auto"/>
                <w:sz w:val="24"/>
                <w:highlight w:val="none"/>
                <w:u w:val="none"/>
                <w:lang w:val="en-US" w:eastAsia="zh-CN"/>
              </w:rPr>
              <w:t>0</w:t>
            </w:r>
            <w:r>
              <w:rPr>
                <w:rFonts w:ascii="Times New Roman" w:hAnsi="Times New Roman" w:eastAsia="宋体"/>
                <w:b w:val="0"/>
                <w:bCs w:val="0"/>
                <w:color w:val="auto"/>
                <w:sz w:val="24"/>
                <w:highlight w:val="none"/>
                <w:u w:val="none"/>
              </w:rPr>
              <w:t>%计，则项目</w:t>
            </w:r>
            <w:r>
              <w:rPr>
                <w:rFonts w:hint="eastAsia" w:eastAsia="宋体"/>
                <w:b w:val="0"/>
                <w:bCs w:val="0"/>
                <w:color w:val="auto"/>
                <w:sz w:val="24"/>
                <w:highlight w:val="none"/>
                <w:u w:val="none"/>
                <w:lang w:val="en-US" w:eastAsia="zh-CN"/>
              </w:rPr>
              <w:t>原料</w:t>
            </w:r>
            <w:r>
              <w:rPr>
                <w:rFonts w:ascii="Times New Roman" w:hAnsi="Times New Roman" w:eastAsia="宋体"/>
                <w:b w:val="0"/>
                <w:bCs w:val="0"/>
                <w:color w:val="auto"/>
                <w:sz w:val="24"/>
                <w:highlight w:val="none"/>
                <w:u w:val="none"/>
              </w:rPr>
              <w:t>清洗废水产生量为</w:t>
            </w:r>
            <w:r>
              <w:rPr>
                <w:rFonts w:hint="eastAsia"/>
                <w:b w:val="0"/>
                <w:bCs w:val="0"/>
                <w:color w:val="auto"/>
                <w:sz w:val="24"/>
                <w:highlight w:val="none"/>
                <w:u w:val="none"/>
                <w:lang w:val="en-US" w:eastAsia="zh-CN"/>
              </w:rPr>
              <w:t>2.7</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810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005209DD">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②</w:t>
            </w:r>
            <w:r>
              <w:rPr>
                <w:rFonts w:hint="eastAsia" w:ascii="Times New Roman" w:hAnsi="Times New Roman" w:eastAsia="宋体"/>
                <w:b w:val="0"/>
                <w:bCs w:val="0"/>
                <w:color w:val="auto"/>
                <w:sz w:val="24"/>
                <w:highlight w:val="none"/>
                <w:u w:val="none"/>
                <w:lang w:val="en-US" w:eastAsia="zh-CN"/>
              </w:rPr>
              <w:t>生产设备清洗废水</w:t>
            </w:r>
          </w:p>
          <w:p w14:paraId="379DDDC0">
            <w:pPr>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ascii="Times New Roman" w:hAnsi="Times New Roman" w:eastAsia="宋体"/>
                <w:b w:val="0"/>
                <w:bCs w:val="0"/>
                <w:color w:val="auto"/>
                <w:sz w:val="24"/>
                <w:highlight w:val="none"/>
                <w:u w:val="none"/>
              </w:rPr>
              <w:t>项目生产设备</w:t>
            </w:r>
            <w:r>
              <w:rPr>
                <w:rFonts w:hint="eastAsia" w:ascii="Times New Roman" w:hAnsi="Times New Roman" w:eastAsia="宋体"/>
                <w:b w:val="0"/>
                <w:bCs w:val="0"/>
                <w:color w:val="auto"/>
                <w:sz w:val="24"/>
                <w:highlight w:val="none"/>
                <w:u w:val="none"/>
              </w:rPr>
              <w:t>每天工作结束后需用清水进行</w:t>
            </w:r>
            <w:r>
              <w:rPr>
                <w:rFonts w:ascii="Times New Roman" w:hAnsi="Times New Roman" w:eastAsia="宋体"/>
                <w:b w:val="0"/>
                <w:bCs w:val="0"/>
                <w:color w:val="auto"/>
                <w:sz w:val="24"/>
                <w:highlight w:val="none"/>
                <w:u w:val="none"/>
              </w:rPr>
              <w:t>清洗</w:t>
            </w:r>
            <w:r>
              <w:rPr>
                <w:rFonts w:hint="eastAsia"/>
                <w:b w:val="0"/>
                <w:bCs w:val="0"/>
                <w:color w:val="auto"/>
                <w:sz w:val="24"/>
                <w:highlight w:val="none"/>
                <w:u w:val="none"/>
                <w:lang w:val="en-US" w:eastAsia="zh-CN"/>
              </w:rPr>
              <w:t>两次</w:t>
            </w:r>
            <w:r>
              <w:rPr>
                <w:rFonts w:hint="eastAsia" w:ascii="Times New Roman" w:hAnsi="Times New Roman" w:eastAsia="宋体"/>
                <w:b w:val="0"/>
                <w:bCs w:val="0"/>
                <w:color w:val="auto"/>
                <w:sz w:val="24"/>
                <w:highlight w:val="none"/>
                <w:u w:val="none"/>
                <w:lang w:eastAsia="zh-CN"/>
              </w:rPr>
              <w:t>，</w:t>
            </w:r>
            <w:r>
              <w:rPr>
                <w:rFonts w:hint="eastAsia" w:cs="Times New Roman"/>
                <w:color w:val="auto"/>
                <w:sz w:val="24"/>
                <w:highlight w:val="none"/>
                <w:lang w:val="en-US" w:eastAsia="zh-CN"/>
              </w:rPr>
              <w:t>企业按照生产情况和实际经验</w:t>
            </w:r>
            <w:r>
              <w:rPr>
                <w:rFonts w:hint="eastAsia" w:ascii="Times New Roman" w:hAnsi="Times New Roman" w:eastAsia="宋体"/>
                <w:b w:val="0"/>
                <w:bCs w:val="0"/>
                <w:color w:val="auto"/>
                <w:sz w:val="24"/>
                <w:highlight w:val="none"/>
                <w:u w:val="none"/>
                <w:lang w:val="en-US" w:eastAsia="zh-CN"/>
              </w:rPr>
              <w:t>，</w:t>
            </w:r>
            <w:r>
              <w:rPr>
                <w:rFonts w:hint="eastAsia"/>
                <w:b w:val="0"/>
                <w:bCs w:val="0"/>
                <w:color w:val="auto"/>
                <w:sz w:val="24"/>
                <w:highlight w:val="none"/>
                <w:u w:val="none"/>
                <w:lang w:val="en-US" w:eastAsia="zh-CN"/>
              </w:rPr>
              <w:t>设备清洗</w:t>
            </w:r>
            <w:r>
              <w:rPr>
                <w:rFonts w:ascii="Times New Roman" w:hAnsi="Times New Roman" w:eastAsia="宋体"/>
                <w:b w:val="0"/>
                <w:bCs w:val="0"/>
                <w:color w:val="auto"/>
                <w:sz w:val="24"/>
                <w:highlight w:val="none"/>
                <w:u w:val="none"/>
              </w:rPr>
              <w:t>用水量</w:t>
            </w:r>
            <w:r>
              <w:rPr>
                <w:rFonts w:hint="eastAsia" w:ascii="Times New Roman" w:hAnsi="Times New Roman" w:eastAsia="宋体"/>
                <w:b w:val="0"/>
                <w:bCs w:val="0"/>
                <w:color w:val="auto"/>
                <w:sz w:val="24"/>
                <w:highlight w:val="none"/>
                <w:u w:val="none"/>
              </w:rPr>
              <w:t>约</w:t>
            </w:r>
            <w:r>
              <w:rPr>
                <w:rFonts w:hint="eastAsia" w:ascii="Times New Roman" w:hAnsi="Times New Roman" w:eastAsia="宋体"/>
                <w:b w:val="0"/>
                <w:bCs w:val="0"/>
                <w:color w:val="auto"/>
                <w:sz w:val="24"/>
                <w:highlight w:val="none"/>
                <w:u w:val="none"/>
                <w:lang w:eastAsia="zh-CN"/>
              </w:rPr>
              <w:t>为</w:t>
            </w:r>
            <w:r>
              <w:rPr>
                <w:rFonts w:hint="eastAsia"/>
                <w:b w:val="0"/>
                <w:bCs w:val="0"/>
                <w:color w:val="auto"/>
                <w:sz w:val="24"/>
                <w:highlight w:val="none"/>
                <w:u w:val="none"/>
                <w:lang w:val="en-US" w:eastAsia="zh-CN"/>
              </w:rPr>
              <w:t>1</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300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w:t>
            </w:r>
            <w:r>
              <w:rPr>
                <w:rFonts w:hint="eastAsia"/>
                <w:b w:val="0"/>
                <w:bCs w:val="0"/>
                <w:color w:val="auto"/>
                <w:sz w:val="24"/>
                <w:highlight w:val="none"/>
                <w:u w:val="none"/>
                <w:lang w:val="en-US" w:eastAsia="zh-CN"/>
              </w:rPr>
              <w:t>设备</w:t>
            </w:r>
            <w:r>
              <w:rPr>
                <w:rFonts w:hint="eastAsia" w:ascii="Times New Roman" w:hAnsi="Times New Roman" w:eastAsia="宋体"/>
                <w:b w:val="0"/>
                <w:bCs w:val="0"/>
                <w:color w:val="auto"/>
                <w:sz w:val="24"/>
                <w:highlight w:val="none"/>
                <w:u w:val="none"/>
                <w:lang w:eastAsia="zh-CN"/>
              </w:rPr>
              <w:t>清洗废水不含有毒有害成分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主要是机器内残留的少量的原料渣，废水经过沉淀后会产生沉淀杂质，</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废水以90%计，则项目设备清洗废水产生量为</w:t>
            </w:r>
            <w:r>
              <w:rPr>
                <w:rFonts w:hint="eastAsia"/>
                <w:b w:val="0"/>
                <w:bCs w:val="0"/>
                <w:color w:val="auto"/>
                <w:sz w:val="24"/>
                <w:highlight w:val="none"/>
                <w:u w:val="none"/>
                <w:lang w:val="en-US" w:eastAsia="zh-CN"/>
              </w:rPr>
              <w:t>0.9</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270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12B559A2">
            <w:pPr>
              <w:adjustRightInd w:val="0"/>
              <w:snapToGrid w:val="0"/>
              <w:spacing w:line="500" w:lineRule="exact"/>
              <w:ind w:firstLine="480" w:firstLineChars="200"/>
              <w:rPr>
                <w:rFonts w:hint="eastAsia"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③</w:t>
            </w:r>
            <w:r>
              <w:rPr>
                <w:rFonts w:hint="eastAsia" w:ascii="Times New Roman" w:hAnsi="Times New Roman" w:eastAsia="宋体"/>
                <w:b w:val="0"/>
                <w:bCs w:val="0"/>
                <w:color w:val="auto"/>
                <w:sz w:val="24"/>
                <w:highlight w:val="none"/>
                <w:u w:val="none"/>
                <w:lang w:val="en-US" w:eastAsia="zh-CN"/>
              </w:rPr>
              <w:t>生产车间地面清洗废水</w:t>
            </w:r>
          </w:p>
          <w:p w14:paraId="5148172D">
            <w:pPr>
              <w:adjustRightInd w:val="0"/>
              <w:snapToGrid w:val="0"/>
              <w:spacing w:line="500" w:lineRule="exact"/>
              <w:ind w:firstLine="480" w:firstLineChars="200"/>
              <w:rPr>
                <w:rFonts w:ascii="Times New Roman" w:hAnsi="Times New Roman" w:eastAsia="宋体"/>
                <w:b w:val="0"/>
                <w:bCs w:val="0"/>
                <w:color w:val="auto"/>
                <w:sz w:val="24"/>
                <w:highlight w:val="none"/>
                <w:u w:val="none"/>
              </w:rPr>
            </w:pPr>
            <w:r>
              <w:rPr>
                <w:rFonts w:ascii="宋体" w:hAnsi="宋体" w:eastAsia="宋体" w:cs="宋体"/>
                <w:sz w:val="24"/>
                <w:szCs w:val="24"/>
                <w:highlight w:val="none"/>
              </w:rPr>
              <w:t>项目生产区地面需每天采用拖洗方式进行清洁</w:t>
            </w:r>
            <w:r>
              <w:rPr>
                <w:rFonts w:hint="eastAsia" w:ascii="宋体" w:hAnsi="宋体" w:eastAsia="宋体" w:cs="宋体"/>
                <w:sz w:val="24"/>
                <w:szCs w:val="24"/>
                <w:highlight w:val="none"/>
                <w:lang w:eastAsia="zh-CN"/>
              </w:rPr>
              <w:t>，</w:t>
            </w:r>
            <w:r>
              <w:rPr>
                <w:rFonts w:ascii="Times New Roman" w:hAnsi="Times New Roman" w:eastAsia="宋体"/>
                <w:b w:val="0"/>
                <w:bCs w:val="0"/>
                <w:color w:val="auto"/>
                <w:sz w:val="24"/>
                <w:highlight w:val="none"/>
                <w:u w:val="none"/>
              </w:rPr>
              <w:t>车间拖地用水量为0.</w:t>
            </w:r>
            <w:r>
              <w:rPr>
                <w:rFonts w:hint="eastAsia"/>
                <w:b w:val="0"/>
                <w:bCs w:val="0"/>
                <w:color w:val="auto"/>
                <w:sz w:val="24"/>
                <w:highlight w:val="none"/>
                <w:u w:val="none"/>
                <w:lang w:val="en-US" w:eastAsia="zh-CN"/>
              </w:rPr>
              <w:t>4</w:t>
            </w:r>
            <w:r>
              <w:rPr>
                <w:rFonts w:ascii="Times New Roman" w:hAnsi="Times New Roman" w:eastAsia="宋体"/>
                <w:b w:val="0"/>
                <w:bCs w:val="0"/>
                <w:color w:val="auto"/>
                <w:sz w:val="24"/>
                <w:highlight w:val="none"/>
                <w:u w:val="none"/>
              </w:rPr>
              <w:t>L/次</w:t>
            </w:r>
            <w:r>
              <w:rPr>
                <w:rFonts w:hint="eastAsia" w:ascii="Times New Roman" w:hAnsi="Times New Roman" w:eastAsia="宋体"/>
                <w:b w:val="0"/>
                <w:bCs w:val="0"/>
                <w:color w:val="auto"/>
                <w:sz w:val="24"/>
                <w:highlight w:val="none"/>
                <w:u w:val="none"/>
                <w:lang w:val="en-US" w:eastAsia="zh-CN"/>
              </w:rPr>
              <w:t>·</w:t>
            </w:r>
            <w:r>
              <w:rPr>
                <w:rFonts w:ascii="Times New Roman" w:hAnsi="Times New Roman" w:eastAsia="宋体"/>
                <w:b w:val="0"/>
                <w:bCs w:val="0"/>
                <w:color w:val="auto"/>
                <w:sz w:val="24"/>
                <w:highlight w:val="none"/>
                <w:u w:val="none"/>
              </w:rPr>
              <w:t>m</w:t>
            </w:r>
            <w:r>
              <w:rPr>
                <w:rFonts w:ascii="Times New Roman" w:hAnsi="Times New Roman" w:eastAsia="宋体"/>
                <w:b w:val="0"/>
                <w:bCs w:val="0"/>
                <w:color w:val="auto"/>
                <w:sz w:val="24"/>
                <w:highlight w:val="none"/>
                <w:u w:val="none"/>
                <w:vertAlign w:val="superscript"/>
              </w:rPr>
              <w:t>2</w:t>
            </w:r>
            <w:r>
              <w:rPr>
                <w:rFonts w:hint="eastAsia" w:ascii="Times New Roman" w:hAnsi="Times New Roman" w:eastAsia="宋体"/>
                <w:b w:val="0"/>
                <w:bCs w:val="0"/>
                <w:color w:val="auto"/>
                <w:sz w:val="24"/>
                <w:highlight w:val="none"/>
                <w:u w:val="none"/>
              </w:rPr>
              <w:t>。</w:t>
            </w:r>
            <w:r>
              <w:rPr>
                <w:rFonts w:ascii="Times New Roman" w:hAnsi="Times New Roman" w:eastAsia="宋体"/>
                <w:b w:val="0"/>
                <w:bCs w:val="0"/>
                <w:color w:val="auto"/>
                <w:sz w:val="24"/>
                <w:highlight w:val="none"/>
                <w:u w:val="none"/>
              </w:rPr>
              <w:t>本项目</w:t>
            </w:r>
            <w:r>
              <w:rPr>
                <w:rFonts w:hint="eastAsia" w:ascii="Times New Roman" w:hAnsi="Times New Roman" w:eastAsia="宋体"/>
                <w:b w:val="0"/>
                <w:bCs w:val="0"/>
                <w:color w:val="auto"/>
                <w:sz w:val="24"/>
                <w:highlight w:val="none"/>
                <w:u w:val="none"/>
                <w:lang w:eastAsia="zh-CN"/>
              </w:rPr>
              <w:t>需要清洗的</w:t>
            </w:r>
            <w:r>
              <w:rPr>
                <w:rFonts w:ascii="Times New Roman" w:hAnsi="Times New Roman" w:eastAsia="宋体"/>
                <w:b w:val="0"/>
                <w:bCs w:val="0"/>
                <w:color w:val="auto"/>
                <w:sz w:val="24"/>
                <w:highlight w:val="none"/>
                <w:u w:val="none"/>
              </w:rPr>
              <w:t>车间</w:t>
            </w:r>
            <w:r>
              <w:rPr>
                <w:rFonts w:hint="eastAsia" w:ascii="Times New Roman" w:hAnsi="Times New Roman" w:eastAsia="宋体"/>
                <w:b w:val="0"/>
                <w:bCs w:val="0"/>
                <w:color w:val="auto"/>
                <w:sz w:val="24"/>
                <w:highlight w:val="none"/>
                <w:u w:val="none"/>
                <w:lang w:eastAsia="zh-CN"/>
              </w:rPr>
              <w:t>面积</w:t>
            </w:r>
            <w:r>
              <w:rPr>
                <w:rFonts w:ascii="Times New Roman" w:hAnsi="Times New Roman" w:eastAsia="宋体"/>
                <w:b w:val="0"/>
                <w:bCs w:val="0"/>
                <w:color w:val="auto"/>
                <w:sz w:val="24"/>
                <w:highlight w:val="none"/>
                <w:u w:val="none"/>
              </w:rPr>
              <w:t>共</w:t>
            </w:r>
            <w:r>
              <w:rPr>
                <w:rFonts w:hint="eastAsia" w:ascii="Times New Roman" w:hAnsi="Times New Roman" w:eastAsia="宋体"/>
                <w:b w:val="0"/>
                <w:bCs w:val="0"/>
                <w:color w:val="auto"/>
                <w:sz w:val="24"/>
                <w:highlight w:val="none"/>
                <w:u w:val="none"/>
                <w:lang w:eastAsia="zh-CN"/>
              </w:rPr>
              <w:t>约</w:t>
            </w:r>
            <w:r>
              <w:rPr>
                <w:rFonts w:hint="eastAsia"/>
                <w:b w:val="0"/>
                <w:bCs w:val="0"/>
                <w:color w:val="auto"/>
                <w:sz w:val="24"/>
                <w:highlight w:val="none"/>
                <w:u w:val="none"/>
                <w:lang w:val="en-US" w:eastAsia="zh-CN"/>
              </w:rPr>
              <w:t>6000</w:t>
            </w:r>
            <w:r>
              <w:rPr>
                <w:rFonts w:ascii="Times New Roman" w:hAnsi="Times New Roman" w:eastAsia="宋体"/>
                <w:b w:val="0"/>
                <w:bCs w:val="0"/>
                <w:color w:val="auto"/>
                <w:sz w:val="24"/>
                <w:highlight w:val="none"/>
                <w:u w:val="none"/>
              </w:rPr>
              <w:t>m</w:t>
            </w:r>
            <w:r>
              <w:rPr>
                <w:rFonts w:ascii="Times New Roman" w:hAnsi="Times New Roman" w:eastAsia="宋体"/>
                <w:b w:val="0"/>
                <w:bCs w:val="0"/>
                <w:color w:val="auto"/>
                <w:sz w:val="24"/>
                <w:highlight w:val="none"/>
                <w:u w:val="none"/>
                <w:vertAlign w:val="superscript"/>
              </w:rPr>
              <w:t>2</w:t>
            </w:r>
            <w:r>
              <w:rPr>
                <w:rFonts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rPr>
              <w:t>则</w:t>
            </w:r>
            <w:r>
              <w:rPr>
                <w:rFonts w:ascii="Times New Roman" w:hAnsi="Times New Roman" w:eastAsia="宋体"/>
                <w:b w:val="0"/>
                <w:bCs w:val="0"/>
                <w:color w:val="auto"/>
                <w:sz w:val="24"/>
                <w:highlight w:val="none"/>
                <w:u w:val="none"/>
              </w:rPr>
              <w:t>用水量为</w:t>
            </w:r>
            <w:r>
              <w:rPr>
                <w:rFonts w:hint="eastAsia"/>
                <w:b w:val="0"/>
                <w:bCs w:val="0"/>
                <w:color w:val="auto"/>
                <w:sz w:val="24"/>
                <w:highlight w:val="none"/>
                <w:u w:val="none"/>
                <w:lang w:val="en-US" w:eastAsia="zh-CN"/>
              </w:rPr>
              <w:t>2.4</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/次，</w:t>
            </w:r>
            <w:r>
              <w:rPr>
                <w:rFonts w:hint="eastAsia"/>
                <w:b w:val="0"/>
                <w:bCs w:val="0"/>
                <w:color w:val="auto"/>
                <w:sz w:val="24"/>
                <w:highlight w:val="none"/>
                <w:u w:val="none"/>
                <w:lang w:val="en-US" w:eastAsia="zh-CN"/>
              </w:rPr>
              <w:t>720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b w:val="0"/>
                <w:bCs w:val="0"/>
                <w:color w:val="auto"/>
                <w:sz w:val="24"/>
                <w:highlight w:val="none"/>
                <w:u w:val="none"/>
                <w:lang w:val="en-US" w:eastAsia="zh-CN"/>
              </w:rPr>
              <w:t>2.16</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/d。废水产生量以90%计，</w:t>
            </w:r>
            <w:r>
              <w:rPr>
                <w:rFonts w:hint="eastAsia" w:ascii="Times New Roman" w:hAnsi="Times New Roman" w:eastAsia="宋体"/>
                <w:b w:val="0"/>
                <w:bCs w:val="0"/>
                <w:color w:val="auto"/>
                <w:sz w:val="24"/>
                <w:highlight w:val="none"/>
                <w:u w:val="none"/>
              </w:rPr>
              <w:t>则</w:t>
            </w:r>
            <w:r>
              <w:rPr>
                <w:rFonts w:ascii="Times New Roman" w:hAnsi="Times New Roman" w:eastAsia="宋体"/>
                <w:b w:val="0"/>
                <w:bCs w:val="0"/>
                <w:color w:val="auto"/>
                <w:sz w:val="24"/>
                <w:highlight w:val="none"/>
                <w:u w:val="none"/>
              </w:rPr>
              <w:t>车间清洗废水产生量为</w:t>
            </w:r>
            <w:r>
              <w:rPr>
                <w:rFonts w:hint="eastAsia"/>
                <w:b w:val="0"/>
                <w:bCs w:val="0"/>
                <w:color w:val="auto"/>
                <w:sz w:val="24"/>
                <w:highlight w:val="none"/>
                <w:u w:val="none"/>
                <w:lang w:val="en-US" w:eastAsia="zh-CN"/>
              </w:rPr>
              <w:t>1.8</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648</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7E911FA4">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eastAsia="宋体"/>
                <w:b w:val="0"/>
                <w:bCs w:val="0"/>
                <w:color w:val="auto"/>
                <w:sz w:val="24"/>
                <w:highlight w:val="none"/>
                <w:u w:val="none"/>
                <w:lang w:val="en-US" w:eastAsia="zh-CN"/>
              </w:rPr>
              <w:t>④包装材料</w:t>
            </w:r>
            <w:r>
              <w:rPr>
                <w:rFonts w:hint="eastAsia" w:ascii="Times New Roman" w:hAnsi="Times New Roman" w:eastAsia="宋体"/>
                <w:b w:val="0"/>
                <w:bCs w:val="0"/>
                <w:color w:val="auto"/>
                <w:sz w:val="24"/>
                <w:highlight w:val="none"/>
                <w:u w:val="none"/>
                <w:lang w:val="en-US" w:eastAsia="zh-CN"/>
              </w:rPr>
              <w:t>清洗废水</w:t>
            </w:r>
          </w:p>
          <w:p w14:paraId="5CFE1E2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hint="eastAsia" w:ascii="Times New Roman" w:hAnsi="Times New Roman" w:eastAsia="宋体"/>
                <w:b w:val="0"/>
                <w:bCs w:val="0"/>
                <w:color w:val="auto"/>
                <w:sz w:val="24"/>
                <w:highlight w:val="none"/>
                <w:u w:val="none"/>
                <w:lang w:val="en-US" w:eastAsia="zh-CN"/>
              </w:rPr>
              <w:t>项目包装材料需要清洗有包装瓶和包装内外袋，清洗之后包装瓶再进杀菌处理，</w:t>
            </w:r>
            <w:r>
              <w:rPr>
                <w:rFonts w:ascii="Times New Roman" w:hAnsi="Times New Roman" w:eastAsia="宋体"/>
                <w:b w:val="0"/>
                <w:bCs w:val="0"/>
                <w:color w:val="auto"/>
                <w:sz w:val="24"/>
                <w:highlight w:val="none"/>
                <w:u w:val="none"/>
              </w:rPr>
              <w:t>项目</w:t>
            </w:r>
            <w:r>
              <w:rPr>
                <w:rFonts w:hint="eastAsia" w:ascii="Times New Roman" w:hAnsi="Times New Roman" w:eastAsia="宋体"/>
                <w:b w:val="0"/>
                <w:bCs w:val="0"/>
                <w:color w:val="auto"/>
                <w:sz w:val="24"/>
                <w:highlight w:val="none"/>
                <w:u w:val="none"/>
                <w:lang w:val="en-US" w:eastAsia="zh-CN"/>
              </w:rPr>
              <w:t>需要清洗包装材料约为3t/a，包装材料</w:t>
            </w:r>
            <w:r>
              <w:rPr>
                <w:rFonts w:hint="eastAsia"/>
                <w:b w:val="0"/>
                <w:bCs w:val="0"/>
                <w:color w:val="auto"/>
                <w:sz w:val="24"/>
                <w:highlight w:val="none"/>
                <w:u w:val="none"/>
                <w:lang w:val="en-US" w:eastAsia="zh-CN"/>
              </w:rPr>
              <w:t>清洗</w:t>
            </w:r>
            <w:r>
              <w:rPr>
                <w:rFonts w:ascii="Times New Roman" w:hAnsi="Times New Roman" w:eastAsia="宋体"/>
                <w:b w:val="0"/>
                <w:bCs w:val="0"/>
                <w:color w:val="auto"/>
                <w:sz w:val="24"/>
                <w:highlight w:val="none"/>
                <w:u w:val="none"/>
              </w:rPr>
              <w:t>用水量</w:t>
            </w:r>
            <w:r>
              <w:rPr>
                <w:rFonts w:hint="eastAsia" w:ascii="Times New Roman" w:hAnsi="Times New Roman" w:eastAsia="宋体"/>
                <w:b w:val="0"/>
                <w:bCs w:val="0"/>
                <w:color w:val="auto"/>
                <w:sz w:val="24"/>
                <w:highlight w:val="none"/>
                <w:u w:val="none"/>
                <w:lang w:eastAsia="zh-CN"/>
              </w:rPr>
              <w:t>为</w:t>
            </w:r>
            <w:r>
              <w:rPr>
                <w:rFonts w:hint="eastAsia" w:ascii="Times New Roman" w:hAnsi="Times New Roman" w:eastAsia="宋体"/>
                <w:b w:val="0"/>
                <w:bCs w:val="0"/>
                <w:color w:val="auto"/>
                <w:sz w:val="24"/>
                <w:highlight w:val="none"/>
                <w:u w:val="none"/>
                <w:lang w:val="en-US" w:eastAsia="zh-CN"/>
              </w:rPr>
              <w:t>0.03</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lang w:val="en-US" w:eastAsia="zh-CN"/>
              </w:rPr>
              <w:t>9</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，废水</w:t>
            </w:r>
            <w:r>
              <w:rPr>
                <w:rFonts w:hint="eastAsia" w:eastAsia="宋体"/>
                <w:b w:val="0"/>
                <w:bCs w:val="0"/>
                <w:color w:val="auto"/>
                <w:sz w:val="24"/>
                <w:highlight w:val="none"/>
                <w:u w:val="none"/>
                <w:lang w:val="en-US" w:eastAsia="zh-CN"/>
              </w:rPr>
              <w:t>中</w:t>
            </w:r>
            <w:r>
              <w:rPr>
                <w:rFonts w:hint="eastAsia" w:ascii="Times New Roman" w:hAnsi="Times New Roman" w:eastAsia="宋体"/>
                <w:b w:val="0"/>
                <w:bCs w:val="0"/>
                <w:color w:val="auto"/>
                <w:sz w:val="24"/>
                <w:highlight w:val="none"/>
                <w:u w:val="none"/>
                <w:lang w:eastAsia="zh-CN"/>
              </w:rPr>
              <w:t>不含有毒有害成分，</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w:t>
            </w:r>
            <w:r>
              <w:rPr>
                <w:rFonts w:hint="eastAsia" w:eastAsia="宋体"/>
                <w:b w:val="0"/>
                <w:bCs w:val="0"/>
                <w:color w:val="auto"/>
                <w:sz w:val="24"/>
                <w:highlight w:val="none"/>
                <w:u w:val="none"/>
                <w:lang w:val="en-US" w:eastAsia="zh-CN"/>
              </w:rPr>
              <w:t>0</w:t>
            </w:r>
            <w:r>
              <w:rPr>
                <w:rFonts w:ascii="Times New Roman" w:hAnsi="Times New Roman" w:eastAsia="宋体"/>
                <w:b w:val="0"/>
                <w:bCs w:val="0"/>
                <w:color w:val="auto"/>
                <w:sz w:val="24"/>
                <w:highlight w:val="none"/>
                <w:u w:val="none"/>
              </w:rPr>
              <w:t>%计，则项目</w:t>
            </w:r>
            <w:r>
              <w:rPr>
                <w:rFonts w:hint="eastAsia" w:eastAsia="宋体"/>
                <w:b w:val="0"/>
                <w:bCs w:val="0"/>
                <w:color w:val="auto"/>
                <w:sz w:val="24"/>
                <w:highlight w:val="none"/>
                <w:u w:val="none"/>
                <w:lang w:val="en-US" w:eastAsia="zh-CN"/>
              </w:rPr>
              <w:t>原料</w:t>
            </w:r>
            <w:r>
              <w:rPr>
                <w:rFonts w:ascii="Times New Roman" w:hAnsi="Times New Roman" w:eastAsia="宋体"/>
                <w:b w:val="0"/>
                <w:bCs w:val="0"/>
                <w:color w:val="auto"/>
                <w:sz w:val="24"/>
                <w:highlight w:val="none"/>
                <w:u w:val="none"/>
              </w:rPr>
              <w:t>清洗废水产生量为</w:t>
            </w:r>
            <w:r>
              <w:rPr>
                <w:rFonts w:hint="eastAsia" w:ascii="Times New Roman" w:hAnsi="Times New Roman" w:eastAsia="宋体"/>
                <w:b w:val="0"/>
                <w:bCs w:val="0"/>
                <w:color w:val="auto"/>
                <w:sz w:val="24"/>
                <w:highlight w:val="none"/>
                <w:u w:val="none"/>
                <w:lang w:val="en-US" w:eastAsia="zh-CN"/>
              </w:rPr>
              <w:t>0.027</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lang w:val="en-US" w:eastAsia="zh-CN"/>
              </w:rPr>
              <w:t>8.1</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6C8146FD">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kern w:val="2"/>
                <w:sz w:val="24"/>
                <w:szCs w:val="21"/>
                <w:highlight w:val="none"/>
                <w:lang w:val="en-US" w:eastAsia="zh-CN" w:bidi="ar-SA"/>
              </w:rPr>
              <w:t>（</w:t>
            </w:r>
            <w:r>
              <w:rPr>
                <w:rFonts w:hint="eastAsia" w:cs="Times New Roman"/>
                <w:color w:val="000000"/>
                <w:kern w:val="2"/>
                <w:sz w:val="24"/>
                <w:szCs w:val="21"/>
                <w:highlight w:val="none"/>
                <w:lang w:val="en-US" w:eastAsia="zh-CN" w:bidi="ar-SA"/>
              </w:rPr>
              <w:t>5</w:t>
            </w:r>
            <w:r>
              <w:rPr>
                <w:rFonts w:hint="eastAsia" w:ascii="Times New Roman" w:hAnsi="Times New Roman" w:eastAsia="宋体" w:cs="Times New Roman"/>
                <w:color w:val="000000"/>
                <w:kern w:val="2"/>
                <w:sz w:val="24"/>
                <w:szCs w:val="21"/>
                <w:highlight w:val="none"/>
                <w:lang w:val="en-US" w:eastAsia="zh-CN" w:bidi="ar-SA"/>
              </w:rPr>
              <w:t>）</w:t>
            </w:r>
            <w:r>
              <w:rPr>
                <w:rFonts w:hint="eastAsia" w:ascii="Times New Roman" w:hAnsi="Times New Roman" w:eastAsia="宋体" w:cs="Times New Roman"/>
                <w:color w:val="000000"/>
                <w:sz w:val="24"/>
                <w:highlight w:val="none"/>
                <w:lang w:eastAsia="zh-CN"/>
              </w:rPr>
              <w:t>生活用水及排水</w:t>
            </w:r>
          </w:p>
          <w:p w14:paraId="79A88B38">
            <w:pPr>
              <w:keepNext w:val="0"/>
              <w:keepLines w:val="0"/>
              <w:pageBreakBefore w:val="0"/>
              <w:widowControl w:val="0"/>
              <w:kinsoku/>
              <w:wordWrap/>
              <w:overflowPunct/>
              <w:topLinePunct w:val="0"/>
              <w:bidi w:val="0"/>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eastAsia="zh-CN"/>
              </w:rPr>
            </w:pPr>
            <w:r>
              <w:rPr>
                <w:sz w:val="24"/>
                <w:highlight w:val="none"/>
              </w:rPr>
              <w:t>厂区内生活污水主要为职工日常生活用水。该项目共有工作人员</w:t>
            </w:r>
            <w:r>
              <w:rPr>
                <w:rFonts w:hint="eastAsia"/>
                <w:sz w:val="24"/>
                <w:highlight w:val="none"/>
                <w:lang w:val="en-US" w:eastAsia="zh-CN"/>
              </w:rPr>
              <w:t>30</w:t>
            </w:r>
            <w:r>
              <w:rPr>
                <w:sz w:val="24"/>
                <w:highlight w:val="none"/>
              </w:rPr>
              <w:t>人，均不在厂区内</w:t>
            </w:r>
            <w:r>
              <w:rPr>
                <w:rFonts w:hint="eastAsia"/>
                <w:sz w:val="24"/>
                <w:highlight w:val="none"/>
                <w:lang w:val="en-US" w:eastAsia="zh-CN"/>
              </w:rPr>
              <w:t>食宿</w:t>
            </w:r>
            <w:r>
              <w:rPr>
                <w:sz w:val="24"/>
                <w:highlight w:val="none"/>
              </w:rPr>
              <w:t>，根据</w:t>
            </w:r>
            <w:r>
              <w:rPr>
                <w:rFonts w:hint="default" w:ascii="Times New Roman" w:hAnsi="Times New Roman" w:eastAsia="宋体" w:cs="Times New Roman"/>
                <w:color w:val="auto"/>
                <w:kern w:val="2"/>
                <w:sz w:val="24"/>
                <w:highlight w:val="none"/>
                <w:lang w:val="en-US" w:eastAsia="zh-CN" w:bidi="ar-SA"/>
              </w:rPr>
              <w:t>河南省地方标准《工业与城镇生活用水定额》（DB41/T385-2020）</w:t>
            </w:r>
            <w:r>
              <w:rPr>
                <w:sz w:val="24"/>
                <w:highlight w:val="none"/>
              </w:rPr>
              <w:t>中的相关标准，员工用水定额按照</w:t>
            </w:r>
            <w:r>
              <w:rPr>
                <w:rFonts w:hint="default" w:ascii="Times New Roman" w:hAnsi="Times New Roman" w:cs="Times New Roman"/>
                <w:color w:val="auto"/>
                <w:kern w:val="2"/>
                <w:sz w:val="24"/>
                <w:highlight w:val="none"/>
                <w:lang w:val="en-US" w:eastAsia="zh-CN" w:bidi="ar-SA"/>
              </w:rPr>
              <w:t>40</w:t>
            </w:r>
            <w:r>
              <w:rPr>
                <w:rFonts w:hint="default" w:ascii="Times New Roman" w:hAnsi="Times New Roman" w:eastAsia="宋体" w:cs="Times New Roman"/>
                <w:color w:val="auto"/>
                <w:kern w:val="2"/>
                <w:sz w:val="24"/>
                <w:highlight w:val="none"/>
                <w:lang w:val="en-US" w:eastAsia="zh-CN" w:bidi="ar-SA"/>
              </w:rPr>
              <w:t>L/人·d</w:t>
            </w:r>
            <w:r>
              <w:rPr>
                <w:rFonts w:hint="eastAsia" w:ascii="Times New Roman" w:hAnsi="Times New Roman" w:cs="Times New Roman"/>
                <w:color w:val="auto"/>
                <w:kern w:val="2"/>
                <w:sz w:val="24"/>
                <w:highlight w:val="none"/>
                <w:lang w:val="en-US" w:eastAsia="zh-CN" w:bidi="ar-SA"/>
              </w:rPr>
              <w:t>计，</w:t>
            </w:r>
            <w:r>
              <w:rPr>
                <w:sz w:val="24"/>
                <w:highlight w:val="none"/>
              </w:rPr>
              <w:t>按年工作日3</w:t>
            </w:r>
            <w:r>
              <w:rPr>
                <w:rFonts w:hint="eastAsia"/>
                <w:sz w:val="24"/>
                <w:highlight w:val="none"/>
                <w:lang w:val="en-US" w:eastAsia="zh-CN"/>
              </w:rPr>
              <w:t>0</w:t>
            </w:r>
            <w:r>
              <w:rPr>
                <w:sz w:val="24"/>
                <w:highlight w:val="none"/>
              </w:rPr>
              <w:t>0天计，则生活用水量为</w:t>
            </w:r>
            <w:r>
              <w:rPr>
                <w:rFonts w:hint="eastAsia"/>
                <w:sz w:val="24"/>
                <w:highlight w:val="none"/>
                <w:lang w:val="en-US" w:eastAsia="zh-CN"/>
              </w:rPr>
              <w:t>1.2</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360</w:t>
            </w:r>
            <w:r>
              <w:rPr>
                <w:sz w:val="24"/>
                <w:highlight w:val="none"/>
              </w:rPr>
              <w:t>m</w:t>
            </w:r>
            <w:r>
              <w:rPr>
                <w:sz w:val="24"/>
                <w:highlight w:val="none"/>
                <w:vertAlign w:val="superscript"/>
              </w:rPr>
              <w:t>3</w:t>
            </w:r>
            <w:r>
              <w:rPr>
                <w:sz w:val="24"/>
                <w:highlight w:val="none"/>
              </w:rPr>
              <w:t>/a，以80%的产污系数计算，生活污水产生量为0.</w:t>
            </w:r>
            <w:r>
              <w:rPr>
                <w:rFonts w:hint="eastAsia"/>
                <w:sz w:val="24"/>
                <w:highlight w:val="none"/>
                <w:lang w:val="en-US" w:eastAsia="zh-CN"/>
              </w:rPr>
              <w:t>96</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288</w:t>
            </w:r>
            <w:r>
              <w:rPr>
                <w:sz w:val="24"/>
                <w:highlight w:val="none"/>
              </w:rPr>
              <w:t>m</w:t>
            </w:r>
            <w:r>
              <w:rPr>
                <w:sz w:val="24"/>
                <w:highlight w:val="none"/>
                <w:vertAlign w:val="superscript"/>
              </w:rPr>
              <w:t>3</w:t>
            </w:r>
            <w:r>
              <w:rPr>
                <w:sz w:val="24"/>
                <w:highlight w:val="none"/>
              </w:rPr>
              <w:t>/a。考虑生活污水中含粪尿污水，取生活污水污染物含量为：CODcr</w:t>
            </w:r>
            <w:r>
              <w:rPr>
                <w:rFonts w:hint="eastAsia"/>
                <w:sz w:val="24"/>
                <w:highlight w:val="none"/>
                <w:lang w:eastAsia="zh-CN"/>
              </w:rPr>
              <w:t>：</w:t>
            </w:r>
            <w:r>
              <w:rPr>
                <w:rFonts w:hint="eastAsia"/>
                <w:sz w:val="24"/>
                <w:highlight w:val="none"/>
                <w:lang w:val="en-US" w:eastAsia="zh-CN"/>
              </w:rPr>
              <w:t>250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13</w:t>
            </w:r>
            <w:r>
              <w:rPr>
                <w:sz w:val="24"/>
                <w:highlight w:val="none"/>
              </w:rPr>
              <w:t>0mg/L，SS</w:t>
            </w:r>
            <w:r>
              <w:rPr>
                <w:rFonts w:hint="eastAsia"/>
                <w:sz w:val="24"/>
                <w:highlight w:val="none"/>
                <w:lang w:eastAsia="zh-CN"/>
              </w:rPr>
              <w:t>：</w:t>
            </w:r>
            <w:r>
              <w:rPr>
                <w:rFonts w:hint="eastAsia"/>
                <w:sz w:val="24"/>
                <w:highlight w:val="none"/>
                <w:lang w:val="en-US" w:eastAsia="zh-CN"/>
              </w:rPr>
              <w:t>18</w:t>
            </w:r>
            <w:r>
              <w:rPr>
                <w:sz w:val="24"/>
                <w:highlight w:val="none"/>
              </w:rPr>
              <w:t>0mg/L，NH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20</w:t>
            </w:r>
            <w:r>
              <w:rPr>
                <w:sz w:val="24"/>
                <w:highlight w:val="none"/>
              </w:rPr>
              <w:t>mg/L。项目</w:t>
            </w:r>
            <w:r>
              <w:rPr>
                <w:rFonts w:hint="eastAsia"/>
                <w:sz w:val="24"/>
                <w:highlight w:val="none"/>
                <w:lang w:val="en-US" w:eastAsia="zh-CN"/>
              </w:rPr>
              <w:t>生活污水经过</w:t>
            </w:r>
            <w:r>
              <w:rPr>
                <w:sz w:val="24"/>
                <w:highlight w:val="none"/>
              </w:rPr>
              <w:t>化粪池处理后，</w:t>
            </w:r>
            <w:r>
              <w:rPr>
                <w:rFonts w:hint="eastAsia"/>
                <w:sz w:val="24"/>
                <w:highlight w:val="none"/>
                <w:lang w:val="en-US" w:eastAsia="zh-CN"/>
              </w:rPr>
              <w:t>化粪池</w:t>
            </w:r>
            <w:r>
              <w:rPr>
                <w:sz w:val="24"/>
                <w:highlight w:val="none"/>
              </w:rPr>
              <w:t>对各种污染物的去除率为COD：</w:t>
            </w:r>
            <w:r>
              <w:rPr>
                <w:rFonts w:hint="eastAsia"/>
                <w:sz w:val="24"/>
                <w:highlight w:val="none"/>
                <w:lang w:val="en-US" w:eastAsia="zh-CN"/>
              </w:rPr>
              <w:t>15</w:t>
            </w:r>
            <w:r>
              <w:rPr>
                <w:sz w:val="24"/>
                <w:highlight w:val="none"/>
              </w:rPr>
              <w:t>%</w:t>
            </w:r>
            <w:r>
              <w:rPr>
                <w:rFonts w:hint="eastAsia"/>
                <w:sz w:val="24"/>
                <w:highlight w:val="none"/>
              </w:rPr>
              <w:t>，</w:t>
            </w:r>
            <w:r>
              <w:rPr>
                <w:sz w:val="24"/>
                <w:highlight w:val="none"/>
              </w:rPr>
              <w:t>BOD</w:t>
            </w:r>
            <w:r>
              <w:rPr>
                <w:sz w:val="24"/>
                <w:highlight w:val="none"/>
                <w:vertAlign w:val="subscript"/>
              </w:rPr>
              <w:t>5</w:t>
            </w:r>
            <w:r>
              <w:rPr>
                <w:sz w:val="24"/>
                <w:highlight w:val="none"/>
              </w:rPr>
              <w:t>：</w:t>
            </w:r>
            <w:r>
              <w:rPr>
                <w:rFonts w:hint="eastAsia"/>
                <w:sz w:val="24"/>
                <w:highlight w:val="none"/>
                <w:lang w:val="en-US" w:eastAsia="zh-CN"/>
              </w:rPr>
              <w:t>10</w:t>
            </w:r>
            <w:r>
              <w:rPr>
                <w:sz w:val="24"/>
                <w:highlight w:val="none"/>
              </w:rPr>
              <w:t>%，SS：</w:t>
            </w:r>
            <w:r>
              <w:rPr>
                <w:rFonts w:hint="eastAsia"/>
                <w:sz w:val="24"/>
                <w:highlight w:val="none"/>
                <w:lang w:val="en-US" w:eastAsia="zh-CN"/>
              </w:rPr>
              <w:t>30</w:t>
            </w:r>
            <w:r>
              <w:rPr>
                <w:sz w:val="24"/>
                <w:highlight w:val="none"/>
              </w:rPr>
              <w:t>%，NH</w:t>
            </w:r>
            <w:r>
              <w:rPr>
                <w:sz w:val="24"/>
                <w:highlight w:val="none"/>
                <w:vertAlign w:val="subscript"/>
              </w:rPr>
              <w:t>3</w:t>
            </w:r>
            <w:r>
              <w:rPr>
                <w:sz w:val="24"/>
                <w:highlight w:val="none"/>
              </w:rPr>
              <w:t>-N：</w:t>
            </w:r>
            <w:r>
              <w:rPr>
                <w:rFonts w:hint="eastAsia"/>
                <w:sz w:val="24"/>
                <w:highlight w:val="none"/>
                <w:lang w:val="en-US" w:eastAsia="zh-CN"/>
              </w:rPr>
              <w:t>5</w:t>
            </w:r>
            <w:r>
              <w:rPr>
                <w:sz w:val="24"/>
                <w:highlight w:val="none"/>
              </w:rPr>
              <w:t>%），排放浓度</w:t>
            </w:r>
            <w:r>
              <w:rPr>
                <w:rFonts w:hint="eastAsia"/>
                <w:sz w:val="24"/>
                <w:highlight w:val="none"/>
                <w:lang w:val="en-US" w:eastAsia="zh-CN"/>
              </w:rPr>
              <w:t>分别为</w:t>
            </w:r>
            <w:r>
              <w:rPr>
                <w:sz w:val="24"/>
                <w:highlight w:val="none"/>
              </w:rPr>
              <w:t>CODcr</w:t>
            </w:r>
            <w:r>
              <w:rPr>
                <w:rFonts w:hint="eastAsia"/>
                <w:sz w:val="24"/>
                <w:highlight w:val="none"/>
                <w:lang w:eastAsia="zh-CN"/>
              </w:rPr>
              <w:t>：</w:t>
            </w:r>
            <w:r>
              <w:rPr>
                <w:rFonts w:hint="eastAsia"/>
                <w:sz w:val="24"/>
                <w:highlight w:val="none"/>
                <w:lang w:val="en-US" w:eastAsia="zh-CN"/>
              </w:rPr>
              <w:t>212.5</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117</w:t>
            </w:r>
            <w:r>
              <w:rPr>
                <w:sz w:val="24"/>
                <w:highlight w:val="none"/>
              </w:rPr>
              <w:t>mg/L，SS</w:t>
            </w:r>
            <w:r>
              <w:rPr>
                <w:rFonts w:hint="eastAsia"/>
                <w:sz w:val="24"/>
                <w:highlight w:val="none"/>
                <w:lang w:eastAsia="zh-CN"/>
              </w:rPr>
              <w:t>：</w:t>
            </w:r>
            <w:r>
              <w:rPr>
                <w:rFonts w:hint="eastAsia"/>
                <w:sz w:val="24"/>
                <w:highlight w:val="none"/>
                <w:lang w:val="en-US" w:eastAsia="zh-CN"/>
              </w:rPr>
              <w:t>126</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19</w:t>
            </w:r>
            <w:r>
              <w:rPr>
                <w:sz w:val="24"/>
                <w:highlight w:val="none"/>
              </w:rPr>
              <w:t>mg/L。项目</w:t>
            </w:r>
            <w:r>
              <w:rPr>
                <w:rFonts w:hint="eastAsia"/>
                <w:sz w:val="24"/>
                <w:highlight w:val="none"/>
                <w:lang w:eastAsia="zh-CN"/>
              </w:rPr>
              <w:t>产生的生活污水</w:t>
            </w:r>
            <w:r>
              <w:rPr>
                <w:rFonts w:hint="eastAsia"/>
                <w:sz w:val="24"/>
                <w:highlight w:val="none"/>
                <w:lang w:val="en-US" w:eastAsia="zh-CN"/>
              </w:rPr>
              <w:t>经过</w:t>
            </w:r>
            <w:r>
              <w:rPr>
                <w:rFonts w:hint="eastAsia"/>
                <w:sz w:val="24"/>
                <w:highlight w:val="none"/>
                <w:lang w:eastAsia="zh-CN"/>
              </w:rPr>
              <w:t>化粪池处理后，</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最终通过污水管网流向叶县廉村镇污水处理站进行处理</w:t>
            </w:r>
            <w:r>
              <w:rPr>
                <w:rFonts w:hint="eastAsia" w:ascii="Times New Roman" w:hAnsi="Times New Roman" w:eastAsia="宋体"/>
                <w:b w:val="0"/>
                <w:bCs w:val="0"/>
                <w:color w:val="auto"/>
                <w:sz w:val="24"/>
                <w:highlight w:val="none"/>
                <w:u w:val="none"/>
                <w:lang w:eastAsia="zh-CN"/>
              </w:rPr>
              <w:t>。</w:t>
            </w:r>
          </w:p>
          <w:p w14:paraId="4C1D04A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b w:val="0"/>
                <w:bCs w:val="0"/>
                <w:color w:val="auto"/>
                <w:sz w:val="24"/>
                <w:highlight w:val="none"/>
                <w:u w:val="none"/>
              </w:rPr>
              <w:t>综上</w:t>
            </w:r>
            <w:r>
              <w:rPr>
                <w:rFonts w:hint="eastAsia" w:ascii="Times New Roman" w:hAnsi="Times New Roman" w:eastAsia="宋体"/>
                <w:b w:val="0"/>
                <w:bCs w:val="0"/>
                <w:color w:val="auto"/>
                <w:sz w:val="24"/>
                <w:highlight w:val="none"/>
                <w:u w:val="none"/>
                <w:lang w:eastAsia="zh-CN"/>
              </w:rPr>
              <w:t>，项目</w:t>
            </w:r>
            <w:r>
              <w:rPr>
                <w:rFonts w:hint="eastAsia"/>
                <w:b w:val="0"/>
                <w:bCs w:val="0"/>
                <w:color w:val="auto"/>
                <w:sz w:val="24"/>
                <w:highlight w:val="none"/>
                <w:u w:val="none"/>
                <w:lang w:val="en-US" w:eastAsia="zh-CN"/>
              </w:rPr>
              <w:t>总用水量为15.73</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w:t>
            </w:r>
            <w:r>
              <w:rPr>
                <w:rFonts w:hint="eastAsia" w:cs="Times New Roman"/>
                <w:color w:val="auto"/>
                <w:sz w:val="24"/>
                <w:highlight w:val="none"/>
                <w:lang w:val="en-US" w:eastAsia="zh-CN"/>
              </w:rPr>
              <w:t>4719</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/a，</w:t>
            </w:r>
            <w:r>
              <w:rPr>
                <w:rFonts w:hint="eastAsia"/>
                <w:b w:val="0"/>
                <w:bCs w:val="0"/>
                <w:color w:val="auto"/>
                <w:sz w:val="24"/>
                <w:highlight w:val="none"/>
                <w:u w:val="none"/>
                <w:lang w:val="en-US" w:eastAsia="zh-CN"/>
              </w:rPr>
              <w:t>外排废水的</w:t>
            </w:r>
            <w:r>
              <w:rPr>
                <w:rFonts w:hint="eastAsia" w:ascii="Times New Roman" w:hAnsi="Times New Roman" w:eastAsia="宋体"/>
                <w:b w:val="0"/>
                <w:bCs w:val="0"/>
                <w:color w:val="auto"/>
                <w:sz w:val="24"/>
                <w:highlight w:val="none"/>
                <w:u w:val="none"/>
                <w:lang w:eastAsia="zh-CN"/>
              </w:rPr>
              <w:t>产生量为</w:t>
            </w:r>
            <w:r>
              <w:rPr>
                <w:rFonts w:hint="eastAsia"/>
                <w:b w:val="0"/>
                <w:bCs w:val="0"/>
                <w:color w:val="auto"/>
                <w:sz w:val="24"/>
                <w:highlight w:val="none"/>
                <w:u w:val="none"/>
                <w:lang w:val="en-US" w:eastAsia="zh-CN"/>
              </w:rPr>
              <w:t>8.047</w:t>
            </w:r>
            <w:r>
              <w:rPr>
                <w:rFonts w:hint="eastAsia" w:ascii="Times New Roman" w:hAnsi="Times New Roman" w:eastAsia="宋体"/>
                <w:b w:val="0"/>
                <w:bCs w:val="0"/>
                <w:color w:val="auto"/>
                <w:sz w:val="24"/>
                <w:highlight w:val="none"/>
                <w:u w:val="none"/>
                <w:lang w:eastAsia="zh-CN"/>
              </w:rPr>
              <w:t>m</w:t>
            </w:r>
            <w:r>
              <w:rPr>
                <w:rFonts w:hint="eastAsia" w:ascii="Times New Roman" w:hAnsi="Times New Roman" w:eastAsia="宋体"/>
                <w:b w:val="0"/>
                <w:bCs w:val="0"/>
                <w:color w:val="auto"/>
                <w:sz w:val="24"/>
                <w:highlight w:val="none"/>
                <w:u w:val="none"/>
                <w:vertAlign w:val="superscript"/>
                <w:lang w:eastAsia="zh-CN"/>
              </w:rPr>
              <w:t>3</w:t>
            </w:r>
            <w:r>
              <w:rPr>
                <w:rFonts w:hint="eastAsia" w:ascii="Times New Roman" w:hAnsi="Times New Roman" w:eastAsia="宋体"/>
                <w:b w:val="0"/>
                <w:bCs w:val="0"/>
                <w:color w:val="auto"/>
                <w:sz w:val="24"/>
                <w:highlight w:val="none"/>
                <w:u w:val="none"/>
                <w:lang w:eastAsia="zh-CN"/>
              </w:rPr>
              <w:t>/d，</w:t>
            </w:r>
            <w:r>
              <w:rPr>
                <w:rFonts w:hint="eastAsia"/>
                <w:b w:val="0"/>
                <w:bCs w:val="0"/>
                <w:color w:val="auto"/>
                <w:sz w:val="24"/>
                <w:highlight w:val="none"/>
                <w:u w:val="none"/>
                <w:lang w:val="en-US" w:eastAsia="zh-CN"/>
              </w:rPr>
              <w:t>2414.1</w:t>
            </w:r>
            <w:r>
              <w:rPr>
                <w:rFonts w:hint="eastAsia" w:ascii="Times New Roman" w:hAnsi="Times New Roman" w:eastAsia="宋体"/>
                <w:b w:val="0"/>
                <w:bCs w:val="0"/>
                <w:color w:val="auto"/>
                <w:sz w:val="24"/>
                <w:highlight w:val="none"/>
                <w:u w:val="none"/>
                <w:lang w:eastAsia="zh-CN"/>
              </w:rPr>
              <w:t>m</w:t>
            </w:r>
            <w:r>
              <w:rPr>
                <w:rFonts w:hint="eastAsia" w:ascii="Times New Roman" w:hAnsi="Times New Roman" w:eastAsia="宋体"/>
                <w:b w:val="0"/>
                <w:bCs w:val="0"/>
                <w:color w:val="auto"/>
                <w:sz w:val="24"/>
                <w:highlight w:val="none"/>
                <w:u w:val="none"/>
                <w:vertAlign w:val="superscript"/>
                <w:lang w:eastAsia="zh-CN"/>
              </w:rPr>
              <w:t>3</w:t>
            </w:r>
            <w:r>
              <w:rPr>
                <w:rFonts w:hint="eastAsia" w:ascii="Times New Roman" w:hAnsi="Times New Roman" w:eastAsia="宋体"/>
                <w:b w:val="0"/>
                <w:bCs w:val="0"/>
                <w:color w:val="auto"/>
                <w:sz w:val="24"/>
                <w:highlight w:val="none"/>
                <w:u w:val="none"/>
                <w:lang w:eastAsia="zh-CN"/>
              </w:rPr>
              <w:t>/a</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生产废水经过管道收集先</w:t>
            </w:r>
            <w:r>
              <w:rPr>
                <w:rFonts w:hint="eastAsia" w:cs="Times New Roman"/>
                <w:color w:val="auto"/>
                <w:sz w:val="24"/>
                <w:highlight w:val="none"/>
                <w:lang w:val="en-US" w:eastAsia="zh-CN"/>
              </w:rPr>
              <w:t>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r>
              <w:rPr>
                <w:rFonts w:hint="eastAsia"/>
                <w:sz w:val="24"/>
                <w:highlight w:val="none"/>
                <w:lang w:eastAsia="zh-CN"/>
              </w:rPr>
              <w:t>生活污水</w:t>
            </w:r>
            <w:r>
              <w:rPr>
                <w:rFonts w:hint="eastAsia"/>
                <w:sz w:val="24"/>
                <w:highlight w:val="none"/>
                <w:lang w:val="en-US" w:eastAsia="zh-CN"/>
              </w:rPr>
              <w:t>经过</w:t>
            </w:r>
            <w:r>
              <w:rPr>
                <w:rFonts w:hint="eastAsia"/>
                <w:sz w:val="24"/>
                <w:highlight w:val="none"/>
                <w:lang w:eastAsia="zh-CN"/>
              </w:rPr>
              <w:t>化粪池处理后，</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最终通过污水管网流向叶县廉村镇污水处理站进行处理</w:t>
            </w:r>
            <w:r>
              <w:rPr>
                <w:rFonts w:hint="eastAsia" w:ascii="Times New Roman" w:hAnsi="Times New Roman" w:eastAsia="宋体"/>
                <w:b w:val="0"/>
                <w:bCs w:val="0"/>
                <w:color w:val="auto"/>
                <w:sz w:val="24"/>
                <w:highlight w:val="none"/>
                <w:u w:val="none"/>
                <w:lang w:eastAsia="zh-CN"/>
              </w:rPr>
              <w:t>。</w:t>
            </w:r>
            <w:r>
              <w:rPr>
                <w:rFonts w:hint="eastAsia" w:cs="Times New Roman"/>
                <w:color w:val="auto"/>
                <w:sz w:val="24"/>
                <w:highlight w:val="none"/>
                <w:lang w:val="en-US" w:eastAsia="zh-CN"/>
              </w:rPr>
              <w:t>企业按照生产情况和实际经验，参考《食品工业废水来源及水质情况》表1-1中调料厂废水水质（PH</w:t>
            </w:r>
            <w:r>
              <w:rPr>
                <w:rFonts w:hint="eastAsia"/>
                <w:sz w:val="24"/>
                <w:highlight w:val="none"/>
                <w:lang w:eastAsia="zh-CN"/>
              </w:rPr>
              <w:t>：</w:t>
            </w:r>
            <w:r>
              <w:rPr>
                <w:rFonts w:hint="eastAsia" w:cs="Times New Roman"/>
                <w:color w:val="auto"/>
                <w:sz w:val="24"/>
                <w:highlight w:val="none"/>
                <w:lang w:val="en-US" w:eastAsia="zh-CN"/>
              </w:rPr>
              <w:t>6.0-8.0、BOD</w:t>
            </w:r>
            <w:r>
              <w:rPr>
                <w:rFonts w:hint="eastAsia" w:cs="Times New Roman"/>
                <w:color w:val="auto"/>
                <w:sz w:val="24"/>
                <w:highlight w:val="none"/>
                <w:vertAlign w:val="subscript"/>
                <w:lang w:val="en-US" w:eastAsia="zh-CN"/>
              </w:rPr>
              <w:t>5</w:t>
            </w:r>
            <w:r>
              <w:rPr>
                <w:rFonts w:hint="eastAsia"/>
                <w:sz w:val="24"/>
                <w:highlight w:val="none"/>
                <w:lang w:eastAsia="zh-CN"/>
              </w:rPr>
              <w:t>：</w:t>
            </w:r>
            <w:r>
              <w:rPr>
                <w:rFonts w:hint="eastAsia" w:cs="Times New Roman"/>
                <w:color w:val="auto"/>
                <w:sz w:val="24"/>
                <w:highlight w:val="none"/>
                <w:lang w:val="en-US" w:eastAsia="zh-CN"/>
              </w:rPr>
              <w:t>40-300mgL、SS</w:t>
            </w:r>
            <w:r>
              <w:rPr>
                <w:rFonts w:hint="eastAsia"/>
                <w:sz w:val="24"/>
                <w:highlight w:val="none"/>
                <w:lang w:eastAsia="zh-CN"/>
              </w:rPr>
              <w:t>：</w:t>
            </w:r>
            <w:r>
              <w:rPr>
                <w:rFonts w:hint="eastAsia" w:cs="Times New Roman"/>
                <w:color w:val="auto"/>
                <w:sz w:val="24"/>
                <w:highlight w:val="none"/>
                <w:lang w:val="en-US" w:eastAsia="zh-CN"/>
              </w:rPr>
              <w:t>200-300mg/L）和《饮食业环境保护技术规范》（HJ554-2010）表1饮食业单位含油污水质（BOD</w:t>
            </w:r>
            <w:r>
              <w:rPr>
                <w:rFonts w:hint="eastAsia" w:cs="Times New Roman"/>
                <w:color w:val="auto"/>
                <w:sz w:val="24"/>
                <w:highlight w:val="none"/>
                <w:vertAlign w:val="subscript"/>
                <w:lang w:val="en-US" w:eastAsia="zh-CN"/>
              </w:rPr>
              <w:t>5</w:t>
            </w:r>
            <w:r>
              <w:rPr>
                <w:rFonts w:hint="eastAsia"/>
                <w:sz w:val="24"/>
                <w:highlight w:val="none"/>
                <w:lang w:eastAsia="zh-CN"/>
              </w:rPr>
              <w:t>：</w:t>
            </w:r>
            <w:r>
              <w:rPr>
                <w:rFonts w:hint="eastAsia" w:cs="Times New Roman"/>
                <w:color w:val="auto"/>
                <w:sz w:val="24"/>
                <w:highlight w:val="none"/>
                <w:lang w:val="en-US" w:eastAsia="zh-CN"/>
              </w:rPr>
              <w:t>400-600mg/L、COD</w:t>
            </w:r>
            <w:r>
              <w:rPr>
                <w:rFonts w:hint="eastAsia"/>
                <w:sz w:val="24"/>
                <w:highlight w:val="none"/>
                <w:lang w:eastAsia="zh-CN"/>
              </w:rPr>
              <w:t>：</w:t>
            </w:r>
            <w:r>
              <w:rPr>
                <w:rFonts w:hint="eastAsia" w:cs="Times New Roman"/>
                <w:color w:val="auto"/>
                <w:sz w:val="24"/>
                <w:highlight w:val="none"/>
                <w:lang w:val="en-US" w:eastAsia="zh-CN"/>
              </w:rPr>
              <w:t>800-1200mg/L、SS</w:t>
            </w:r>
            <w:r>
              <w:rPr>
                <w:rFonts w:hint="eastAsia"/>
                <w:sz w:val="24"/>
                <w:highlight w:val="none"/>
                <w:lang w:eastAsia="zh-CN"/>
              </w:rPr>
              <w:t>：</w:t>
            </w:r>
            <w:r>
              <w:rPr>
                <w:rFonts w:hint="eastAsia" w:cs="Times New Roman"/>
                <w:color w:val="auto"/>
                <w:sz w:val="24"/>
                <w:highlight w:val="none"/>
                <w:lang w:val="en-US" w:eastAsia="zh-CN"/>
              </w:rPr>
              <w:t>300-500mg/L、NH</w:t>
            </w:r>
            <w:r>
              <w:rPr>
                <w:rFonts w:hint="eastAsia" w:cs="Times New Roman"/>
                <w:color w:val="auto"/>
                <w:sz w:val="24"/>
                <w:highlight w:val="none"/>
                <w:vertAlign w:val="subscript"/>
                <w:lang w:val="en-US" w:eastAsia="zh-CN"/>
              </w:rPr>
              <w:t>3</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N</w:t>
            </w:r>
            <w:r>
              <w:rPr>
                <w:rFonts w:hint="eastAsia"/>
                <w:sz w:val="24"/>
                <w:highlight w:val="none"/>
                <w:lang w:eastAsia="zh-CN"/>
              </w:rPr>
              <w:t>：</w:t>
            </w:r>
            <w:r>
              <w:rPr>
                <w:rFonts w:hint="eastAsia" w:cs="Times New Roman"/>
                <w:color w:val="auto"/>
                <w:sz w:val="24"/>
                <w:highlight w:val="none"/>
                <w:lang w:val="en-US" w:eastAsia="zh-CN"/>
              </w:rPr>
              <w:t>0-20mg/L、动植物油</w:t>
            </w:r>
            <w:r>
              <w:rPr>
                <w:rFonts w:hint="eastAsia"/>
                <w:sz w:val="24"/>
                <w:highlight w:val="none"/>
                <w:lang w:eastAsia="zh-CN"/>
              </w:rPr>
              <w:t>：</w:t>
            </w:r>
            <w:r>
              <w:rPr>
                <w:rFonts w:hint="eastAsia"/>
                <w:sz w:val="24"/>
                <w:highlight w:val="none"/>
                <w:lang w:val="en-US" w:eastAsia="zh-CN"/>
              </w:rPr>
              <w:t>10</w:t>
            </w:r>
            <w:r>
              <w:rPr>
                <w:rFonts w:hint="eastAsia" w:cs="Times New Roman"/>
                <w:color w:val="auto"/>
                <w:sz w:val="24"/>
                <w:highlight w:val="none"/>
                <w:lang w:val="en-US" w:eastAsia="zh-CN"/>
              </w:rPr>
              <w:t>0-200mg/L），本项目废水的水质情况取值如下：</w:t>
            </w:r>
          </w:p>
          <w:p w14:paraId="7B8AE43B">
            <w:pPr>
              <w:keepNext w:val="0"/>
              <w:keepLines w:val="0"/>
              <w:pageBreakBefore w:val="0"/>
              <w:widowControl w:val="0"/>
              <w:kinsoku/>
              <w:wordWrap/>
              <w:overflowPunct/>
              <w:topLinePunct w:val="0"/>
              <w:bidi w:val="0"/>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eastAsia="zh-CN"/>
              </w:rPr>
            </w:pPr>
            <w:r>
              <w:rPr>
                <w:rFonts w:hint="eastAsia"/>
                <w:b w:val="0"/>
                <w:bCs w:val="0"/>
                <w:color w:val="auto"/>
                <w:sz w:val="24"/>
                <w:highlight w:val="none"/>
                <w:u w:val="none"/>
                <w:lang w:val="en-US" w:eastAsia="zh-CN"/>
              </w:rPr>
              <w:t>本项目废水主要为原料清洗废水、生产设备清洗废水、包装材料清洗废水、地面清洗废水、锅炉废水、软化废水以及生活污水。分析本项目废水产生的情况，牛骨清洗废水中含有油污、污渍等，其他废水类型污染物主要是悬浮物，废水中各污染物浓度分别为</w:t>
            </w:r>
            <w:r>
              <w:rPr>
                <w:sz w:val="24"/>
                <w:highlight w:val="none"/>
              </w:rPr>
              <w:t>：CODc</w:t>
            </w:r>
            <w:r>
              <w:rPr>
                <w:rFonts w:hint="eastAsia"/>
                <w:sz w:val="24"/>
                <w:highlight w:val="none"/>
                <w:lang w:eastAsia="zh-CN"/>
              </w:rPr>
              <w:t>：</w:t>
            </w:r>
            <w:r>
              <w:rPr>
                <w:rFonts w:hint="eastAsia"/>
                <w:sz w:val="24"/>
                <w:highlight w:val="none"/>
                <w:lang w:val="en-US" w:eastAsia="zh-CN"/>
              </w:rPr>
              <w:t>1000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vertAlign w:val="baseline"/>
                <w:lang w:val="en-US" w:eastAsia="zh-CN"/>
              </w:rPr>
              <w:t>50</w:t>
            </w:r>
            <w:r>
              <w:rPr>
                <w:sz w:val="24"/>
                <w:highlight w:val="none"/>
              </w:rPr>
              <w:t>0mg/L，SS</w:t>
            </w:r>
            <w:r>
              <w:rPr>
                <w:rFonts w:hint="eastAsia"/>
                <w:sz w:val="24"/>
                <w:highlight w:val="none"/>
                <w:lang w:eastAsia="zh-CN"/>
              </w:rPr>
              <w:t>：</w:t>
            </w:r>
            <w:r>
              <w:rPr>
                <w:rFonts w:hint="eastAsia"/>
                <w:sz w:val="24"/>
                <w:highlight w:val="none"/>
                <w:lang w:val="en-US" w:eastAsia="zh-CN"/>
              </w:rPr>
              <w:t>500</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15</w:t>
            </w:r>
            <w:r>
              <w:rPr>
                <w:sz w:val="24"/>
                <w:highlight w:val="none"/>
              </w:rPr>
              <w:t>mg/L</w:t>
            </w:r>
            <w:r>
              <w:rPr>
                <w:rFonts w:hint="eastAsia"/>
                <w:sz w:val="24"/>
                <w:highlight w:val="none"/>
                <w:lang w:eastAsia="zh-CN"/>
              </w:rPr>
              <w:t>，</w:t>
            </w:r>
            <w:r>
              <w:rPr>
                <w:rFonts w:hint="eastAsia"/>
                <w:sz w:val="24"/>
                <w:highlight w:val="none"/>
                <w:lang w:val="en-US" w:eastAsia="zh-CN"/>
              </w:rPr>
              <w:t>动植物油：100</w:t>
            </w:r>
            <w:r>
              <w:rPr>
                <w:sz w:val="24"/>
                <w:highlight w:val="none"/>
              </w:rPr>
              <w:t>mg/L</w:t>
            </w:r>
            <w:r>
              <w:rPr>
                <w:rFonts w:hint="eastAsia"/>
                <w:sz w:val="24"/>
                <w:highlight w:val="none"/>
                <w:lang w:eastAsia="zh-CN"/>
              </w:rPr>
              <w:t>，</w:t>
            </w:r>
            <w:r>
              <w:rPr>
                <w:sz w:val="24"/>
                <w:highlight w:val="none"/>
              </w:rPr>
              <w:t>项目</w:t>
            </w:r>
            <w:r>
              <w:rPr>
                <w:rFonts w:hint="eastAsia"/>
                <w:sz w:val="24"/>
                <w:highlight w:val="none"/>
                <w:lang w:val="en-US" w:eastAsia="zh-CN"/>
              </w:rPr>
              <w:t>废水经过隔油池</w:t>
            </w:r>
            <w:r>
              <w:rPr>
                <w:rFonts w:hint="eastAsia"/>
                <w:sz w:val="24"/>
                <w:szCs w:val="24"/>
                <w:highlight w:val="none"/>
                <w:lang w:val="en-US" w:eastAsia="zh-CN"/>
              </w:rPr>
              <w:t>、</w:t>
            </w:r>
            <w:r>
              <w:rPr>
                <w:rFonts w:hint="eastAsia"/>
                <w:sz w:val="24"/>
                <w:szCs w:val="24"/>
                <w:highlight w:val="none"/>
              </w:rPr>
              <w:t>气浮</w:t>
            </w:r>
            <w:r>
              <w:rPr>
                <w:rFonts w:hint="eastAsia"/>
                <w:sz w:val="24"/>
                <w:szCs w:val="24"/>
                <w:highlight w:val="none"/>
                <w:lang w:val="en-US" w:eastAsia="zh-CN"/>
              </w:rPr>
              <w:t>和</w:t>
            </w:r>
            <w:r>
              <w:rPr>
                <w:rFonts w:hint="eastAsia"/>
                <w:sz w:val="24"/>
                <w:szCs w:val="24"/>
                <w:highlight w:val="none"/>
              </w:rPr>
              <w:t>一体化</w:t>
            </w:r>
            <w:r>
              <w:rPr>
                <w:rFonts w:hint="eastAsia"/>
                <w:sz w:val="24"/>
                <w:szCs w:val="24"/>
                <w:highlight w:val="none"/>
                <w:lang w:val="en-US" w:eastAsia="zh-CN"/>
              </w:rPr>
              <w:t>水处理</w:t>
            </w:r>
            <w:r>
              <w:rPr>
                <w:rFonts w:hint="eastAsia"/>
                <w:sz w:val="24"/>
                <w:szCs w:val="24"/>
                <w:highlight w:val="none"/>
              </w:rPr>
              <w:t>设备</w:t>
            </w:r>
            <w:r>
              <w:rPr>
                <w:sz w:val="24"/>
                <w:highlight w:val="none"/>
              </w:rPr>
              <w:t>后</w:t>
            </w:r>
            <w:r>
              <w:rPr>
                <w:rFonts w:hint="eastAsia"/>
                <w:sz w:val="24"/>
                <w:highlight w:val="none"/>
                <w:lang w:eastAsia="zh-CN"/>
              </w:rPr>
              <w:t>（</w:t>
            </w:r>
            <w:r>
              <w:rPr>
                <w:rFonts w:hint="eastAsia"/>
                <w:sz w:val="24"/>
                <w:highlight w:val="none"/>
                <w:lang w:val="en-US" w:eastAsia="zh-CN"/>
              </w:rPr>
              <w:t>气浮+水解+生物接触氧化+沉淀+清水池</w:t>
            </w:r>
            <w:r>
              <w:rPr>
                <w:rFonts w:hint="eastAsia"/>
                <w:sz w:val="24"/>
                <w:highlight w:val="none"/>
                <w:lang w:eastAsia="zh-CN"/>
              </w:rPr>
              <w:t>）</w:t>
            </w:r>
            <w:r>
              <w:rPr>
                <w:sz w:val="24"/>
                <w:highlight w:val="none"/>
              </w:rPr>
              <w:t>，对各种污染物的去除率为COD：</w:t>
            </w:r>
            <w:r>
              <w:rPr>
                <w:rFonts w:hint="eastAsia"/>
                <w:sz w:val="24"/>
                <w:highlight w:val="none"/>
                <w:lang w:val="en-US" w:eastAsia="zh-CN"/>
              </w:rPr>
              <w:t>80</w:t>
            </w:r>
            <w:r>
              <w:rPr>
                <w:sz w:val="24"/>
                <w:highlight w:val="none"/>
              </w:rPr>
              <w:t>%</w:t>
            </w:r>
            <w:r>
              <w:rPr>
                <w:rFonts w:hint="eastAsia"/>
                <w:sz w:val="24"/>
                <w:highlight w:val="none"/>
              </w:rPr>
              <w:t>，</w:t>
            </w:r>
            <w:r>
              <w:rPr>
                <w:sz w:val="24"/>
                <w:highlight w:val="none"/>
              </w:rPr>
              <w:t>BOD</w:t>
            </w:r>
            <w:r>
              <w:rPr>
                <w:sz w:val="24"/>
                <w:highlight w:val="none"/>
                <w:vertAlign w:val="subscript"/>
              </w:rPr>
              <w:t>5</w:t>
            </w:r>
            <w:r>
              <w:rPr>
                <w:sz w:val="24"/>
                <w:highlight w:val="none"/>
              </w:rPr>
              <w:t>：</w:t>
            </w:r>
            <w:r>
              <w:rPr>
                <w:rFonts w:hint="eastAsia"/>
                <w:sz w:val="24"/>
                <w:highlight w:val="none"/>
                <w:lang w:val="en-US" w:eastAsia="zh-CN"/>
              </w:rPr>
              <w:t>75</w:t>
            </w:r>
            <w:r>
              <w:rPr>
                <w:sz w:val="24"/>
                <w:highlight w:val="none"/>
              </w:rPr>
              <w:t>%，SS：</w:t>
            </w:r>
            <w:r>
              <w:rPr>
                <w:rFonts w:hint="eastAsia"/>
                <w:sz w:val="24"/>
                <w:highlight w:val="none"/>
                <w:lang w:val="en-US" w:eastAsia="zh-CN"/>
              </w:rPr>
              <w:t>90</w:t>
            </w:r>
            <w:r>
              <w:rPr>
                <w:sz w:val="24"/>
                <w:highlight w:val="none"/>
              </w:rPr>
              <w:t>%，NH</w:t>
            </w:r>
            <w:r>
              <w:rPr>
                <w:sz w:val="24"/>
                <w:highlight w:val="none"/>
                <w:vertAlign w:val="subscript"/>
              </w:rPr>
              <w:t>3</w:t>
            </w:r>
            <w:r>
              <w:rPr>
                <w:sz w:val="24"/>
                <w:highlight w:val="none"/>
              </w:rPr>
              <w:t>-N：</w:t>
            </w:r>
            <w:r>
              <w:rPr>
                <w:rFonts w:hint="eastAsia"/>
                <w:sz w:val="24"/>
                <w:highlight w:val="none"/>
                <w:lang w:val="en-US" w:eastAsia="zh-CN"/>
              </w:rPr>
              <w:t>75</w:t>
            </w:r>
            <w:r>
              <w:rPr>
                <w:sz w:val="24"/>
                <w:highlight w:val="none"/>
              </w:rPr>
              <w:t>%</w:t>
            </w:r>
            <w:r>
              <w:rPr>
                <w:rFonts w:hint="eastAsia"/>
                <w:sz w:val="24"/>
                <w:highlight w:val="none"/>
                <w:lang w:eastAsia="zh-CN"/>
              </w:rPr>
              <w:t>，</w:t>
            </w:r>
            <w:r>
              <w:rPr>
                <w:rFonts w:hint="eastAsia"/>
                <w:sz w:val="24"/>
                <w:highlight w:val="none"/>
                <w:lang w:val="en-US" w:eastAsia="zh-CN"/>
              </w:rPr>
              <w:t>动植物油90%。</w:t>
            </w:r>
            <w:r>
              <w:rPr>
                <w:sz w:val="24"/>
                <w:highlight w:val="none"/>
              </w:rPr>
              <w:t>排放浓度</w:t>
            </w:r>
            <w:r>
              <w:rPr>
                <w:rFonts w:hint="eastAsia"/>
                <w:sz w:val="24"/>
                <w:highlight w:val="none"/>
                <w:lang w:val="en-US" w:eastAsia="zh-CN"/>
              </w:rPr>
              <w:t>分别为</w:t>
            </w:r>
            <w:r>
              <w:rPr>
                <w:sz w:val="24"/>
                <w:highlight w:val="none"/>
              </w:rPr>
              <w:t>COD</w:t>
            </w:r>
            <w:r>
              <w:rPr>
                <w:rFonts w:hint="eastAsia"/>
                <w:sz w:val="24"/>
                <w:highlight w:val="none"/>
                <w:lang w:eastAsia="zh-CN"/>
              </w:rPr>
              <w:t>：</w:t>
            </w:r>
            <w:r>
              <w:rPr>
                <w:rFonts w:hint="eastAsia"/>
                <w:sz w:val="24"/>
                <w:highlight w:val="none"/>
                <w:lang w:val="en-US" w:eastAsia="zh-CN"/>
              </w:rPr>
              <w:t>200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125</w:t>
            </w:r>
            <w:r>
              <w:rPr>
                <w:sz w:val="24"/>
                <w:highlight w:val="none"/>
              </w:rPr>
              <w:t>mg/L，SS</w:t>
            </w:r>
            <w:r>
              <w:rPr>
                <w:rFonts w:hint="eastAsia"/>
                <w:sz w:val="24"/>
                <w:highlight w:val="none"/>
                <w:lang w:eastAsia="zh-CN"/>
              </w:rPr>
              <w:t>：</w:t>
            </w:r>
            <w:r>
              <w:rPr>
                <w:rFonts w:hint="eastAsia"/>
                <w:sz w:val="24"/>
                <w:highlight w:val="none"/>
                <w:lang w:val="en-US" w:eastAsia="zh-CN"/>
              </w:rPr>
              <w:t>50</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3.75</w:t>
            </w:r>
            <w:r>
              <w:rPr>
                <w:sz w:val="24"/>
                <w:highlight w:val="none"/>
              </w:rPr>
              <w:t>mg/L</w:t>
            </w:r>
            <w:r>
              <w:rPr>
                <w:rFonts w:hint="eastAsia"/>
                <w:sz w:val="24"/>
                <w:highlight w:val="none"/>
                <w:lang w:eastAsia="zh-CN"/>
              </w:rPr>
              <w:t>，</w:t>
            </w:r>
            <w:r>
              <w:rPr>
                <w:rFonts w:hint="eastAsia"/>
                <w:sz w:val="24"/>
                <w:highlight w:val="none"/>
                <w:lang w:val="en-US" w:eastAsia="zh-CN"/>
              </w:rPr>
              <w:t>动植物油：10</w:t>
            </w:r>
            <w:r>
              <w:rPr>
                <w:sz w:val="24"/>
                <w:highlight w:val="none"/>
              </w:rPr>
              <w:t>mg/L。</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ascii="Times New Roman" w:hAnsi="Times New Roman" w:eastAsia="宋体"/>
                <w:b w:val="0"/>
                <w:bCs w:val="0"/>
                <w:color w:val="auto"/>
                <w:sz w:val="24"/>
                <w:highlight w:val="none"/>
                <w:u w:val="none"/>
                <w:lang w:eastAsia="zh-CN"/>
              </w:rPr>
              <w:t>。</w:t>
            </w:r>
          </w:p>
          <w:p w14:paraId="11E788F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08156AB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本项目用电由</w:t>
            </w:r>
            <w:r>
              <w:rPr>
                <w:rFonts w:hint="eastAsia" w:cs="Times New Roman"/>
                <w:color w:val="auto"/>
                <w:sz w:val="24"/>
                <w:highlight w:val="none"/>
                <w:lang w:val="en-US" w:eastAsia="zh-CN"/>
              </w:rPr>
              <w:t>叶县廉村镇</w:t>
            </w:r>
            <w:r>
              <w:rPr>
                <w:rFonts w:hint="default" w:ascii="Times New Roman" w:hAnsi="Times New Roman" w:eastAsia="宋体" w:cs="Times New Roman"/>
                <w:color w:val="auto"/>
                <w:sz w:val="24"/>
                <w:highlight w:val="none"/>
              </w:rPr>
              <w:t>电网供给</w:t>
            </w:r>
            <w:r>
              <w:rPr>
                <w:rFonts w:hint="default" w:ascii="Times New Roman" w:hAnsi="Times New Roman" w:eastAsia="宋体" w:cs="Times New Roman"/>
                <w:color w:val="auto"/>
                <w:kern w:val="0"/>
                <w:sz w:val="24"/>
                <w:szCs w:val="24"/>
                <w:highlight w:val="none"/>
              </w:rPr>
              <w:t>，电力供应充足，供电保证率较高</w:t>
            </w:r>
            <w:r>
              <w:rPr>
                <w:rFonts w:hint="default" w:ascii="Times New Roman" w:hAnsi="Times New Roman" w:eastAsia="宋体" w:cs="Times New Roman"/>
                <w:color w:val="auto"/>
                <w:sz w:val="24"/>
                <w:highlight w:val="none"/>
              </w:rPr>
              <w:t>。</w:t>
            </w:r>
          </w:p>
          <w:p w14:paraId="3BBEBD73">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w:t>
            </w:r>
            <w:r>
              <w:rPr>
                <w:rFonts w:hint="eastAsia" w:eastAsia="宋体" w:cs="Times New Roman"/>
                <w:color w:val="auto"/>
                <w:sz w:val="24"/>
                <w:szCs w:val="24"/>
                <w:highlight w:val="none"/>
                <w:lang w:val="en-US" w:eastAsia="zh-CN"/>
              </w:rPr>
              <w:t>天然气</w:t>
            </w:r>
          </w:p>
          <w:p w14:paraId="77F730EF">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锅炉</w:t>
            </w:r>
            <w:r>
              <w:rPr>
                <w:rFonts w:hint="eastAsia" w:eastAsia="宋体" w:cs="Times New Roman"/>
                <w:color w:val="auto"/>
                <w:sz w:val="24"/>
                <w:highlight w:val="none"/>
                <w:lang w:val="en-US" w:eastAsia="zh-CN"/>
              </w:rPr>
              <w:t>使用的天然气来自</w:t>
            </w:r>
            <w:r>
              <w:rPr>
                <w:rFonts w:hint="eastAsia" w:ascii="Times New Roman" w:hAnsi="Times New Roman" w:eastAsia="宋体" w:cs="Times New Roman"/>
                <w:bCs/>
                <w:color w:val="auto"/>
                <w:kern w:val="0"/>
                <w:sz w:val="24"/>
                <w:szCs w:val="24"/>
                <w:lang w:val="en-US" w:eastAsia="zh-CN"/>
              </w:rPr>
              <w:t>叶县豫天新能源有限公司提供，管道运输，不涉及储存</w:t>
            </w:r>
            <w:r>
              <w:rPr>
                <w:rFonts w:hint="default" w:ascii="Times New Roman" w:hAnsi="Times New Roman" w:eastAsia="宋体" w:cs="Times New Roman"/>
                <w:color w:val="auto"/>
                <w:sz w:val="24"/>
                <w:szCs w:val="24"/>
                <w:highlight w:val="none"/>
              </w:rPr>
              <w:t>。</w:t>
            </w:r>
          </w:p>
          <w:p w14:paraId="401A8426">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rPr>
              <w:t>、平面布局</w:t>
            </w:r>
            <w:r>
              <w:rPr>
                <w:rFonts w:hint="default" w:ascii="Times New Roman" w:hAnsi="Times New Roman" w:cs="Times New Roman"/>
                <w:b/>
                <w:color w:val="auto"/>
                <w:sz w:val="24"/>
                <w:szCs w:val="24"/>
                <w:highlight w:val="none"/>
                <w:lang w:val="en-US" w:eastAsia="zh-CN"/>
              </w:rPr>
              <w:t>合理性</w:t>
            </w:r>
            <w:r>
              <w:rPr>
                <w:rFonts w:hint="default" w:ascii="Times New Roman" w:hAnsi="Times New Roman" w:cs="Times New Roman"/>
                <w:b/>
                <w:color w:val="auto"/>
                <w:sz w:val="24"/>
                <w:szCs w:val="24"/>
                <w:highlight w:val="none"/>
              </w:rPr>
              <w:t>分析</w:t>
            </w:r>
          </w:p>
          <w:p w14:paraId="05FA2E9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厂区总平面布置原则：建设项目必须符合生产行业要求，满足生产工艺需求和安全生产要求。物流与人流分离，生产区与办公区分离，供电、供水线路简捷，土地利用及投资合理，建筑物平面布局大方，突出与环境协调。本项目是在满足生产工艺流程的前提下，考虑运输、安全、卫生等要求，结合项目用地的自然地形条件，各种设施不同功能进行分区和组合，力求平面布置紧凑合理节省用地，有利生产，方便管理，具体内容如下：</w:t>
            </w:r>
          </w:p>
          <w:p w14:paraId="2582C7F3">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lang w:eastAsia="zh-CN"/>
              </w:rPr>
            </w:pPr>
            <w:r>
              <w:rPr>
                <w:rFonts w:hint="default" w:ascii="Times New Roman" w:hAnsi="Times New Roman" w:cs="Times New Roman"/>
                <w:color w:val="auto"/>
                <w:sz w:val="24"/>
                <w:szCs w:val="24"/>
              </w:rPr>
              <w:t>本项目选址位</w:t>
            </w:r>
            <w:r>
              <w:rPr>
                <w:rFonts w:hint="default" w:ascii="Times New Roman" w:hAnsi="Times New Roman" w:cs="Times New Roman"/>
                <w:color w:val="auto"/>
                <w:sz w:val="24"/>
                <w:szCs w:val="24"/>
                <w:highlight w:val="none"/>
              </w:rPr>
              <w:t>于</w:t>
            </w:r>
            <w:r>
              <w:rPr>
                <w:rFonts w:hint="default" w:ascii="Times New Roman" w:hAnsi="Times New Roman" w:eastAsia="宋体" w:cs="Times New Roman"/>
                <w:color w:val="auto"/>
                <w:kern w:val="0"/>
                <w:sz w:val="24"/>
                <w:szCs w:val="24"/>
                <w:highlight w:val="none"/>
                <w:lang w:val="en-US" w:eastAsia="zh-CN" w:bidi="ar"/>
              </w:rPr>
              <w:t>河南省平顶山市叶县廉村镇</w:t>
            </w:r>
            <w:r>
              <w:rPr>
                <w:rFonts w:hint="eastAsia" w:cs="Times New Roman"/>
                <w:color w:val="auto"/>
                <w:kern w:val="0"/>
                <w:sz w:val="24"/>
                <w:szCs w:val="24"/>
                <w:highlight w:val="none"/>
                <w:lang w:val="en-US" w:eastAsia="zh-CN" w:bidi="ar"/>
              </w:rPr>
              <w:t>沙渡口</w:t>
            </w:r>
            <w:r>
              <w:rPr>
                <w:rFonts w:hint="default" w:ascii="Times New Roman" w:hAnsi="Times New Roman" w:eastAsia="宋体" w:cs="Times New Roman"/>
                <w:color w:val="auto"/>
                <w:kern w:val="0"/>
                <w:sz w:val="24"/>
                <w:szCs w:val="24"/>
                <w:highlight w:val="none"/>
                <w:lang w:val="en-US" w:eastAsia="zh-CN" w:bidi="ar"/>
              </w:rPr>
              <w:t>村</w:t>
            </w:r>
            <w:r>
              <w:rPr>
                <w:rFonts w:hint="eastAsia" w:cs="Times New Roman"/>
                <w:color w:val="auto"/>
                <w:kern w:val="0"/>
                <w:sz w:val="24"/>
                <w:szCs w:val="24"/>
                <w:highlight w:val="none"/>
                <w:lang w:val="en-US" w:eastAsia="zh-CN" w:bidi="ar"/>
              </w:rPr>
              <w:t>二组1号</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利用已</w:t>
            </w:r>
            <w:r>
              <w:rPr>
                <w:rFonts w:hint="eastAsia" w:cs="Times New Roman"/>
                <w:color w:val="auto"/>
                <w:sz w:val="24"/>
                <w:szCs w:val="24"/>
                <w:lang w:val="en-US" w:eastAsia="zh-CN"/>
              </w:rPr>
              <w:t>允许建设用地</w:t>
            </w:r>
            <w:r>
              <w:rPr>
                <w:rFonts w:hint="default" w:ascii="Times New Roman" w:hAnsi="Times New Roman" w:cs="Times New Roman"/>
                <w:color w:val="auto"/>
                <w:sz w:val="24"/>
                <w:szCs w:val="24"/>
                <w:lang w:val="en-US" w:eastAsia="zh-CN"/>
              </w:rPr>
              <w:t>进行生产建设。</w:t>
            </w:r>
            <w:r>
              <w:rPr>
                <w:rFonts w:hint="default" w:ascii="Times New Roman" w:hAnsi="Times New Roman" w:cs="Times New Roman"/>
                <w:color w:val="auto"/>
                <w:sz w:val="24"/>
                <w:szCs w:val="24"/>
              </w:rPr>
              <w:t>根据企业提供的本项目厂</w:t>
            </w:r>
            <w:r>
              <w:rPr>
                <w:rFonts w:hint="eastAsia" w:cs="Times New Roman"/>
                <w:color w:val="auto"/>
                <w:sz w:val="24"/>
                <w:szCs w:val="24"/>
                <w:lang w:val="en-US" w:eastAsia="zh-CN"/>
              </w:rPr>
              <w:t>区</w:t>
            </w:r>
            <w:r>
              <w:rPr>
                <w:rFonts w:hint="default" w:ascii="Times New Roman" w:hAnsi="Times New Roman" w:cs="Times New Roman"/>
                <w:color w:val="auto"/>
                <w:sz w:val="24"/>
                <w:szCs w:val="24"/>
              </w:rPr>
              <w:t>平面布局图，</w:t>
            </w:r>
            <w:r>
              <w:rPr>
                <w:rFonts w:hint="eastAsia" w:cs="Times New Roman"/>
                <w:color w:val="auto"/>
                <w:sz w:val="24"/>
                <w:szCs w:val="24"/>
                <w:lang w:val="en-US" w:eastAsia="zh-CN"/>
              </w:rPr>
              <w:t>厂区内部有1座</w:t>
            </w:r>
            <w:r>
              <w:rPr>
                <w:rFonts w:ascii="宋体" w:hAnsi="宋体" w:eastAsia="宋体" w:cs="宋体"/>
                <w:sz w:val="24"/>
                <w:szCs w:val="24"/>
              </w:rPr>
              <w:t>办公区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1座休息区、1间原料区、1间化验室和</w:t>
            </w:r>
            <w:r>
              <w:rPr>
                <w:rFonts w:hint="eastAsia" w:cs="Times New Roman"/>
                <w:color w:val="auto"/>
                <w:sz w:val="24"/>
                <w:szCs w:val="24"/>
                <w:lang w:val="en-US" w:eastAsia="zh-CN"/>
              </w:rPr>
              <w:t>2间加工生产车间</w:t>
            </w:r>
            <w:r>
              <w:rPr>
                <w:rFonts w:hint="eastAsia" w:ascii="宋体" w:hAnsi="宋体" w:eastAsia="宋体" w:cs="宋体"/>
                <w:sz w:val="24"/>
                <w:szCs w:val="24"/>
                <w:lang w:val="en-US" w:eastAsia="zh-CN"/>
              </w:rPr>
              <w:t>等等</w:t>
            </w:r>
            <w:r>
              <w:rPr>
                <w:rFonts w:ascii="宋体" w:hAnsi="宋体" w:eastAsia="宋体" w:cs="宋体"/>
                <w:sz w:val="24"/>
                <w:szCs w:val="24"/>
              </w:rPr>
              <w:t>，</w:t>
            </w:r>
            <w:r>
              <w:rPr>
                <w:rFonts w:hint="eastAsia" w:ascii="宋体" w:hAnsi="宋体" w:eastAsia="宋体" w:cs="宋体"/>
                <w:sz w:val="24"/>
                <w:szCs w:val="24"/>
                <w:lang w:val="en-US" w:eastAsia="zh-CN"/>
              </w:rPr>
              <w:t>车间</w:t>
            </w:r>
            <w:r>
              <w:rPr>
                <w:rFonts w:hint="default" w:ascii="Times New Roman" w:hAnsi="Times New Roman" w:cs="Times New Roman"/>
                <w:color w:val="auto"/>
                <w:sz w:val="24"/>
                <w:szCs w:val="24"/>
                <w:lang w:val="en-US" w:eastAsia="zh-CN"/>
              </w:rPr>
              <w:t>是1栋1层，</w:t>
            </w:r>
            <w:r>
              <w:rPr>
                <w:rFonts w:hint="default" w:ascii="Times New Roman" w:hAnsi="Times New Roman" w:cs="Times New Roman"/>
                <w:color w:val="auto"/>
                <w:sz w:val="24"/>
                <w:szCs w:val="24"/>
              </w:rPr>
              <w:t>生产</w:t>
            </w:r>
            <w:r>
              <w:rPr>
                <w:rFonts w:hint="eastAsia" w:cs="Times New Roman"/>
                <w:color w:val="auto"/>
                <w:sz w:val="24"/>
                <w:szCs w:val="24"/>
                <w:lang w:val="en-US" w:eastAsia="zh-CN"/>
              </w:rPr>
              <w:t>车间</w:t>
            </w:r>
            <w:r>
              <w:rPr>
                <w:rFonts w:hint="default" w:ascii="Times New Roman" w:hAnsi="Times New Roman" w:cs="Times New Roman"/>
                <w:color w:val="auto"/>
                <w:sz w:val="24"/>
                <w:szCs w:val="24"/>
              </w:rPr>
              <w:t>按</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工序划分</w:t>
            </w:r>
            <w:r>
              <w:rPr>
                <w:rFonts w:hint="eastAsia" w:ascii="宋体" w:hAnsi="宋体" w:eastAsia="宋体" w:cs="宋体"/>
                <w:sz w:val="24"/>
                <w:szCs w:val="24"/>
                <w:lang w:val="en-US" w:eastAsia="zh-CN"/>
              </w:rPr>
              <w:t>各个区域分区明显且合理</w:t>
            </w:r>
            <w:r>
              <w:rPr>
                <w:rFonts w:ascii="宋体" w:hAnsi="宋体" w:eastAsia="宋体" w:cs="宋体"/>
                <w:sz w:val="24"/>
                <w:szCs w:val="24"/>
              </w:rPr>
              <w:t>。</w:t>
            </w:r>
            <w:r>
              <w:rPr>
                <w:rFonts w:hint="eastAsia" w:ascii="宋体" w:hAnsi="宋体" w:eastAsia="宋体" w:cs="宋体"/>
                <w:sz w:val="24"/>
                <w:szCs w:val="24"/>
                <w:lang w:val="en-US" w:eastAsia="zh-CN"/>
              </w:rPr>
              <w:t>车间内部划分有成品</w:t>
            </w:r>
            <w:r>
              <w:rPr>
                <w:rFonts w:ascii="宋体" w:hAnsi="宋体" w:eastAsia="宋体" w:cs="宋体"/>
                <w:sz w:val="24"/>
                <w:szCs w:val="24"/>
              </w:rPr>
              <w:t>库、脱包间、前处理间、称量配料间、炒酱间、洗手消毒间、更衣室、内包间、包膜消毒间、内包装仓库、</w:t>
            </w:r>
            <w:r>
              <w:rPr>
                <w:rFonts w:hint="eastAsia" w:ascii="宋体" w:hAnsi="宋体" w:eastAsia="宋体" w:cs="宋体"/>
                <w:sz w:val="24"/>
                <w:szCs w:val="24"/>
                <w:lang w:val="en-US" w:eastAsia="zh-CN"/>
              </w:rPr>
              <w:t>加工生产</w:t>
            </w:r>
            <w:r>
              <w:rPr>
                <w:rFonts w:ascii="宋体" w:hAnsi="宋体" w:eastAsia="宋体" w:cs="宋体"/>
                <w:sz w:val="24"/>
                <w:szCs w:val="24"/>
              </w:rPr>
              <w:t>间、外包间</w:t>
            </w:r>
            <w:r>
              <w:rPr>
                <w:rFonts w:hint="eastAsia" w:ascii="宋体" w:hAnsi="宋体" w:eastAsia="宋体" w:cs="宋体"/>
                <w:sz w:val="24"/>
                <w:szCs w:val="24"/>
                <w:lang w:val="en-US" w:eastAsia="zh-CN"/>
              </w:rPr>
              <w:t>等等区域，各个区域</w:t>
            </w:r>
            <w:r>
              <w:rPr>
                <w:rFonts w:ascii="宋体" w:hAnsi="宋体" w:eastAsia="宋体" w:cs="宋体"/>
                <w:sz w:val="24"/>
                <w:szCs w:val="24"/>
              </w:rPr>
              <w:t>人流、物料分开，便于</w:t>
            </w:r>
            <w:r>
              <w:rPr>
                <w:rFonts w:hint="eastAsia" w:ascii="宋体" w:hAnsi="宋体" w:eastAsia="宋体" w:cs="宋体"/>
                <w:sz w:val="24"/>
                <w:szCs w:val="24"/>
                <w:lang w:val="en-US" w:eastAsia="zh-CN"/>
              </w:rPr>
              <w:t>生产和管理，</w:t>
            </w:r>
            <w:r>
              <w:rPr>
                <w:rFonts w:hint="default" w:ascii="Times New Roman" w:hAnsi="Times New Roman" w:cs="Times New Roman"/>
                <w:color w:val="auto"/>
                <w:kern w:val="2"/>
                <w:sz w:val="24"/>
                <w:szCs w:val="24"/>
                <w:highlight w:val="none"/>
                <w:u w:val="none"/>
                <w:lang w:val="en-US" w:eastAsia="zh-CN" w:bidi="ar-SA"/>
              </w:rPr>
              <w:t>因此，本项目平面布置合理</w:t>
            </w:r>
            <w:r>
              <w:rPr>
                <w:rFonts w:hint="eastAsia" w:cs="Times New Roman"/>
                <w:color w:val="auto"/>
                <w:kern w:val="2"/>
                <w:sz w:val="24"/>
                <w:szCs w:val="24"/>
                <w:highlight w:val="none"/>
                <w:u w:val="none"/>
                <w:lang w:val="en-US" w:eastAsia="zh-CN" w:bidi="ar-SA"/>
              </w:rPr>
              <w:t>。</w:t>
            </w:r>
            <w:r>
              <w:rPr>
                <w:rFonts w:hint="eastAsia" w:ascii="宋体" w:hAnsi="宋体" w:eastAsia="宋体" w:cs="宋体"/>
                <w:sz w:val="24"/>
                <w:szCs w:val="24"/>
                <w:lang w:val="en-US" w:eastAsia="zh-CN"/>
              </w:rPr>
              <w:t>厂区</w:t>
            </w:r>
            <w:r>
              <w:rPr>
                <w:rFonts w:ascii="宋体" w:hAnsi="宋体" w:eastAsia="宋体" w:cs="宋体"/>
                <w:sz w:val="24"/>
                <w:szCs w:val="24"/>
              </w:rPr>
              <w:t>总平面布置图</w:t>
            </w:r>
            <w:r>
              <w:rPr>
                <w:rFonts w:ascii="宋体" w:hAnsi="宋体" w:eastAsia="宋体" w:cs="宋体"/>
                <w:sz w:val="24"/>
                <w:szCs w:val="24"/>
                <w:highlight w:val="none"/>
              </w:rPr>
              <w:t>详见</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附图</w:t>
            </w:r>
            <w:r>
              <w:rPr>
                <w:rFonts w:hint="eastAsia" w:ascii="宋体" w:hAnsi="宋体" w:cs="宋体"/>
                <w:sz w:val="24"/>
                <w:szCs w:val="24"/>
                <w:highlight w:val="none"/>
                <w:lang w:val="en-US" w:eastAsia="zh-CN"/>
              </w:rPr>
              <w:t>四</w:t>
            </w:r>
            <w:r>
              <w:rPr>
                <w:rFonts w:hint="eastAsia" w:ascii="宋体" w:hAnsi="宋体" w:eastAsia="宋体" w:cs="宋体"/>
                <w:sz w:val="24"/>
                <w:szCs w:val="24"/>
                <w:highlight w:val="none"/>
                <w:lang w:eastAsia="zh-CN"/>
              </w:rPr>
              <w:t>）</w:t>
            </w:r>
            <w:r>
              <w:rPr>
                <w:rFonts w:hint="eastAsia" w:ascii="宋体" w:hAnsi="宋体" w:eastAsia="宋体" w:cs="宋体"/>
                <w:sz w:val="24"/>
                <w:szCs w:val="24"/>
                <w:lang w:eastAsia="zh-CN"/>
              </w:rPr>
              <w:t>。</w:t>
            </w:r>
          </w:p>
          <w:p w14:paraId="6080276C">
            <w:pPr>
              <w:pStyle w:val="27"/>
              <w:keepNext w:val="0"/>
              <w:keepLines w:val="0"/>
              <w:pageBreakBefore w:val="0"/>
              <w:widowControl w:val="0"/>
              <w:kinsoku/>
              <w:wordWrap/>
              <w:overflowPunct/>
              <w:topLinePunct w:val="0"/>
              <w:autoSpaceDE/>
              <w:autoSpaceDN/>
              <w:bidi w:val="0"/>
              <w:spacing w:line="500" w:lineRule="exact"/>
              <w:textAlignment w:val="auto"/>
              <w:rPr>
                <w:rFonts w:hint="eastAsia" w:ascii="Times New Roman" w:hAnsi="Times New Roman" w:eastAsia="宋体" w:cs="Times New Roman"/>
                <w:b/>
                <w:bCs/>
                <w:highlight w:val="none"/>
                <w:lang w:val="en-US" w:eastAsia="zh-CN"/>
              </w:rPr>
            </w:pPr>
            <w:r>
              <w:rPr>
                <w:rFonts w:hint="default" w:ascii="Times New Roman" w:hAnsi="Times New Roman" w:cs="Times New Roman"/>
                <w:b/>
                <w:bCs/>
                <w:highlight w:val="none"/>
              </w:rPr>
              <w:t>9、平衡分析</w:t>
            </w:r>
            <w:r>
              <w:rPr>
                <w:rFonts w:hint="eastAsia" w:hAnsi="Times New Roman" w:cs="Times New Roman"/>
                <w:b/>
                <w:bCs/>
                <w:highlight w:val="none"/>
                <w:lang w:val="en-US" w:eastAsia="zh-CN"/>
              </w:rPr>
              <w:t>图</w:t>
            </w:r>
          </w:p>
          <w:p w14:paraId="731E7244">
            <w:pPr>
              <w:pStyle w:val="27"/>
              <w:keepNext w:val="0"/>
              <w:keepLines w:val="0"/>
              <w:pageBreakBefore w:val="0"/>
              <w:widowControl w:val="0"/>
              <w:kinsoku/>
              <w:wordWrap/>
              <w:overflowPunct/>
              <w:topLinePunct w:val="0"/>
              <w:autoSpaceDE/>
              <w:autoSpaceDN/>
              <w:bidi w:val="0"/>
              <w:spacing w:line="500" w:lineRule="exact"/>
              <w:jc w:val="left"/>
              <w:textAlignment w:val="auto"/>
              <w:rPr>
                <w:rFonts w:hint="default" w:ascii="Times New Roman" w:hAnsi="Times New Roman" w:cs="Times New Roman"/>
              </w:rPr>
            </w:pPr>
            <w:r>
              <w:rPr>
                <w:rFonts w:hint="default" w:ascii="Times New Roman" w:hAnsi="Times New Roman" w:cs="Times New Roman"/>
                <w:highlight w:val="none"/>
              </w:rPr>
              <w:t>本项目</w:t>
            </w:r>
            <w:r>
              <w:rPr>
                <w:rFonts w:hint="eastAsia" w:hAnsi="Times New Roman" w:cs="Times New Roman"/>
                <w:highlight w:val="none"/>
                <w:lang w:val="en-US" w:eastAsia="zh-CN"/>
              </w:rPr>
              <w:t>用</w:t>
            </w:r>
            <w:r>
              <w:rPr>
                <w:rFonts w:hint="default" w:ascii="Times New Roman" w:hAnsi="Times New Roman" w:cs="Times New Roman"/>
                <w:highlight w:val="none"/>
              </w:rPr>
              <w:t>水平衡</w:t>
            </w:r>
            <w:r>
              <w:rPr>
                <w:rFonts w:hint="eastAsia" w:hAnsi="Times New Roman" w:cs="Times New Roman"/>
                <w:highlight w:val="none"/>
                <w:lang w:val="en-US" w:eastAsia="zh-CN"/>
              </w:rPr>
              <w:t>分析</w:t>
            </w:r>
            <w:r>
              <w:rPr>
                <w:rFonts w:hint="default" w:ascii="Times New Roman" w:hAnsi="Times New Roman" w:cs="Times New Roman"/>
                <w:highlight w:val="none"/>
              </w:rPr>
              <w:t>见图</w:t>
            </w:r>
            <w:r>
              <w:rPr>
                <w:rFonts w:hint="eastAsia" w:hAnsi="Times New Roman" w:cs="Times New Roman"/>
                <w:highlight w:val="none"/>
                <w:lang w:val="en-US" w:eastAsia="zh-CN"/>
              </w:rPr>
              <w:t>1、</w:t>
            </w:r>
            <w:r>
              <w:rPr>
                <w:rFonts w:hint="eastAsia" w:hAnsi="Times New Roman" w:cs="Times New Roman"/>
                <w:lang w:val="en-US" w:eastAsia="zh-CN"/>
              </w:rPr>
              <w:t>物料</w:t>
            </w:r>
            <w:r>
              <w:rPr>
                <w:rFonts w:hint="default" w:ascii="Times New Roman" w:hAnsi="Times New Roman" w:cs="Times New Roman"/>
              </w:rPr>
              <w:t>平衡</w:t>
            </w:r>
            <w:r>
              <w:rPr>
                <w:rFonts w:hint="eastAsia" w:hAnsi="Times New Roman" w:cs="Times New Roman"/>
                <w:lang w:val="en-US" w:eastAsia="zh-CN"/>
              </w:rPr>
              <w:t>分析</w:t>
            </w:r>
            <w:r>
              <w:rPr>
                <w:rFonts w:hint="default" w:ascii="Times New Roman" w:hAnsi="Times New Roman" w:cs="Times New Roman"/>
              </w:rPr>
              <w:t>见图</w:t>
            </w:r>
            <w:r>
              <w:rPr>
                <w:rFonts w:hint="eastAsia" w:ascii="Times New Roman" w:hAnsi="Times New Roman" w:cs="Times New Roman"/>
                <w:lang w:val="en-US" w:eastAsia="zh-CN"/>
              </w:rPr>
              <w:t>2</w:t>
            </w:r>
            <w:r>
              <w:rPr>
                <w:rFonts w:hint="default" w:ascii="Times New Roman" w:hAnsi="Times New Roman" w:cs="Times New Roman"/>
              </w:rPr>
              <w:t>。</w:t>
            </w:r>
          </w:p>
          <w:p w14:paraId="35FDA2DA">
            <w:pPr>
              <w:jc w:val="left"/>
              <w:rPr>
                <w:rFonts w:hint="default"/>
                <w:color w:val="auto"/>
                <w:sz w:val="24"/>
                <w:lang w:val="en-US"/>
              </w:rPr>
            </w:pPr>
            <w:r>
              <w:drawing>
                <wp:inline distT="0" distB="0" distL="114300" distR="114300">
                  <wp:extent cx="5178425" cy="3286125"/>
                  <wp:effectExtent l="0" t="0" r="3175"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5178425" cy="3286125"/>
                          </a:xfrm>
                          <a:prstGeom prst="rect">
                            <a:avLst/>
                          </a:prstGeom>
                          <a:noFill/>
                          <a:ln>
                            <a:noFill/>
                          </a:ln>
                        </pic:spPr>
                      </pic:pic>
                    </a:graphicData>
                  </a:graphic>
                </wp:inline>
              </w:drawing>
            </w:r>
          </w:p>
          <w:p w14:paraId="68CE3A7F">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eastAsia="黑体"/>
                <w:b w:val="0"/>
                <w:bCs/>
                <w:color w:val="000000"/>
                <w:sz w:val="24"/>
                <w:szCs w:val="24"/>
                <w:highlight w:val="none"/>
              </w:rPr>
            </w:pPr>
            <w:r>
              <w:rPr>
                <w:rFonts w:hint="eastAsia" w:cs="Times New Roman"/>
                <w:b/>
                <w:bCs w:val="0"/>
                <w:sz w:val="24"/>
                <w:szCs w:val="24"/>
                <w:highlight w:val="none"/>
                <w:lang w:val="en-US" w:eastAsia="zh-CN"/>
              </w:rPr>
              <w:t xml:space="preserve">图1 </w:t>
            </w:r>
            <w:r>
              <w:rPr>
                <w:rFonts w:hint="default" w:ascii="Times New Roman" w:hAnsi="Times New Roman" w:cs="Times New Roman"/>
                <w:b/>
                <w:bCs w:val="0"/>
                <w:sz w:val="24"/>
                <w:szCs w:val="24"/>
                <w:highlight w:val="none"/>
              </w:rPr>
              <w:t>项目</w:t>
            </w:r>
            <w:r>
              <w:rPr>
                <w:rFonts w:hint="eastAsia" w:cs="Times New Roman"/>
                <w:b/>
                <w:bCs w:val="0"/>
                <w:sz w:val="24"/>
                <w:szCs w:val="24"/>
                <w:highlight w:val="none"/>
                <w:lang w:val="en-US" w:eastAsia="zh-CN"/>
              </w:rPr>
              <w:t>用</w:t>
            </w:r>
            <w:r>
              <w:rPr>
                <w:rFonts w:hint="default" w:ascii="Times New Roman" w:hAnsi="Times New Roman" w:cs="Times New Roman"/>
                <w:b/>
                <w:bCs w:val="0"/>
                <w:sz w:val="24"/>
                <w:szCs w:val="24"/>
                <w:highlight w:val="none"/>
              </w:rPr>
              <w:t>水</w:t>
            </w:r>
            <w:r>
              <w:rPr>
                <w:rFonts w:hint="eastAsia" w:cs="Times New Roman"/>
                <w:b/>
                <w:bCs w:val="0"/>
                <w:sz w:val="24"/>
                <w:szCs w:val="24"/>
                <w:highlight w:val="none"/>
                <w:lang w:val="en-US" w:eastAsia="zh-CN"/>
              </w:rPr>
              <w:t>分析</w:t>
            </w:r>
            <w:r>
              <w:rPr>
                <w:rFonts w:hint="default" w:ascii="Times New Roman" w:hAnsi="Times New Roman" w:cs="Times New Roman"/>
                <w:b/>
                <w:bCs w:val="0"/>
                <w:sz w:val="24"/>
                <w:szCs w:val="24"/>
                <w:highlight w:val="none"/>
              </w:rPr>
              <w:t>平衡图</w:t>
            </w:r>
            <w:r>
              <w:drawing>
                <wp:inline distT="0" distB="0" distL="114300" distR="114300">
                  <wp:extent cx="5000625" cy="3028950"/>
                  <wp:effectExtent l="0" t="0" r="13335" b="381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7"/>
                          <a:stretch>
                            <a:fillRect/>
                          </a:stretch>
                        </pic:blipFill>
                        <pic:spPr>
                          <a:xfrm>
                            <a:off x="0" y="0"/>
                            <a:ext cx="5000625" cy="3028950"/>
                          </a:xfrm>
                          <a:prstGeom prst="rect">
                            <a:avLst/>
                          </a:prstGeom>
                          <a:noFill/>
                          <a:ln>
                            <a:noFill/>
                          </a:ln>
                        </pic:spPr>
                      </pic:pic>
                    </a:graphicData>
                  </a:graphic>
                </wp:inline>
              </w:drawing>
            </w:r>
          </w:p>
          <w:p w14:paraId="65DF1CB5">
            <w:pPr>
              <w:pStyle w:val="2"/>
              <w:keepNext/>
              <w:keepLines/>
              <w:pageBreakBefore w:val="0"/>
              <w:widowControl w:val="0"/>
              <w:kinsoku/>
              <w:wordWrap/>
              <w:overflowPunct/>
              <w:topLinePunct w:val="0"/>
              <w:autoSpaceDE/>
              <w:autoSpaceDN/>
              <w:bidi w:val="0"/>
              <w:adjustRightInd/>
              <w:snapToGrid/>
              <w:spacing w:before="0" w:after="0" w:line="500" w:lineRule="exact"/>
              <w:jc w:val="center"/>
              <w:textAlignment w:val="auto"/>
              <w:rPr>
                <w:rFonts w:hint="default"/>
              </w:rPr>
            </w:pPr>
            <w:r>
              <w:rPr>
                <w:rFonts w:hint="eastAsia" w:cs="Times New Roman"/>
                <w:b/>
                <w:bCs w:val="0"/>
                <w:sz w:val="24"/>
                <w:szCs w:val="24"/>
                <w:highlight w:val="none"/>
                <w:lang w:val="en-US" w:eastAsia="zh-CN"/>
              </w:rPr>
              <w:t xml:space="preserve">图2 </w:t>
            </w:r>
            <w:r>
              <w:rPr>
                <w:rFonts w:hint="default" w:ascii="Times New Roman" w:hAnsi="Times New Roman" w:cs="Times New Roman"/>
                <w:b/>
                <w:bCs w:val="0"/>
                <w:sz w:val="24"/>
                <w:szCs w:val="24"/>
                <w:highlight w:val="none"/>
              </w:rPr>
              <w:t>项目</w:t>
            </w:r>
            <w:r>
              <w:rPr>
                <w:rFonts w:hint="eastAsia" w:ascii="Times New Roman" w:hAnsi="Times New Roman" w:cs="Times New Roman"/>
                <w:b/>
                <w:bCs w:val="0"/>
                <w:sz w:val="24"/>
                <w:szCs w:val="24"/>
                <w:highlight w:val="none"/>
                <w:lang w:val="en-US" w:eastAsia="zh-CN"/>
              </w:rPr>
              <w:t>物料分析</w:t>
            </w:r>
            <w:r>
              <w:rPr>
                <w:rFonts w:hint="default" w:ascii="Times New Roman" w:hAnsi="Times New Roman" w:cs="Times New Roman"/>
                <w:b/>
                <w:bCs w:val="0"/>
                <w:sz w:val="24"/>
                <w:szCs w:val="24"/>
                <w:highlight w:val="none"/>
              </w:rPr>
              <w:t>平衡图</w:t>
            </w:r>
          </w:p>
        </w:tc>
      </w:tr>
      <w:tr w14:paraId="11341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2" w:hRule="atLeast"/>
          <w:jc w:val="center"/>
        </w:trPr>
        <w:tc>
          <w:tcPr>
            <w:tcW w:w="817" w:type="dxa"/>
            <w:noWrap w:val="0"/>
            <w:vAlign w:val="center"/>
          </w:tcPr>
          <w:p w14:paraId="591CF261">
            <w:pPr>
              <w:pStyle w:val="17"/>
              <w:adjustRightInd w:val="0"/>
              <w:snapToGrid w:val="0"/>
              <w:spacing w:before="0" w:beforeAutospacing="0" w:after="0" w:afterAutospacing="0"/>
              <w:jc w:val="center"/>
              <w:rPr>
                <w:rFonts w:hint="default" w:ascii="Times New Roman" w:hAnsi="Times New Roman" w:cs="Times New Roman"/>
                <w:b/>
                <w:szCs w:val="24"/>
                <w:lang w:val="en-US" w:eastAsia="zh-CN"/>
              </w:rPr>
            </w:pPr>
            <w:r>
              <w:rPr>
                <w:rFonts w:hint="default" w:ascii="Times New Roman" w:hAnsi="Times New Roman" w:cs="Times New Roman"/>
                <w:b/>
                <w:szCs w:val="24"/>
                <w:lang w:val="en-US" w:eastAsia="zh-CN"/>
              </w:rPr>
              <w:t>工艺流程和产排污环节</w:t>
            </w:r>
          </w:p>
        </w:tc>
        <w:tc>
          <w:tcPr>
            <w:tcW w:w="8243" w:type="dxa"/>
            <w:noWrap w:val="0"/>
            <w:vAlign w:val="top"/>
          </w:tcPr>
          <w:p w14:paraId="74DBEB40">
            <w:pPr>
              <w:pStyle w:val="27"/>
              <w:keepNext w:val="0"/>
              <w:keepLines w:val="0"/>
              <w:pageBreakBefore w:val="0"/>
              <w:widowControl w:val="0"/>
              <w:kinsoku/>
              <w:wordWrap/>
              <w:overflowPunct/>
              <w:topLinePunct w:val="0"/>
              <w:autoSpaceDE/>
              <w:autoSpaceDN/>
              <w:bidi w:val="0"/>
              <w:spacing w:line="500" w:lineRule="exact"/>
              <w:rPr>
                <w:rFonts w:hint="default" w:ascii="Times New Roman" w:hAnsi="Times New Roman" w:eastAsia="宋体" w:cs="Times New Roman"/>
                <w:b/>
                <w:bCs/>
                <w:lang w:val="en-US" w:eastAsia="zh-CN"/>
              </w:rPr>
            </w:pPr>
            <w:r>
              <w:rPr>
                <w:rFonts w:hint="default" w:ascii="Times New Roman" w:hAnsi="Times New Roman" w:cs="Times New Roman"/>
                <w:b/>
                <w:bCs/>
              </w:rPr>
              <w:t>1、工艺流程</w:t>
            </w:r>
            <w:r>
              <w:rPr>
                <w:rFonts w:hint="default" w:ascii="Times New Roman" w:hAnsi="Times New Roman" w:cs="Times New Roman"/>
                <w:b/>
                <w:bCs/>
                <w:lang w:val="en-US" w:eastAsia="zh-CN"/>
              </w:rPr>
              <w:t>简述</w:t>
            </w:r>
          </w:p>
          <w:p w14:paraId="09D202E9">
            <w:pPr>
              <w:keepNext w:val="0"/>
              <w:keepLines w:val="0"/>
              <w:pageBreakBefore w:val="0"/>
              <w:widowControl w:val="0"/>
              <w:kinsoku/>
              <w:wordWrap/>
              <w:overflowPunct/>
              <w:topLinePunct w:val="0"/>
              <w:autoSpaceDE/>
              <w:autoSpaceDN/>
              <w:bidi w:val="0"/>
              <w:adjustRightInd w:val="0"/>
              <w:snapToGrid w:val="0"/>
              <w:spacing w:line="500" w:lineRule="exact"/>
              <w:ind w:left="0" w:firstLine="480" w:firstLineChars="200"/>
              <w:jc w:val="left"/>
              <w:textAlignment w:val="auto"/>
              <w:rPr>
                <w:rFonts w:hint="default" w:ascii="Times New Roman" w:hAnsi="Times New Roman" w:eastAsia="黑体" w:cs="Times New Roman"/>
                <w:bCs/>
                <w:color w:val="auto"/>
                <w:sz w:val="24"/>
                <w:szCs w:val="21"/>
                <w:lang w:val="en-US" w:eastAsia="zh-CN"/>
              </w:rPr>
            </w:pPr>
            <w:r>
              <w:rPr>
                <w:rFonts w:hint="default" w:ascii="Times New Roman" w:hAnsi="Times New Roman" w:eastAsia="黑体" w:cs="Times New Roman"/>
                <w:bCs/>
                <w:color w:val="auto"/>
                <w:sz w:val="24"/>
                <w:szCs w:val="21"/>
              </w:rPr>
              <w:t>1.1施工期</w:t>
            </w:r>
            <w:r>
              <w:rPr>
                <w:rFonts w:hint="default" w:ascii="Times New Roman" w:hAnsi="Times New Roman" w:eastAsia="黑体" w:cs="Times New Roman"/>
                <w:bCs/>
                <w:color w:val="auto"/>
                <w:sz w:val="24"/>
                <w:szCs w:val="21"/>
                <w:lang w:val="en-US" w:eastAsia="zh-CN"/>
              </w:rPr>
              <w:t>环节产污分析</w:t>
            </w:r>
          </w:p>
          <w:p w14:paraId="4898DD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0"/>
              <w:jc w:val="left"/>
              <w:textAlignment w:val="baseline"/>
              <w:rPr>
                <w:rFonts w:hint="default" w:ascii="Times New Roman" w:hAnsi="Times New Roman" w:cs="Times New Roman"/>
                <w:bCs/>
                <w:color w:val="00000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bidi="ar-SA"/>
              </w:rPr>
              <w:t>本项目位于叶县廉村镇</w:t>
            </w:r>
            <w:r>
              <w:rPr>
                <w:rFonts w:hint="eastAsia" w:cs="Times New Roman"/>
                <w:color w:val="auto"/>
                <w:kern w:val="0"/>
                <w:sz w:val="24"/>
                <w:szCs w:val="24"/>
                <w:highlight w:val="none"/>
                <w:lang w:val="en-US" w:eastAsia="zh-CN" w:bidi="ar-SA"/>
              </w:rPr>
              <w:t>沙渡口</w:t>
            </w:r>
            <w:r>
              <w:rPr>
                <w:rFonts w:hint="default" w:ascii="Times New Roman" w:hAnsi="Times New Roman" w:eastAsia="宋体" w:cs="Times New Roman"/>
                <w:color w:val="auto"/>
                <w:kern w:val="0"/>
                <w:sz w:val="24"/>
                <w:szCs w:val="24"/>
                <w:highlight w:val="none"/>
                <w:lang w:val="en-US" w:eastAsia="zh-CN" w:bidi="ar-SA"/>
              </w:rPr>
              <w:t>村</w:t>
            </w:r>
            <w:r>
              <w:rPr>
                <w:rFonts w:hint="eastAsia" w:cs="Times New Roman"/>
                <w:color w:val="auto"/>
                <w:kern w:val="0"/>
                <w:sz w:val="24"/>
                <w:szCs w:val="24"/>
                <w:highlight w:val="none"/>
                <w:lang w:val="en-US" w:eastAsia="zh-CN" w:bidi="ar-SA"/>
              </w:rPr>
              <w:t>二组1号</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sz w:val="24"/>
                <w:szCs w:val="24"/>
                <w:lang w:val="en-US" w:eastAsia="zh-CN"/>
              </w:rPr>
              <w:t>利用已</w:t>
            </w:r>
            <w:r>
              <w:rPr>
                <w:rFonts w:hint="eastAsia" w:cs="Times New Roman"/>
                <w:color w:val="auto"/>
                <w:sz w:val="24"/>
                <w:szCs w:val="24"/>
                <w:lang w:val="en-US" w:eastAsia="zh-CN"/>
              </w:rPr>
              <w:t>允许建设用地</w:t>
            </w:r>
            <w:r>
              <w:rPr>
                <w:rFonts w:hint="default" w:ascii="Times New Roman" w:hAnsi="Times New Roman" w:cs="Times New Roman"/>
                <w:color w:val="auto"/>
                <w:sz w:val="24"/>
                <w:szCs w:val="24"/>
                <w:lang w:val="en-US" w:eastAsia="zh-CN"/>
              </w:rPr>
              <w:t>进行生产建设。</w:t>
            </w:r>
            <w:r>
              <w:rPr>
                <w:rFonts w:hint="default" w:ascii="Times New Roman" w:hAnsi="Times New Roman" w:eastAsia="宋体" w:cs="Times New Roman"/>
                <w:color w:val="auto"/>
                <w:kern w:val="0"/>
                <w:sz w:val="24"/>
                <w:szCs w:val="24"/>
                <w:highlight w:val="none"/>
                <w:lang w:val="en-US" w:eastAsia="zh-CN" w:bidi="ar-SA"/>
              </w:rPr>
              <w:t>目前</w:t>
            </w:r>
            <w:r>
              <w:rPr>
                <w:rFonts w:hint="default" w:ascii="Times New Roman" w:hAnsi="Times New Roman" w:cs="Times New Roman"/>
                <w:sz w:val="24"/>
              </w:rPr>
              <w:t>主要为</w:t>
            </w:r>
            <w:r>
              <w:rPr>
                <w:rFonts w:hint="default" w:ascii="Times New Roman" w:hAnsi="Times New Roman" w:cs="Times New Roman"/>
                <w:sz w:val="24"/>
                <w:lang w:val="en-US" w:eastAsia="zh-CN"/>
              </w:rPr>
              <w:t>生产</w:t>
            </w:r>
            <w:r>
              <w:rPr>
                <w:rFonts w:hint="default" w:ascii="Times New Roman" w:hAnsi="Times New Roman" w:cs="Times New Roman"/>
                <w:sz w:val="24"/>
              </w:rPr>
              <w:t>项目的厂房建设及设备的安装以及项目配套的环保工程的建设</w:t>
            </w:r>
            <w:r>
              <w:rPr>
                <w:rFonts w:hint="default" w:ascii="Times New Roman" w:hAnsi="Times New Roman" w:cs="Times New Roman"/>
                <w:sz w:val="24"/>
                <w:lang w:eastAsia="zh-CN"/>
              </w:rPr>
              <w:t>。</w:t>
            </w:r>
            <w:r>
              <w:rPr>
                <w:rFonts w:hint="default" w:ascii="Times New Roman" w:hAnsi="Times New Roman" w:cs="Times New Roman"/>
                <w:bCs/>
                <w:color w:val="000000"/>
                <w:sz w:val="24"/>
                <w:szCs w:val="24"/>
                <w:highlight w:val="none"/>
              </w:rPr>
              <w:t>施工期对环境产生影响的主要因素为施工扬尘、</w:t>
            </w:r>
            <w:r>
              <w:rPr>
                <w:rFonts w:hint="default" w:ascii="Times New Roman" w:hAnsi="Times New Roman" w:cs="Times New Roman"/>
                <w:bCs/>
                <w:color w:val="000000"/>
                <w:sz w:val="24"/>
                <w:szCs w:val="24"/>
                <w:highlight w:val="none"/>
                <w:lang w:val="en-US" w:eastAsia="zh-CN"/>
              </w:rPr>
              <w:t>施工废水、施工机械</w:t>
            </w:r>
            <w:r>
              <w:rPr>
                <w:rFonts w:hint="default" w:ascii="Times New Roman" w:hAnsi="Times New Roman" w:cs="Times New Roman"/>
                <w:bCs/>
                <w:color w:val="000000"/>
                <w:sz w:val="24"/>
                <w:szCs w:val="24"/>
                <w:highlight w:val="none"/>
              </w:rPr>
              <w:t>噪声、建筑</w:t>
            </w:r>
            <w:r>
              <w:rPr>
                <w:rFonts w:hint="default" w:ascii="Times New Roman" w:hAnsi="Times New Roman" w:cs="Times New Roman"/>
                <w:bCs/>
                <w:color w:val="000000"/>
                <w:sz w:val="24"/>
                <w:szCs w:val="24"/>
                <w:highlight w:val="none"/>
                <w:lang w:val="en-US" w:eastAsia="zh-CN"/>
              </w:rPr>
              <w:t>垃圾和</w:t>
            </w:r>
            <w:r>
              <w:rPr>
                <w:rFonts w:hint="default" w:ascii="Times New Roman" w:hAnsi="Times New Roman" w:cs="Times New Roman"/>
                <w:bCs/>
                <w:color w:val="000000"/>
                <w:sz w:val="24"/>
                <w:szCs w:val="24"/>
                <w:highlight w:val="none"/>
              </w:rPr>
              <w:t>生活垃圾</w:t>
            </w:r>
            <w:r>
              <w:rPr>
                <w:rFonts w:hint="default" w:ascii="Times New Roman" w:hAnsi="Times New Roman" w:cs="Times New Roman"/>
                <w:bCs/>
                <w:color w:val="000000"/>
                <w:sz w:val="24"/>
                <w:szCs w:val="24"/>
                <w:highlight w:val="none"/>
                <w:lang w:eastAsia="zh-CN"/>
              </w:rPr>
              <w:t>。</w:t>
            </w:r>
          </w:p>
          <w:p w14:paraId="5E63EB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0"/>
              <w:jc w:val="left"/>
              <w:textAlignment w:val="baseline"/>
              <w:rPr>
                <w:rFonts w:hint="default" w:ascii="Times New Roman" w:hAnsi="Times New Roman" w:cs="Times New Roman"/>
                <w:bCs/>
                <w:color w:val="000000"/>
                <w:sz w:val="24"/>
                <w:szCs w:val="24"/>
                <w:highlight w:val="none"/>
                <w:lang w:val="en-US" w:eastAsia="zh-CN"/>
              </w:rPr>
            </w:pPr>
            <w:r>
              <w:rPr>
                <w:rFonts w:hint="default" w:ascii="Times New Roman" w:hAnsi="Times New Roman" w:cs="Times New Roman"/>
                <w:bCs/>
                <w:color w:val="000000"/>
                <w:sz w:val="24"/>
                <w:szCs w:val="24"/>
                <w:highlight w:val="none"/>
                <w:lang w:val="en-US" w:eastAsia="zh-CN"/>
              </w:rPr>
              <w:t>本项目施工期工序及产污环节见下图所示。</w:t>
            </w:r>
          </w:p>
          <w:p w14:paraId="6A9D16F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r>
              <w:rPr>
                <w:rFonts w:hint="default" w:ascii="Times New Roman" w:hAnsi="Times New Roman" w:cs="Times New Roman"/>
                <w:b/>
                <w:color w:val="000000"/>
                <w:kern w:val="0"/>
                <w:szCs w:val="21"/>
              </w:rPr>
              <mc:AlternateContent>
                <mc:Choice Requires="wpg">
                  <w:drawing>
                    <wp:anchor distT="0" distB="0" distL="114300" distR="114300" simplePos="0" relativeHeight="251664384" behindDoc="0" locked="0" layoutInCell="1" allowOverlap="1">
                      <wp:simplePos x="0" y="0"/>
                      <wp:positionH relativeFrom="column">
                        <wp:posOffset>576580</wp:posOffset>
                      </wp:positionH>
                      <wp:positionV relativeFrom="paragraph">
                        <wp:posOffset>36195</wp:posOffset>
                      </wp:positionV>
                      <wp:extent cx="4084955" cy="1957070"/>
                      <wp:effectExtent l="0" t="0" r="14605" b="8890"/>
                      <wp:wrapNone/>
                      <wp:docPr id="329" name="组合 329"/>
                      <wp:cNvGraphicFramePr/>
                      <a:graphic xmlns:a="http://schemas.openxmlformats.org/drawingml/2006/main">
                        <a:graphicData uri="http://schemas.microsoft.com/office/word/2010/wordprocessingGroup">
                          <wpg:wgp>
                            <wpg:cNvGrpSpPr/>
                            <wpg:grpSpPr>
                              <a:xfrm>
                                <a:off x="0" y="0"/>
                                <a:ext cx="4084955" cy="1957236"/>
                                <a:chOff x="3370" y="4827"/>
                                <a:chExt cx="6374" cy="3058"/>
                              </a:xfrm>
                            </wpg:grpSpPr>
                            <wps:wsp>
                              <wps:cNvPr id="305" name="文本框 305"/>
                              <wps:cNvSpPr txBox="1"/>
                              <wps:spPr>
                                <a:xfrm>
                                  <a:off x="3455" y="5651"/>
                                  <a:ext cx="1218" cy="462"/>
                                </a:xfrm>
                                <a:prstGeom prst="rect">
                                  <a:avLst/>
                                </a:prstGeom>
                                <a:noFill/>
                                <a:ln w="12700" cap="flat" cmpd="sng">
                                  <a:solidFill>
                                    <a:srgbClr val="000000"/>
                                  </a:solidFill>
                                  <a:prstDash val="solid"/>
                                  <a:miter/>
                                  <a:headEnd type="none" w="med" len="med"/>
                                  <a:tailEnd type="none" w="med" len="med"/>
                                </a:ln>
                              </wps:spPr>
                              <wps:txbx>
                                <w:txbxContent>
                                  <w:p w14:paraId="75EBB30C">
                                    <w:r>
                                      <w:rPr>
                                        <w:rFonts w:hint="eastAsia"/>
                                      </w:rPr>
                                      <w:t>基础工程</w:t>
                                    </w:r>
                                  </w:p>
                                </w:txbxContent>
                              </wps:txbx>
                              <wps:bodyPr upright="1"/>
                            </wps:wsp>
                            <wps:wsp>
                              <wps:cNvPr id="306" name="文本框 306"/>
                              <wps:cNvSpPr txBox="1"/>
                              <wps:spPr>
                                <a:xfrm>
                                  <a:off x="5147" y="5651"/>
                                  <a:ext cx="1218" cy="462"/>
                                </a:xfrm>
                                <a:prstGeom prst="rect">
                                  <a:avLst/>
                                </a:prstGeom>
                                <a:noFill/>
                                <a:ln w="12700" cap="flat" cmpd="sng">
                                  <a:solidFill>
                                    <a:srgbClr val="000000"/>
                                  </a:solidFill>
                                  <a:prstDash val="solid"/>
                                  <a:miter/>
                                  <a:headEnd type="none" w="med" len="med"/>
                                  <a:tailEnd type="none" w="med" len="med"/>
                                </a:ln>
                              </wps:spPr>
                              <wps:txbx>
                                <w:txbxContent>
                                  <w:p w14:paraId="7F1A6D44">
                                    <w:r>
                                      <w:rPr>
                                        <w:rFonts w:hint="eastAsia"/>
                                      </w:rPr>
                                      <w:t>主体工程</w:t>
                                    </w:r>
                                  </w:p>
                                </w:txbxContent>
                              </wps:txbx>
                              <wps:bodyPr upright="1"/>
                            </wps:wsp>
                            <wps:wsp>
                              <wps:cNvPr id="307" name="文本框 307"/>
                              <wps:cNvSpPr txBox="1"/>
                              <wps:spPr>
                                <a:xfrm>
                                  <a:off x="6826" y="5651"/>
                                  <a:ext cx="1218" cy="462"/>
                                </a:xfrm>
                                <a:prstGeom prst="rect">
                                  <a:avLst/>
                                </a:prstGeom>
                                <a:noFill/>
                                <a:ln w="12700" cap="flat" cmpd="sng">
                                  <a:solidFill>
                                    <a:srgbClr val="000000"/>
                                  </a:solidFill>
                                  <a:prstDash val="solid"/>
                                  <a:miter/>
                                  <a:headEnd type="none" w="med" len="med"/>
                                  <a:tailEnd type="none" w="med" len="med"/>
                                </a:ln>
                              </wps:spPr>
                              <wps:txbx>
                                <w:txbxContent>
                                  <w:p w14:paraId="2D7C63D9">
                                    <w:r>
                                      <w:rPr>
                                        <w:rFonts w:hint="eastAsia"/>
                                      </w:rPr>
                                      <w:t>装修工程</w:t>
                                    </w:r>
                                  </w:p>
                                </w:txbxContent>
                              </wps:txbx>
                              <wps:bodyPr upright="1"/>
                            </wps:wsp>
                            <wps:wsp>
                              <wps:cNvPr id="308" name="文本框 308"/>
                              <wps:cNvSpPr txBox="1"/>
                              <wps:spPr>
                                <a:xfrm>
                                  <a:off x="8505" y="5651"/>
                                  <a:ext cx="1218" cy="462"/>
                                </a:xfrm>
                                <a:prstGeom prst="rect">
                                  <a:avLst/>
                                </a:prstGeom>
                                <a:noFill/>
                                <a:ln w="12700" cap="flat" cmpd="sng">
                                  <a:solidFill>
                                    <a:srgbClr val="000000"/>
                                  </a:solidFill>
                                  <a:prstDash val="solid"/>
                                  <a:miter/>
                                  <a:headEnd type="none" w="med" len="med"/>
                                  <a:tailEnd type="none" w="med" len="med"/>
                                </a:ln>
                              </wps:spPr>
                              <wps:txbx>
                                <w:txbxContent>
                                  <w:p w14:paraId="11181205">
                                    <w:r>
                                      <w:rPr>
                                        <w:rFonts w:hint="eastAsia"/>
                                      </w:rPr>
                                      <w:t>设备安装</w:t>
                                    </w:r>
                                  </w:p>
                                </w:txbxContent>
                              </wps:txbx>
                              <wps:bodyPr upright="1"/>
                            </wps:wsp>
                            <wps:wsp>
                              <wps:cNvPr id="309" name="文本框 309"/>
                              <wps:cNvSpPr txBox="1"/>
                              <wps:spPr>
                                <a:xfrm>
                                  <a:off x="8490" y="6555"/>
                                  <a:ext cx="1218" cy="451"/>
                                </a:xfrm>
                                <a:prstGeom prst="rect">
                                  <a:avLst/>
                                </a:prstGeom>
                                <a:noFill/>
                                <a:ln w="12700" cap="flat" cmpd="sng">
                                  <a:solidFill>
                                    <a:srgbClr val="000000"/>
                                  </a:solidFill>
                                  <a:prstDash val="solid"/>
                                  <a:miter/>
                                  <a:headEnd type="none" w="med" len="med"/>
                                  <a:tailEnd type="none" w="med" len="med"/>
                                </a:ln>
                              </wps:spPr>
                              <wps:txbx>
                                <w:txbxContent>
                                  <w:p w14:paraId="6C14E79F">
                                    <w:r>
                                      <w:rPr>
                                        <w:rFonts w:hint="eastAsia"/>
                                      </w:rPr>
                                      <w:t>工程验收</w:t>
                                    </w:r>
                                  </w:p>
                                </w:txbxContent>
                              </wps:txbx>
                              <wps:bodyPr upright="1"/>
                            </wps:wsp>
                            <wps:wsp>
                              <wps:cNvPr id="310" name="文本框 310"/>
                              <wps:cNvSpPr txBox="1"/>
                              <wps:spPr>
                                <a:xfrm>
                                  <a:off x="8526" y="7469"/>
                                  <a:ext cx="1218" cy="416"/>
                                </a:xfrm>
                                <a:prstGeom prst="rect">
                                  <a:avLst/>
                                </a:prstGeom>
                                <a:noFill/>
                                <a:ln w="12700" cap="flat" cmpd="sng">
                                  <a:solidFill>
                                    <a:srgbClr val="000000"/>
                                  </a:solidFill>
                                  <a:prstDash val="solid"/>
                                  <a:miter/>
                                  <a:headEnd type="none" w="med" len="med"/>
                                  <a:tailEnd type="none" w="med" len="med"/>
                                </a:ln>
                              </wps:spPr>
                              <wps:txbx>
                                <w:txbxContent>
                                  <w:p w14:paraId="4E0588FE">
                                    <w:r>
                                      <w:rPr>
                                        <w:rFonts w:hint="eastAsia"/>
                                      </w:rPr>
                                      <w:t>交付使用</w:t>
                                    </w:r>
                                  </w:p>
                                </w:txbxContent>
                              </wps:txbx>
                              <wps:bodyPr upright="1"/>
                            </wps:wsp>
                            <wps:wsp>
                              <wps:cNvPr id="311" name="直接连接符 311"/>
                              <wps:cNvCnPr/>
                              <wps:spPr>
                                <a:xfrm>
                                  <a:off x="4678" y="5889"/>
                                  <a:ext cx="454" cy="0"/>
                                </a:xfrm>
                                <a:prstGeom prst="line">
                                  <a:avLst/>
                                </a:prstGeom>
                                <a:ln w="12700" cap="flat" cmpd="sng">
                                  <a:solidFill>
                                    <a:srgbClr val="000000"/>
                                  </a:solidFill>
                                  <a:prstDash val="solid"/>
                                  <a:headEnd type="none" w="med" len="med"/>
                                  <a:tailEnd type="triangle" w="med" len="med"/>
                                </a:ln>
                              </wps:spPr>
                              <wps:bodyPr upright="1"/>
                            </wps:wsp>
                            <wps:wsp>
                              <wps:cNvPr id="312" name="文本框 312"/>
                              <wps:cNvSpPr txBox="1"/>
                              <wps:spPr>
                                <a:xfrm>
                                  <a:off x="3370" y="4841"/>
                                  <a:ext cx="1282" cy="475"/>
                                </a:xfrm>
                                <a:prstGeom prst="rect">
                                  <a:avLst/>
                                </a:prstGeom>
                                <a:noFill/>
                                <a:ln w="15875">
                                  <a:noFill/>
                                </a:ln>
                              </wps:spPr>
                              <wps:txbx>
                                <w:txbxContent>
                                  <w:p w14:paraId="72AD6A76">
                                    <w:r>
                                      <w:rPr>
                                        <w:rFonts w:hint="eastAsia"/>
                                      </w:rPr>
                                      <w:t>扬尘、噪声</w:t>
                                    </w:r>
                                  </w:p>
                                </w:txbxContent>
                              </wps:txbx>
                              <wps:bodyPr upright="1"/>
                            </wps:wsp>
                            <wps:wsp>
                              <wps:cNvPr id="313" name="文本框 313"/>
                              <wps:cNvSpPr txBox="1"/>
                              <wps:spPr>
                                <a:xfrm>
                                  <a:off x="3404" y="6538"/>
                                  <a:ext cx="1218" cy="519"/>
                                </a:xfrm>
                                <a:prstGeom prst="rect">
                                  <a:avLst/>
                                </a:prstGeom>
                                <a:noFill/>
                                <a:ln w="15875">
                                  <a:noFill/>
                                </a:ln>
                              </wps:spPr>
                              <wps:txbx>
                                <w:txbxContent>
                                  <w:p w14:paraId="0B5A2A47">
                                    <w:pPr>
                                      <w:jc w:val="center"/>
                                    </w:pPr>
                                    <w:r>
                                      <w:rPr>
                                        <w:rFonts w:hint="eastAsia"/>
                                      </w:rPr>
                                      <w:t>建筑垃圾</w:t>
                                    </w:r>
                                  </w:p>
                                </w:txbxContent>
                              </wps:txbx>
                              <wps:bodyPr upright="1"/>
                            </wps:wsp>
                            <wps:wsp>
                              <wps:cNvPr id="314" name="直接连接符 314"/>
                              <wps:cNvCnPr/>
                              <wps:spPr>
                                <a:xfrm flipV="1">
                                  <a:off x="5824" y="5176"/>
                                  <a:ext cx="0" cy="466"/>
                                </a:xfrm>
                                <a:prstGeom prst="line">
                                  <a:avLst/>
                                </a:prstGeom>
                                <a:ln w="12700" cap="flat" cmpd="sng">
                                  <a:solidFill>
                                    <a:srgbClr val="000000"/>
                                  </a:solidFill>
                                  <a:prstDash val="dash"/>
                                  <a:headEnd type="none" w="med" len="med"/>
                                  <a:tailEnd type="triangle" w="med" len="med"/>
                                </a:ln>
                              </wps:spPr>
                              <wps:bodyPr upright="1"/>
                            </wps:wsp>
                            <wps:wsp>
                              <wps:cNvPr id="315" name="直接连接符 315"/>
                              <wps:cNvCnPr/>
                              <wps:spPr>
                                <a:xfrm>
                                  <a:off x="5823" y="6107"/>
                                  <a:ext cx="0" cy="465"/>
                                </a:xfrm>
                                <a:prstGeom prst="line">
                                  <a:avLst/>
                                </a:prstGeom>
                                <a:ln w="12700" cap="flat" cmpd="sng">
                                  <a:solidFill>
                                    <a:srgbClr val="000000"/>
                                  </a:solidFill>
                                  <a:prstDash val="dash"/>
                                  <a:headEnd type="none" w="med" len="med"/>
                                  <a:tailEnd type="triangle" w="med" len="med"/>
                                </a:ln>
                              </wps:spPr>
                              <wps:bodyPr upright="1"/>
                            </wps:wsp>
                            <wps:wsp>
                              <wps:cNvPr id="316" name="文本框 316"/>
                              <wps:cNvSpPr txBox="1"/>
                              <wps:spPr>
                                <a:xfrm>
                                  <a:off x="5102" y="4827"/>
                                  <a:ext cx="1421" cy="478"/>
                                </a:xfrm>
                                <a:prstGeom prst="rect">
                                  <a:avLst/>
                                </a:prstGeom>
                                <a:noFill/>
                                <a:ln w="15875">
                                  <a:noFill/>
                                </a:ln>
                              </wps:spPr>
                              <wps:txbx>
                                <w:txbxContent>
                                  <w:p w14:paraId="02569EDC">
                                    <w:r>
                                      <w:rPr>
                                        <w:rFonts w:hint="eastAsia"/>
                                      </w:rPr>
                                      <w:t>扬尘、噪声</w:t>
                                    </w:r>
                                  </w:p>
                                </w:txbxContent>
                              </wps:txbx>
                              <wps:bodyPr upright="1"/>
                            </wps:wsp>
                            <wps:wsp>
                              <wps:cNvPr id="317" name="文本框 317"/>
                              <wps:cNvSpPr txBox="1"/>
                              <wps:spPr>
                                <a:xfrm>
                                  <a:off x="8681" y="4843"/>
                                  <a:ext cx="868" cy="516"/>
                                </a:xfrm>
                                <a:prstGeom prst="rect">
                                  <a:avLst/>
                                </a:prstGeom>
                                <a:noFill/>
                                <a:ln w="15875">
                                  <a:noFill/>
                                </a:ln>
                              </wps:spPr>
                              <wps:txbx>
                                <w:txbxContent>
                                  <w:p w14:paraId="41C731DC">
                                    <w:r>
                                      <w:rPr>
                                        <w:rFonts w:hint="eastAsia"/>
                                      </w:rPr>
                                      <w:t>噪声</w:t>
                                    </w:r>
                                  </w:p>
                                </w:txbxContent>
                              </wps:txbx>
                              <wps:bodyPr upright="1"/>
                            </wps:wsp>
                            <wps:wsp>
                              <wps:cNvPr id="318" name="文本框 318"/>
                              <wps:cNvSpPr txBox="1"/>
                              <wps:spPr>
                                <a:xfrm>
                                  <a:off x="6813" y="6565"/>
                                  <a:ext cx="1166" cy="480"/>
                                </a:xfrm>
                                <a:prstGeom prst="rect">
                                  <a:avLst/>
                                </a:prstGeom>
                                <a:noFill/>
                                <a:ln w="15875">
                                  <a:noFill/>
                                </a:ln>
                              </wps:spPr>
                              <wps:txbx>
                                <w:txbxContent>
                                  <w:p w14:paraId="0291DB0C">
                                    <w:r>
                                      <w:rPr>
                                        <w:rFonts w:hint="eastAsia"/>
                                      </w:rPr>
                                      <w:t>建筑垃圾</w:t>
                                    </w:r>
                                  </w:p>
                                </w:txbxContent>
                              </wps:txbx>
                              <wps:bodyPr upright="1"/>
                            </wps:wsp>
                            <wps:wsp>
                              <wps:cNvPr id="319" name="文本框 319"/>
                              <wps:cNvSpPr txBox="1"/>
                              <wps:spPr>
                                <a:xfrm>
                                  <a:off x="5212" y="6522"/>
                                  <a:ext cx="1210" cy="716"/>
                                </a:xfrm>
                                <a:prstGeom prst="rect">
                                  <a:avLst/>
                                </a:prstGeom>
                                <a:noFill/>
                                <a:ln w="15875">
                                  <a:noFill/>
                                </a:ln>
                              </wps:spPr>
                              <wps:txbx>
                                <w:txbxContent>
                                  <w:p w14:paraId="3130FC8E">
                                    <w:pPr>
                                      <w:jc w:val="center"/>
                                      <w:rPr>
                                        <w:rFonts w:hint="eastAsia"/>
                                      </w:rPr>
                                    </w:pPr>
                                    <w:r>
                                      <w:rPr>
                                        <w:rFonts w:hint="eastAsia"/>
                                      </w:rPr>
                                      <w:t>废水、</w:t>
                                    </w:r>
                                  </w:p>
                                  <w:p w14:paraId="69202A56">
                                    <w:pPr>
                                      <w:jc w:val="center"/>
                                    </w:pPr>
                                    <w:r>
                                      <w:rPr>
                                        <w:rFonts w:hint="eastAsia"/>
                                      </w:rPr>
                                      <w:t>建筑垃圾</w:t>
                                    </w:r>
                                  </w:p>
                                </w:txbxContent>
                              </wps:txbx>
                              <wps:bodyPr upright="1"/>
                            </wps:wsp>
                            <wps:wsp>
                              <wps:cNvPr id="320" name="直接连接符 320"/>
                              <wps:cNvCnPr/>
                              <wps:spPr>
                                <a:xfrm>
                                  <a:off x="6377" y="5877"/>
                                  <a:ext cx="454" cy="0"/>
                                </a:xfrm>
                                <a:prstGeom prst="line">
                                  <a:avLst/>
                                </a:prstGeom>
                                <a:ln w="12700" cap="flat" cmpd="sng">
                                  <a:solidFill>
                                    <a:srgbClr val="000000"/>
                                  </a:solidFill>
                                  <a:prstDash val="solid"/>
                                  <a:headEnd type="none" w="med" len="med"/>
                                  <a:tailEnd type="triangle" w="med" len="med"/>
                                </a:ln>
                              </wps:spPr>
                              <wps:bodyPr upright="1"/>
                            </wps:wsp>
                            <wps:wsp>
                              <wps:cNvPr id="321" name="直接连接符 321"/>
                              <wps:cNvCnPr/>
                              <wps:spPr>
                                <a:xfrm>
                                  <a:off x="8052" y="5889"/>
                                  <a:ext cx="454" cy="0"/>
                                </a:xfrm>
                                <a:prstGeom prst="line">
                                  <a:avLst/>
                                </a:prstGeom>
                                <a:ln w="12700" cap="flat" cmpd="sng">
                                  <a:solidFill>
                                    <a:srgbClr val="000000"/>
                                  </a:solidFill>
                                  <a:prstDash val="solid"/>
                                  <a:headEnd type="none" w="med" len="med"/>
                                  <a:tailEnd type="triangle" w="med" len="med"/>
                                </a:ln>
                              </wps:spPr>
                              <wps:bodyPr upright="1"/>
                            </wps:wsp>
                            <wps:wsp>
                              <wps:cNvPr id="322" name="直接连接符 322"/>
                              <wps:cNvCnPr/>
                              <wps:spPr>
                                <a:xfrm rot="5400000">
                                  <a:off x="8878" y="6345"/>
                                  <a:ext cx="454" cy="0"/>
                                </a:xfrm>
                                <a:prstGeom prst="line">
                                  <a:avLst/>
                                </a:prstGeom>
                                <a:ln w="12700" cap="flat" cmpd="sng">
                                  <a:solidFill>
                                    <a:srgbClr val="000000"/>
                                  </a:solidFill>
                                  <a:prstDash val="solid"/>
                                  <a:headEnd type="none" w="med" len="med"/>
                                  <a:tailEnd type="triangle" w="med" len="med"/>
                                </a:ln>
                              </wps:spPr>
                              <wps:bodyPr upright="1"/>
                            </wps:wsp>
                            <wps:wsp>
                              <wps:cNvPr id="323" name="直接连接符 323"/>
                              <wps:cNvCnPr/>
                              <wps:spPr>
                                <a:xfrm rot="5400000">
                                  <a:off x="8907" y="7253"/>
                                  <a:ext cx="454" cy="0"/>
                                </a:xfrm>
                                <a:prstGeom prst="line">
                                  <a:avLst/>
                                </a:prstGeom>
                                <a:ln w="12700" cap="flat" cmpd="sng">
                                  <a:solidFill>
                                    <a:srgbClr val="000000"/>
                                  </a:solidFill>
                                  <a:prstDash val="solid"/>
                                  <a:headEnd type="none" w="med" len="med"/>
                                  <a:tailEnd type="triangle" w="med" len="med"/>
                                </a:ln>
                              </wps:spPr>
                              <wps:bodyPr upright="1"/>
                            </wps:wsp>
                            <wps:wsp>
                              <wps:cNvPr id="324" name="直接连接符 324"/>
                              <wps:cNvCnPr/>
                              <wps:spPr>
                                <a:xfrm flipV="1">
                                  <a:off x="9065" y="5176"/>
                                  <a:ext cx="0" cy="466"/>
                                </a:xfrm>
                                <a:prstGeom prst="line">
                                  <a:avLst/>
                                </a:prstGeom>
                                <a:ln w="12700" cap="flat" cmpd="sng">
                                  <a:solidFill>
                                    <a:srgbClr val="000000"/>
                                  </a:solidFill>
                                  <a:prstDash val="dash"/>
                                  <a:headEnd type="none" w="med" len="med"/>
                                  <a:tailEnd type="triangle" w="med" len="med"/>
                                </a:ln>
                              </wps:spPr>
                              <wps:bodyPr upright="1"/>
                            </wps:wsp>
                            <wps:wsp>
                              <wps:cNvPr id="325" name="直接连接符 325"/>
                              <wps:cNvCnPr/>
                              <wps:spPr>
                                <a:xfrm flipV="1">
                                  <a:off x="7409" y="5145"/>
                                  <a:ext cx="0" cy="466"/>
                                </a:xfrm>
                                <a:prstGeom prst="line">
                                  <a:avLst/>
                                </a:prstGeom>
                                <a:ln w="12700" cap="flat" cmpd="sng">
                                  <a:solidFill>
                                    <a:srgbClr val="000000"/>
                                  </a:solidFill>
                                  <a:prstDash val="dash"/>
                                  <a:headEnd type="none" w="med" len="med"/>
                                  <a:tailEnd type="triangle" w="med" len="med"/>
                                </a:ln>
                              </wps:spPr>
                              <wps:bodyPr upright="1"/>
                            </wps:wsp>
                            <wps:wsp>
                              <wps:cNvPr id="326" name="直接连接符 326"/>
                              <wps:cNvCnPr/>
                              <wps:spPr>
                                <a:xfrm flipV="1">
                                  <a:off x="4021" y="5176"/>
                                  <a:ext cx="0" cy="466"/>
                                </a:xfrm>
                                <a:prstGeom prst="line">
                                  <a:avLst/>
                                </a:prstGeom>
                                <a:ln w="12700" cap="flat" cmpd="sng">
                                  <a:solidFill>
                                    <a:srgbClr val="000000"/>
                                  </a:solidFill>
                                  <a:prstDash val="dash"/>
                                  <a:headEnd type="none" w="med" len="med"/>
                                  <a:tailEnd type="triangle" w="med" len="med"/>
                                </a:ln>
                              </wps:spPr>
                              <wps:bodyPr upright="1"/>
                            </wps:wsp>
                            <wps:wsp>
                              <wps:cNvPr id="327" name="直接连接符 327"/>
                              <wps:cNvCnPr/>
                              <wps:spPr>
                                <a:xfrm>
                                  <a:off x="4021" y="6118"/>
                                  <a:ext cx="0" cy="465"/>
                                </a:xfrm>
                                <a:prstGeom prst="line">
                                  <a:avLst/>
                                </a:prstGeom>
                                <a:ln w="12700" cap="flat" cmpd="sng">
                                  <a:solidFill>
                                    <a:srgbClr val="000000"/>
                                  </a:solidFill>
                                  <a:prstDash val="dash"/>
                                  <a:headEnd type="none" w="med" len="med"/>
                                  <a:tailEnd type="triangle" w="med" len="med"/>
                                </a:ln>
                              </wps:spPr>
                              <wps:bodyPr upright="1"/>
                            </wps:wsp>
                            <wps:wsp>
                              <wps:cNvPr id="328" name="直接连接符 328"/>
                              <wps:cNvCnPr/>
                              <wps:spPr>
                                <a:xfrm>
                                  <a:off x="7409" y="6118"/>
                                  <a:ext cx="0" cy="465"/>
                                </a:xfrm>
                                <a:prstGeom prst="line">
                                  <a:avLst/>
                                </a:prstGeom>
                                <a:ln w="12700" cap="flat" cmpd="sng">
                                  <a:solidFill>
                                    <a:srgbClr val="000000"/>
                                  </a:solidFill>
                                  <a:prstDash val="dash"/>
                                  <a:headEnd type="none" w="med" len="med"/>
                                  <a:tailEnd type="triangle" w="med" len="med"/>
                                </a:ln>
                              </wps:spPr>
                              <wps:bodyPr upright="1"/>
                            </wps:wsp>
                          </wpg:wgp>
                        </a:graphicData>
                      </a:graphic>
                    </wp:anchor>
                  </w:drawing>
                </mc:Choice>
                <mc:Fallback>
                  <w:pict>
                    <v:group id="_x0000_s1026" o:spid="_x0000_s1026" o:spt="203" style="position:absolute;left:0pt;margin-left:45.4pt;margin-top:2.85pt;height:154.1pt;width:321.65pt;z-index:251664384;mso-width-relative:page;mso-height-relative:page;" coordorigin="3370,4827" coordsize="6374,3058" o:gfxdata="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2ArRXZAAAACAEAAA8AAAAAAAAAAQAg&#10;AAAAIgAAAGRycy9kb3ducmV2LnhtbFBLAQIUABQAAAAIAIdO4kDsKMYCnQUAAEcyAAAOAAAAAAAA&#10;AAEAIAAAACgBAABkcnMvZTJvRG9jLnhtbFBLBQYAAAAABgAGAFkBAAA3CQAAAAA=&#10;">
                      <o:lock v:ext="edit" aspectratio="f"/>
                      <v:shape id="_x0000_s1026" o:spid="_x0000_s1026" o:spt="202" type="#_x0000_t202" style="position:absolute;left:3455;top:5651;height:462;width:1218;" filled="f" stroked="t" coordsize="21600,21600" o:gfxdata="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wB1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75EBB30C">
                              <w:r>
                                <w:rPr>
                                  <w:rFonts w:hint="eastAsia"/>
                                </w:rPr>
                                <w:t>基础工程</w:t>
                              </w:r>
                            </w:p>
                          </w:txbxContent>
                        </v:textbox>
                      </v:shape>
                      <v:shape id="_x0000_s1026" o:spid="_x0000_s1026" o:spt="202" type="#_x0000_t202" style="position:absolute;left:5147;top:5651;height:462;width:1218;" filled="f" stroked="t" coordsize="21600,21600" o:gfxdata="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6fo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7F1A6D44">
                              <w:r>
                                <w:rPr>
                                  <w:rFonts w:hint="eastAsia"/>
                                </w:rPr>
                                <w:t>主体工程</w:t>
                              </w:r>
                            </w:p>
                          </w:txbxContent>
                        </v:textbox>
                      </v:shape>
                      <v:shape id="_x0000_s1026" o:spid="_x0000_s1026" o:spt="202" type="#_x0000_t202" style="position:absolute;left:6826;top:5651;height:462;width:1218;" filled="f" stroked="t" coordsize="21600,21600" o:gfxdata="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I6O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2D7C63D9">
                              <w:r>
                                <w:rPr>
                                  <w:rFonts w:hint="eastAsia"/>
                                </w:rPr>
                                <w:t>装修工程</w:t>
                              </w:r>
                            </w:p>
                          </w:txbxContent>
                        </v:textbox>
                      </v:shape>
                      <v:shape id="_x0000_s1026" o:spid="_x0000_s1026" o:spt="202" type="#_x0000_t202" style="position:absolute;left:8505;top:5651;height:462;width:1218;" filled="f" stroked="t" coordsize="21600,21600" o:gfxdata="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2uS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14:paraId="11181205">
                              <w:r>
                                <w:rPr>
                                  <w:rFonts w:hint="eastAsia"/>
                                </w:rPr>
                                <w:t>设备安装</w:t>
                              </w:r>
                            </w:p>
                          </w:txbxContent>
                        </v:textbox>
                      </v:shape>
                      <v:shape id="_x0000_s1026" o:spid="_x0000_s1026" o:spt="202" type="#_x0000_t202" style="position:absolute;left:8490;top:6555;height:451;width:1218;" filled="f" stroked="t" coordsize="21600,21600" o:gfxdata="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EL0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6C14E79F">
                              <w:r>
                                <w:rPr>
                                  <w:rFonts w:hint="eastAsia"/>
                                </w:rPr>
                                <w:t>工程验收</w:t>
                              </w:r>
                            </w:p>
                          </w:txbxContent>
                        </v:textbox>
                      </v:shape>
                      <v:shape id="_x0000_s1026" o:spid="_x0000_s1026" o:spt="202" type="#_x0000_t202" style="position:absolute;left:8526;top:7469;height:416;width:1218;" filled="f" stroked="t" coordsize="21600,21600" o:gfxdata="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I0k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14:paraId="4E0588FE">
                              <w:r>
                                <w:rPr>
                                  <w:rFonts w:hint="eastAsia"/>
                                </w:rPr>
                                <w:t>交付使用</w:t>
                              </w:r>
                            </w:p>
                          </w:txbxContent>
                        </v:textbox>
                      </v:shape>
                      <v:line id="_x0000_s1026" o:spid="_x0000_s1026" o:spt="20" style="position:absolute;left:4678;top:5889;height:0;width:454;" filled="f" stroked="t" coordsize="21600,21600" o:gfxdata="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QD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3370;top:4841;height:475;width:1282;" filled="f" stroked="f" coordsize="21600,21600" o:gfxdata="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gX&#10;ss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14:paraId="72AD6A76">
                              <w:r>
                                <w:rPr>
                                  <w:rFonts w:hint="eastAsia"/>
                                </w:rPr>
                                <w:t>扬尘、噪声</w:t>
                              </w:r>
                            </w:p>
                          </w:txbxContent>
                        </v:textbox>
                      </v:shape>
                      <v:shape id="_x0000_s1026" o:spid="_x0000_s1026" o:spt="202" type="#_x0000_t202" style="position:absolute;left:3404;top:6538;height:519;width:1218;" filled="f" stroked="f" coordsize="21600,21600" o:gfxdata="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Sy&#10;Kc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14:paraId="0B5A2A47">
                              <w:pPr>
                                <w:jc w:val="center"/>
                              </w:pPr>
                              <w:r>
                                <w:rPr>
                                  <w:rFonts w:hint="eastAsia"/>
                                </w:rPr>
                                <w:t>建筑垃圾</w:t>
                              </w:r>
                            </w:p>
                          </w:txbxContent>
                        </v:textbox>
                      </v:shape>
                      <v:line id="_x0000_s1026" o:spid="_x0000_s1026" o:spt="20" style="position:absolute;left:5824;top:5176;flip:y;height:466;width:0;" filled="f" stroked="t" coordsize="21600,21600" o:gfxdata="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8+LL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_x0000_s1026" o:spid="_x0000_s1026" o:spt="20" style="position:absolute;left:5823;top:6107;height:465;width:0;" filled="f" stroked="t" coordsize="21600,21600" o:gfxdata="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osn2/&#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shape id="_x0000_s1026" o:spid="_x0000_s1026" o:spt="202" type="#_x0000_t202" style="position:absolute;left:5102;top:4827;height:478;width:1421;" filled="f" stroked="f" coordsize="21600,21600" o:gfxdata="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1MR&#10;sc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14:paraId="02569EDC">
                              <w:r>
                                <w:rPr>
                                  <w:rFonts w:hint="eastAsia"/>
                                </w:rPr>
                                <w:t>扬尘、噪声</w:t>
                              </w:r>
                            </w:p>
                          </w:txbxContent>
                        </v:textbox>
                      </v:shape>
                      <v:shape id="_x0000_s1026" o:spid="_x0000_s1026" o:spt="202" type="#_x0000_t202" style="position:absolute;left:8681;top:4843;height:516;width:868;" filled="f" stroked="f" coordsize="21600,21600" o:gfxdata="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0&#10;Ks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14:paraId="41C731DC">
                              <w:r>
                                <w:rPr>
                                  <w:rFonts w:hint="eastAsia"/>
                                </w:rPr>
                                <w:t>噪声</w:t>
                              </w:r>
                            </w:p>
                          </w:txbxContent>
                        </v:textbox>
                      </v:shape>
                      <v:shape id="_x0000_s1026" o:spid="_x0000_s1026" o:spt="202" type="#_x0000_t202" style="position:absolute;left:6813;top:6565;height:480;width:1166;" filled="f" stroked="f" coordsize="21600,21600" o:gfxdata="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AgWL4A&#10;AADcAAAADwAAAAAAAAABACAAAAAiAAAAZHJzL2Rvd25yZXYueG1sUEsBAhQAFAAAAAgAh07iQDMv&#10;BZ47AAAAOQAAABAAAAAAAAAAAQAgAAAADQEAAGRycy9zaGFwZXhtbC54bWxQSwUGAAAAAAYABgBb&#10;AQAAtwMAAAAA&#10;">
                        <v:fill on="f" focussize="0,0"/>
                        <v:stroke on="f" weight="1.25pt"/>
                        <v:imagedata o:title=""/>
                        <o:lock v:ext="edit" aspectratio="f"/>
                        <v:textbox>
                          <w:txbxContent>
                            <w:p w14:paraId="0291DB0C">
                              <w:r>
                                <w:rPr>
                                  <w:rFonts w:hint="eastAsia"/>
                                </w:rPr>
                                <w:t>建筑垃圾</w:t>
                              </w:r>
                            </w:p>
                          </w:txbxContent>
                        </v:textbox>
                      </v:shape>
                      <v:shape id="_x0000_s1026" o:spid="_x0000_s1026" o:spt="202" type="#_x0000_t202" style="position:absolute;left:5212;top:6522;height:716;width:1210;" filled="f" stroked="f" coordsize="21600,21600" o:gfxdata="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M&#10;hcPCAAAA3AAAAA8AAAAAAAAAAQAgAAAAIgAAAGRycy9kb3ducmV2LnhtbFBLAQIUABQAAAAIAIdO&#10;4kAzLwWeOwAAADkAAAAQAAAAAAAAAAEAIAAAABEBAABkcnMvc2hhcGV4bWwueG1sUEsFBgAAAAAG&#10;AAYAWwEAALsDAAAAAA==&#10;">
                        <v:fill on="f" focussize="0,0"/>
                        <v:stroke on="f" weight="1.25pt"/>
                        <v:imagedata o:title=""/>
                        <o:lock v:ext="edit" aspectratio="f"/>
                        <v:textbox>
                          <w:txbxContent>
                            <w:p w14:paraId="3130FC8E">
                              <w:pPr>
                                <w:jc w:val="center"/>
                                <w:rPr>
                                  <w:rFonts w:hint="eastAsia"/>
                                </w:rPr>
                              </w:pPr>
                              <w:r>
                                <w:rPr>
                                  <w:rFonts w:hint="eastAsia"/>
                                </w:rPr>
                                <w:t>废水、</w:t>
                              </w:r>
                            </w:p>
                            <w:p w14:paraId="69202A56">
                              <w:pPr>
                                <w:jc w:val="center"/>
                              </w:pPr>
                              <w:r>
                                <w:rPr>
                                  <w:rFonts w:hint="eastAsia"/>
                                </w:rPr>
                                <w:t>建筑垃圾</w:t>
                              </w:r>
                            </w:p>
                          </w:txbxContent>
                        </v:textbox>
                      </v:shape>
                      <v:line id="_x0000_s1026" o:spid="_x0000_s1026" o:spt="20" style="position:absolute;left:6377;top:5877;height:0;width:454;" filled="f" stroked="t" coordsize="21600,21600" o:gfxdata="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v8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8052;top:5889;height:0;width:454;" filled="f" stroked="t" coordsize="21600,21600" o:gfxdata="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Zas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8878;top:6345;height:0;width:454;rotation:5898240f;" filled="f" stroked="t" coordsize="21600,21600" o:gfxdata="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7PQ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8907;top:7253;height:0;width:454;rotation:5898240f;" filled="f" stroked="t" coordsize="21600,21600" o:gfxdata="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mrb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9065;top:5176;flip:y;height:466;width:0;" filled="f" stroked="t" coordsize="21600,21600" o:gfxdata="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P0kb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_x0000_s1026" o:spid="_x0000_s1026" o:spt="20" style="position:absolute;left:7409;top:5145;flip:y;height:466;width:0;" filled="f" stroked="t" coordsize="21600,21600" o:gfxdata="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9RCr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_x0000_s1026" o:spid="_x0000_s1026" o:spt="20" style="position:absolute;left:4021;top:5176;flip:y;height:466;width:0;" filled="f" stroked="t" coordsize="21600,21600" o:gfxdata="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c99vQAA&#10;ANw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line>
                      <v:line id="_x0000_s1026" o:spid="_x0000_s1026" o:spt="20" style="position:absolute;left:4021;top:6118;height:465;width:0;" filled="f" stroked="t" coordsize="21600,21600" o:gfxdata="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kMs&#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line id="_x0000_s1026" o:spid="_x0000_s1026" o:spt="20" style="position:absolute;left:7409;top:6118;height:465;width:0;" filled="f" stroked="t" coordsize="21600,21600" o:gfxdata="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F1168AAAA&#10;3AAAAA8AAAAAAAAAAQAgAAAAIgAAAGRycy9kb3ducmV2LnhtbFBLAQIUABQAAAAIAIdO4kAzLwWe&#10;OwAAADkAAAAQAAAAAAAAAAEAIAAAAAsBAABkcnMvc2hhcGV4bWwueG1sUEsFBgAAAAAGAAYAWwEA&#10;ALUDAAAAAA==&#10;">
                        <v:fill on="f" focussize="0,0"/>
                        <v:stroke weight="1pt" color="#000000" joinstyle="round" dashstyle="dash" endarrow="block"/>
                        <v:imagedata o:title=""/>
                        <o:lock v:ext="edit" aspectratio="f"/>
                      </v:line>
                    </v:group>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2912745</wp:posOffset>
                      </wp:positionH>
                      <wp:positionV relativeFrom="paragraph">
                        <wp:posOffset>31115</wp:posOffset>
                      </wp:positionV>
                      <wp:extent cx="551180" cy="31178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551180" cy="311785"/>
                              </a:xfrm>
                              <a:prstGeom prst="rect">
                                <a:avLst/>
                              </a:prstGeom>
                              <a:noFill/>
                              <a:ln w="15875">
                                <a:noFill/>
                              </a:ln>
                            </wps:spPr>
                            <wps:txbx>
                              <w:txbxContent>
                                <w:p w14:paraId="2B33A439">
                                  <w:r>
                                    <w:rPr>
                                      <w:rFonts w:hint="eastAsia"/>
                                    </w:rPr>
                                    <w:t>噪声</w:t>
                                  </w:r>
                                </w:p>
                              </w:txbxContent>
                            </wps:txbx>
                            <wps:bodyPr upright="1"/>
                          </wps:wsp>
                        </a:graphicData>
                      </a:graphic>
                    </wp:anchor>
                  </w:drawing>
                </mc:Choice>
                <mc:Fallback>
                  <w:pict>
                    <v:shape id="_x0000_s1026" o:spid="_x0000_s1026" o:spt="202" type="#_x0000_t202" style="position:absolute;left:0pt;margin-left:229.35pt;margin-top:2.45pt;height:24.55pt;width:43.4pt;z-index:251665408;mso-width-relative:page;mso-height-relative:page;" filled="f" stroked="f" coordsize="21600,21600" o:gfxdata="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YqH72gAAAAgBAAAPAAAAAAAAAAEAIAAAACIAAABkcnMvZG93bnJldi54bWxQSwECFAAU&#10;AAAACACHTuJAlBQ7bLYBAABbAwAADgAAAAAAAAABACAAAAApAQAAZHJzL2Uyb0RvYy54bWxQSwUG&#10;AAAAAAYABgBZAQAAUQUAAAAA&#10;">
                      <v:fill on="f" focussize="0,0"/>
                      <v:stroke on="f" weight="1.25pt"/>
                      <v:imagedata o:title=""/>
                      <o:lock v:ext="edit" aspectratio="f"/>
                      <v:textbox>
                        <w:txbxContent>
                          <w:p w14:paraId="2B33A439">
                            <w:r>
                              <w:rPr>
                                <w:rFonts w:hint="eastAsia"/>
                              </w:rPr>
                              <w:t>噪声</w:t>
                            </w:r>
                          </w:p>
                        </w:txbxContent>
                      </v:textbox>
                    </v:shape>
                  </w:pict>
                </mc:Fallback>
              </mc:AlternateContent>
            </w:r>
          </w:p>
          <w:p w14:paraId="4E22A9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p>
          <w:p w14:paraId="452A241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p>
          <w:p w14:paraId="4200F9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p>
          <w:p w14:paraId="274A66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p>
          <w:p w14:paraId="51D317E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color w:val="000000"/>
                <w:sz w:val="24"/>
                <w:szCs w:val="24"/>
                <w:lang w:val="en-US" w:eastAsia="zh-CN"/>
              </w:rPr>
            </w:pPr>
          </w:p>
          <w:p w14:paraId="3FBC55C4">
            <w:pPr>
              <w:pStyle w:val="2"/>
              <w:rPr>
                <w:rFonts w:hint="default" w:ascii="Times New Roman" w:hAnsi="Times New Roman" w:cs="Times New Roman"/>
                <w:b w:val="0"/>
                <w:bCs/>
                <w:color w:val="000000"/>
                <w:sz w:val="24"/>
                <w:szCs w:val="24"/>
                <w:lang w:val="en-US" w:eastAsia="zh-CN"/>
              </w:rPr>
            </w:pP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2778125</wp:posOffset>
                      </wp:positionH>
                      <wp:positionV relativeFrom="paragraph">
                        <wp:posOffset>287020</wp:posOffset>
                      </wp:positionV>
                      <wp:extent cx="740410" cy="304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740410" cy="304800"/>
                              </a:xfrm>
                              <a:prstGeom prst="rect">
                                <a:avLst/>
                              </a:prstGeom>
                              <a:noFill/>
                              <a:ln w="15875">
                                <a:noFill/>
                              </a:ln>
                            </wps:spPr>
                            <wps:txbx>
                              <w:txbxContent>
                                <w:p w14:paraId="1A6EDEAB">
                                  <w:r>
                                    <w:rPr>
                                      <w:rFonts w:hint="eastAsia"/>
                                      <w:lang w:val="en-US" w:eastAsia="zh-CN"/>
                                    </w:rPr>
                                    <w:t>生活</w:t>
                                  </w:r>
                                  <w:r>
                                    <w:rPr>
                                      <w:rFonts w:hint="eastAsia"/>
                                    </w:rPr>
                                    <w:t>垃圾</w:t>
                                  </w:r>
                                </w:p>
                              </w:txbxContent>
                            </wps:txbx>
                            <wps:bodyPr upright="1"/>
                          </wps:wsp>
                        </a:graphicData>
                      </a:graphic>
                    </wp:anchor>
                  </w:drawing>
                </mc:Choice>
                <mc:Fallback>
                  <w:pict>
                    <v:shape id="_x0000_s1026" o:spid="_x0000_s1026" o:spt="202" type="#_x0000_t202" style="position:absolute;left:0pt;margin-left:218.75pt;margin-top:22.6pt;height:24pt;width:58.3pt;z-index:251666432;mso-width-relative:page;mso-height-relative:page;" filled="f" stroked="f" coordsize="21600,21600" o:gfxdata="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3iqf9wAAAAJAQAADwAAAAAAAAABACAAAAAiAAAAZHJzL2Rvd25yZXYueG1sUEsB&#10;AhQAFAAAAAgAh07iQNWHtf64AQAAWwMAAA4AAAAAAAAAAQAgAAAAKwEAAGRycy9lMm9Eb2MueG1s&#10;UEsFBgAAAAAGAAYAWQEAAFUFAAAAAA==&#10;">
                      <v:fill on="f" focussize="0,0"/>
                      <v:stroke on="f" weight="1.25pt"/>
                      <v:imagedata o:title=""/>
                      <o:lock v:ext="edit" aspectratio="f"/>
                      <v:textbox>
                        <w:txbxContent>
                          <w:p w14:paraId="1A6EDEAB">
                            <w:r>
                              <w:rPr>
                                <w:rFonts w:hint="eastAsia"/>
                                <w:lang w:val="en-US" w:eastAsia="zh-CN"/>
                              </w:rPr>
                              <w:t>生活</w:t>
                            </w:r>
                            <w:r>
                              <w:rPr>
                                <w:rFonts w:hint="eastAsia"/>
                              </w:rPr>
                              <w:t>垃圾</w:t>
                            </w:r>
                          </w:p>
                        </w:txbxContent>
                      </v:textbox>
                    </v:shape>
                  </w:pict>
                </mc:Fallback>
              </mc:AlternateContent>
            </w:r>
          </w:p>
          <w:p w14:paraId="50275E7F">
            <w:pPr>
              <w:rPr>
                <w:rFonts w:hint="default" w:ascii="Times New Roman" w:hAnsi="Times New Roman" w:cs="Times New Roman"/>
                <w:b w:val="0"/>
                <w:bCs/>
                <w:color w:val="000000"/>
                <w:sz w:val="24"/>
                <w:szCs w:val="24"/>
                <w:lang w:val="en-US" w:eastAsia="zh-CN"/>
              </w:rPr>
            </w:pPr>
          </w:p>
          <w:p w14:paraId="51CA6E84">
            <w:pPr>
              <w:pStyle w:val="8"/>
              <w:ind w:firstLine="480"/>
              <w:jc w:val="center"/>
              <w:rPr>
                <w:rFonts w:hint="default" w:ascii="Times New Roman" w:hAnsi="Times New Roman" w:cs="Times New Roman"/>
                <w:color w:val="000000"/>
                <w:sz w:val="24"/>
                <w:szCs w:val="24"/>
                <w:lang w:val="en-US" w:eastAsia="zh-CN"/>
              </w:rPr>
            </w:pPr>
          </w:p>
          <w:p w14:paraId="453F918A">
            <w:pPr>
              <w:pStyle w:val="8"/>
              <w:keepNext w:val="0"/>
              <w:keepLines w:val="0"/>
              <w:pageBreakBefore w:val="0"/>
              <w:widowControl w:val="0"/>
              <w:kinsoku/>
              <w:wordWrap/>
              <w:overflowPunct/>
              <w:topLinePunct w:val="0"/>
              <w:bidi w:val="0"/>
              <w:spacing w:line="500" w:lineRule="exact"/>
              <w:ind w:firstLine="480"/>
              <w:jc w:val="center"/>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图</w:t>
            </w:r>
            <w:r>
              <w:rPr>
                <w:rFonts w:hint="eastAsia"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lang w:val="en-US" w:eastAsia="zh-CN"/>
              </w:rPr>
              <w:t xml:space="preserve"> 项目施工期工艺流程及产污环节示意图</w:t>
            </w:r>
          </w:p>
          <w:p w14:paraId="6BC87E1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黑体" w:cs="Times New Roman"/>
                <w:b w:val="0"/>
                <w:bCs/>
                <w:color w:val="000000"/>
                <w:kern w:val="0"/>
                <w:sz w:val="24"/>
              </w:rPr>
            </w:pPr>
            <w:r>
              <w:rPr>
                <w:rFonts w:hint="eastAsia" w:eastAsia="黑体" w:cs="Times New Roman"/>
                <w:b w:val="0"/>
                <w:bCs/>
                <w:color w:val="000000"/>
                <w:kern w:val="0"/>
                <w:sz w:val="24"/>
                <w:lang w:val="en-US" w:eastAsia="zh-CN"/>
              </w:rPr>
              <w:t>1.2</w:t>
            </w:r>
            <w:r>
              <w:rPr>
                <w:rFonts w:hint="default" w:ascii="Times New Roman" w:hAnsi="Times New Roman" w:eastAsia="黑体" w:cs="Times New Roman"/>
                <w:b w:val="0"/>
                <w:bCs/>
                <w:color w:val="000000"/>
                <w:kern w:val="0"/>
                <w:sz w:val="24"/>
              </w:rPr>
              <w:t>施工期产排污环节</w:t>
            </w:r>
          </w:p>
          <w:p w14:paraId="14FEFA7A">
            <w:pPr>
              <w:pStyle w:val="13"/>
              <w:keepNext w:val="0"/>
              <w:keepLines w:val="0"/>
              <w:pageBreakBefore w:val="0"/>
              <w:widowControl w:val="0"/>
              <w:kinsoku/>
              <w:wordWrap/>
              <w:overflowPunct/>
              <w:topLinePunct w:val="0"/>
              <w:bidi w:val="0"/>
              <w:spacing w:line="500" w:lineRule="exact"/>
              <w:ind w:firstLine="480"/>
              <w:textAlignment w:val="auto"/>
              <w:rPr>
                <w:rFonts w:hint="default" w:ascii="Times New Roman" w:hAnsi="Times New Roman" w:cs="Times New Roman"/>
                <w:bCs/>
                <w:color w:val="000000"/>
                <w:kern w:val="0"/>
                <w:sz w:val="24"/>
                <w:szCs w:val="24"/>
                <w:highlight w:val="none"/>
              </w:rPr>
            </w:pPr>
            <w:r>
              <w:rPr>
                <w:rFonts w:hint="default" w:ascii="Times New Roman" w:hAnsi="Times New Roman" w:cs="Times New Roman"/>
                <w:bCs/>
                <w:color w:val="000000"/>
                <w:kern w:val="0"/>
                <w:sz w:val="24"/>
                <w:szCs w:val="24"/>
              </w:rPr>
              <w:t>（1）</w:t>
            </w:r>
            <w:r>
              <w:rPr>
                <w:rFonts w:hint="default" w:ascii="Times New Roman" w:hAnsi="Times New Roman" w:cs="Times New Roman"/>
                <w:bCs/>
                <w:color w:val="000000"/>
                <w:kern w:val="0"/>
                <w:sz w:val="24"/>
                <w:szCs w:val="24"/>
                <w:highlight w:val="none"/>
              </w:rPr>
              <w:t>废气：主要为施工过程中</w:t>
            </w:r>
            <w:r>
              <w:rPr>
                <w:rFonts w:hint="eastAsia" w:ascii="Times New Roman" w:hAnsi="Times New Roman" w:cs="Times New Roman"/>
                <w:bCs/>
                <w:color w:val="000000"/>
                <w:kern w:val="0"/>
                <w:sz w:val="24"/>
                <w:szCs w:val="24"/>
                <w:highlight w:val="none"/>
                <w:lang w:val="en-US" w:eastAsia="zh-CN"/>
              </w:rPr>
              <w:t>道路硬化</w:t>
            </w:r>
            <w:r>
              <w:rPr>
                <w:rFonts w:hint="default" w:ascii="Times New Roman" w:hAnsi="Times New Roman" w:cs="Times New Roman"/>
                <w:bCs/>
                <w:color w:val="000000"/>
                <w:kern w:val="0"/>
                <w:sz w:val="24"/>
                <w:szCs w:val="24"/>
                <w:highlight w:val="none"/>
              </w:rPr>
              <w:t>、</w:t>
            </w:r>
            <w:r>
              <w:rPr>
                <w:rFonts w:hint="eastAsia" w:ascii="Times New Roman" w:hAnsi="Times New Roman" w:cs="Times New Roman"/>
                <w:bCs/>
                <w:color w:val="000000"/>
                <w:kern w:val="0"/>
                <w:sz w:val="24"/>
                <w:szCs w:val="24"/>
                <w:highlight w:val="none"/>
                <w:lang w:val="en-US" w:eastAsia="zh-CN"/>
              </w:rPr>
              <w:t>厂区建设、</w:t>
            </w:r>
            <w:r>
              <w:rPr>
                <w:rFonts w:hint="default" w:ascii="Times New Roman" w:hAnsi="Times New Roman" w:cs="Times New Roman"/>
                <w:bCs/>
                <w:color w:val="000000"/>
                <w:kern w:val="0"/>
                <w:sz w:val="24"/>
                <w:szCs w:val="24"/>
                <w:highlight w:val="none"/>
              </w:rPr>
              <w:t>产生的</w:t>
            </w:r>
            <w:r>
              <w:rPr>
                <w:rFonts w:hint="eastAsia" w:ascii="Times New Roman" w:hAnsi="Times New Roman" w:cs="Times New Roman"/>
                <w:bCs/>
                <w:color w:val="000000"/>
                <w:kern w:val="0"/>
                <w:sz w:val="24"/>
                <w:szCs w:val="24"/>
                <w:highlight w:val="none"/>
                <w:lang w:val="en-US" w:eastAsia="zh-CN"/>
              </w:rPr>
              <w:t>施工</w:t>
            </w:r>
            <w:r>
              <w:rPr>
                <w:rFonts w:hint="default" w:ascii="Times New Roman" w:hAnsi="Times New Roman" w:cs="Times New Roman"/>
                <w:bCs/>
                <w:color w:val="000000"/>
                <w:kern w:val="0"/>
                <w:sz w:val="24"/>
                <w:szCs w:val="24"/>
                <w:highlight w:val="none"/>
              </w:rPr>
              <w:t>扬尘和施工运输车辆排放的尾气；</w:t>
            </w:r>
          </w:p>
          <w:p w14:paraId="0C3EC19B">
            <w:pPr>
              <w:pStyle w:val="13"/>
              <w:keepNext w:val="0"/>
              <w:keepLines w:val="0"/>
              <w:pageBreakBefore w:val="0"/>
              <w:widowControl w:val="0"/>
              <w:kinsoku/>
              <w:wordWrap/>
              <w:overflowPunct/>
              <w:topLinePunct w:val="0"/>
              <w:bidi w:val="0"/>
              <w:spacing w:line="500" w:lineRule="exact"/>
              <w:ind w:firstLine="480"/>
              <w:textAlignment w:val="auto"/>
              <w:rPr>
                <w:rFonts w:hint="default" w:ascii="Times New Roman" w:hAnsi="Times New Roman" w:cs="Times New Roman"/>
                <w:bCs/>
                <w:color w:val="000000"/>
                <w:kern w:val="0"/>
                <w:sz w:val="24"/>
                <w:szCs w:val="24"/>
                <w:highlight w:val="none"/>
              </w:rPr>
            </w:pPr>
            <w:r>
              <w:rPr>
                <w:rFonts w:hint="default" w:ascii="Times New Roman" w:hAnsi="Times New Roman" w:cs="Times New Roman"/>
                <w:bCs/>
                <w:color w:val="000000"/>
                <w:kern w:val="0"/>
                <w:sz w:val="24"/>
                <w:szCs w:val="24"/>
                <w:highlight w:val="none"/>
              </w:rPr>
              <w:t>（2）废水：主要为建筑施工废水（</w:t>
            </w:r>
            <w:r>
              <w:rPr>
                <w:rFonts w:hint="eastAsia" w:ascii="Times New Roman" w:hAnsi="Times New Roman" w:cs="Times New Roman"/>
                <w:bCs/>
                <w:color w:val="000000"/>
                <w:kern w:val="0"/>
                <w:sz w:val="24"/>
                <w:szCs w:val="24"/>
                <w:highlight w:val="none"/>
                <w:lang w:val="en-US" w:eastAsia="zh-CN"/>
              </w:rPr>
              <w:t>厂区建筑</w:t>
            </w:r>
            <w:r>
              <w:rPr>
                <w:rFonts w:hint="default" w:ascii="Times New Roman" w:hAnsi="Times New Roman" w:cs="Times New Roman"/>
                <w:bCs/>
                <w:color w:val="000000"/>
                <w:kern w:val="0"/>
                <w:sz w:val="24"/>
                <w:szCs w:val="24"/>
                <w:highlight w:val="none"/>
              </w:rPr>
              <w:t>废水、机械设备及运输车辆冲洗废水等）和施工人员生活污水；</w:t>
            </w:r>
          </w:p>
          <w:p w14:paraId="38D9F4C7">
            <w:pPr>
              <w:pStyle w:val="13"/>
              <w:keepNext w:val="0"/>
              <w:keepLines w:val="0"/>
              <w:pageBreakBefore w:val="0"/>
              <w:widowControl w:val="0"/>
              <w:kinsoku/>
              <w:wordWrap/>
              <w:overflowPunct/>
              <w:topLinePunct w:val="0"/>
              <w:bidi w:val="0"/>
              <w:spacing w:line="500" w:lineRule="exact"/>
              <w:ind w:firstLine="480"/>
              <w:textAlignment w:val="auto"/>
              <w:rPr>
                <w:rFonts w:hint="default" w:ascii="Times New Roman" w:hAnsi="Times New Roman" w:cs="Times New Roman"/>
                <w:bCs/>
                <w:color w:val="000000"/>
                <w:kern w:val="0"/>
                <w:sz w:val="24"/>
                <w:szCs w:val="24"/>
                <w:highlight w:val="none"/>
              </w:rPr>
            </w:pPr>
            <w:r>
              <w:rPr>
                <w:rFonts w:hint="default" w:ascii="Times New Roman" w:hAnsi="Times New Roman" w:cs="Times New Roman"/>
                <w:bCs/>
                <w:color w:val="000000"/>
                <w:kern w:val="0"/>
                <w:sz w:val="24"/>
                <w:szCs w:val="24"/>
                <w:highlight w:val="none"/>
              </w:rPr>
              <w:t>（3）噪声：施工机械噪声、施工作业噪声和运输车辆噪声；</w:t>
            </w:r>
          </w:p>
          <w:p w14:paraId="2D503AC9">
            <w:pPr>
              <w:pStyle w:val="27"/>
              <w:keepNext w:val="0"/>
              <w:keepLines w:val="0"/>
              <w:pageBreakBefore w:val="0"/>
              <w:widowControl w:val="0"/>
              <w:kinsoku/>
              <w:wordWrap/>
              <w:overflowPunct/>
              <w:topLinePunct w:val="0"/>
              <w:bidi w:val="0"/>
              <w:spacing w:line="500" w:lineRule="exact"/>
              <w:textAlignment w:val="auto"/>
              <w:rPr>
                <w:rFonts w:hint="default" w:ascii="Times New Roman" w:hAnsi="Times New Roman" w:cs="Times New Roman"/>
                <w:highlight w:val="none"/>
              </w:rPr>
            </w:pPr>
            <w:r>
              <w:rPr>
                <w:rFonts w:hint="default" w:ascii="Times New Roman" w:hAnsi="Times New Roman" w:cs="Times New Roman"/>
                <w:bCs/>
                <w:color w:val="000000"/>
                <w:kern w:val="0"/>
                <w:sz w:val="24"/>
                <w:highlight w:val="none"/>
              </w:rPr>
              <w:t>（4）固废：主要为建筑垃圾、施工人员生活垃圾。</w:t>
            </w:r>
          </w:p>
          <w:p w14:paraId="7B3DBFC2">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黑体" w:cs="Times New Roman"/>
                <w:b w:val="0"/>
                <w:bCs w:val="0"/>
                <w:sz w:val="24"/>
                <w:highlight w:val="none"/>
              </w:rPr>
            </w:pPr>
            <w:r>
              <w:rPr>
                <w:rFonts w:hint="default" w:ascii="Times New Roman" w:hAnsi="Times New Roman" w:eastAsia="黑体" w:cs="Times New Roman"/>
                <w:b w:val="0"/>
                <w:bCs w:val="0"/>
                <w:sz w:val="24"/>
                <w:highlight w:val="none"/>
              </w:rPr>
              <w:t>1.</w:t>
            </w:r>
            <w:r>
              <w:rPr>
                <w:rFonts w:hint="default" w:ascii="Times New Roman" w:hAnsi="Times New Roman" w:eastAsia="黑体" w:cs="Times New Roman"/>
                <w:b w:val="0"/>
                <w:bCs w:val="0"/>
                <w:sz w:val="24"/>
                <w:highlight w:val="none"/>
                <w:lang w:val="en-US" w:eastAsia="zh-CN"/>
              </w:rPr>
              <w:t>3</w:t>
            </w:r>
            <w:r>
              <w:rPr>
                <w:rFonts w:hint="default" w:ascii="Times New Roman" w:hAnsi="Times New Roman" w:eastAsia="黑体" w:cs="Times New Roman"/>
                <w:b w:val="0"/>
                <w:bCs w:val="0"/>
                <w:sz w:val="24"/>
                <w:highlight w:val="none"/>
              </w:rPr>
              <w:t>运营期</w:t>
            </w:r>
            <w:r>
              <w:rPr>
                <w:rFonts w:hint="default" w:ascii="Times New Roman" w:hAnsi="Times New Roman" w:eastAsia="黑体" w:cs="Times New Roman"/>
                <w:b w:val="0"/>
                <w:bCs w:val="0"/>
                <w:sz w:val="24"/>
                <w:szCs w:val="24"/>
                <w:highlight w:val="none"/>
                <w:lang w:val="en-US" w:eastAsia="zh-CN"/>
              </w:rPr>
              <w:t>工艺流程和产排污环节</w:t>
            </w:r>
          </w:p>
          <w:p w14:paraId="110D431F">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highlight w:val="none"/>
                <w:u w:val="none"/>
              </w:rPr>
            </w:pPr>
            <w:r>
              <w:rPr>
                <w:rFonts w:hint="default" w:ascii="Times New Roman" w:hAnsi="Times New Roman" w:cs="Times New Roman"/>
                <w:sz w:val="24"/>
                <w:highlight w:val="none"/>
                <w:u w:val="none"/>
                <w:lang w:val="en-US" w:eastAsia="zh-CN"/>
              </w:rPr>
              <w:t>（一）</w:t>
            </w:r>
            <w:r>
              <w:rPr>
                <w:rFonts w:hint="eastAsia" w:cs="Times New Roman"/>
                <w:sz w:val="24"/>
                <w:highlight w:val="none"/>
                <w:u w:val="none"/>
                <w:lang w:val="en-US" w:eastAsia="zh-CN"/>
              </w:rPr>
              <w:t>牛骨高汤</w:t>
            </w:r>
            <w:r>
              <w:rPr>
                <w:rFonts w:hint="default" w:ascii="Times New Roman" w:hAnsi="Times New Roman" w:cs="Times New Roman"/>
                <w:sz w:val="24"/>
                <w:highlight w:val="none"/>
                <w:u w:val="none"/>
              </w:rPr>
              <w:t>生产线工艺流程：</w:t>
            </w:r>
          </w:p>
          <w:p w14:paraId="373F73C5">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eastAsia="宋体" w:cs="Times New Roman"/>
                <w:color w:val="000000"/>
                <w:sz w:val="24"/>
                <w:highlight w:val="none"/>
                <w:u w:val="none"/>
                <w:lang w:val="en-US" w:eastAsia="zh-CN"/>
              </w:rPr>
            </w:pPr>
            <w:r>
              <w:rPr>
                <w:rFonts w:hint="default" w:ascii="Times New Roman" w:hAnsi="Times New Roman" w:cs="Times New Roman"/>
                <w:color w:val="000000"/>
                <w:sz w:val="24"/>
                <w:u w:val="none"/>
              </w:rPr>
              <w:fldChar w:fldCharType="begin"/>
            </w:r>
            <w:r>
              <w:rPr>
                <w:rFonts w:hint="default" w:ascii="Times New Roman" w:hAnsi="Times New Roman" w:cs="Times New Roman"/>
                <w:color w:val="000000"/>
                <w:sz w:val="24"/>
                <w:u w:val="none"/>
              </w:rPr>
              <w:instrText xml:space="preserve"> = 1 \* GB3 </w:instrText>
            </w:r>
            <w:r>
              <w:rPr>
                <w:rFonts w:hint="default" w:ascii="Times New Roman" w:hAnsi="Times New Roman" w:cs="Times New Roman"/>
                <w:color w:val="000000"/>
                <w:sz w:val="24"/>
                <w:u w:val="none"/>
              </w:rPr>
              <w:fldChar w:fldCharType="separate"/>
            </w:r>
            <w:r>
              <w:rPr>
                <w:rFonts w:hint="default" w:ascii="Times New Roman" w:hAnsi="Times New Roman" w:cs="Times New Roman"/>
                <w:color w:val="000000"/>
                <w:sz w:val="24"/>
                <w:u w:val="none"/>
              </w:rPr>
              <w:t>①</w:t>
            </w:r>
            <w:r>
              <w:rPr>
                <w:rFonts w:hint="default" w:ascii="Times New Roman" w:hAnsi="Times New Roman" w:cs="Times New Roman"/>
                <w:color w:val="000000"/>
                <w:sz w:val="24"/>
                <w:u w:val="none"/>
              </w:rPr>
              <w:fldChar w:fldCharType="end"/>
            </w:r>
            <w:r>
              <w:rPr>
                <w:rFonts w:hint="default" w:ascii="Times New Roman" w:hAnsi="Times New Roman" w:cs="Times New Roman"/>
                <w:color w:val="000000"/>
                <w:sz w:val="24"/>
                <w:u w:val="none"/>
              </w:rPr>
              <w:t>原料</w:t>
            </w:r>
            <w:r>
              <w:rPr>
                <w:rFonts w:hint="eastAsia" w:cs="Times New Roman"/>
                <w:color w:val="000000"/>
                <w:sz w:val="24"/>
                <w:u w:val="none"/>
                <w:lang w:val="en-US" w:eastAsia="zh-CN"/>
              </w:rPr>
              <w:t>粉碎、</w:t>
            </w:r>
            <w:r>
              <w:rPr>
                <w:rFonts w:hint="eastAsia" w:cs="Times New Roman"/>
                <w:color w:val="000000"/>
                <w:sz w:val="24"/>
                <w:highlight w:val="none"/>
                <w:u w:val="none"/>
                <w:lang w:val="en-US" w:eastAsia="zh-CN"/>
              </w:rPr>
              <w:t>清洗</w:t>
            </w:r>
          </w:p>
          <w:p w14:paraId="07F17750">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cs="Times New Roman"/>
                <w:color w:val="000000"/>
                <w:sz w:val="24"/>
                <w:highlight w:val="none"/>
                <w:u w:val="none"/>
              </w:rPr>
            </w:pPr>
            <w:r>
              <w:rPr>
                <w:rFonts w:hint="eastAsia" w:hAnsi="宋体" w:cs="Times New Roman"/>
                <w:color w:val="auto"/>
                <w:sz w:val="24"/>
                <w:szCs w:val="24"/>
                <w:highlight w:val="none"/>
                <w:lang w:val="en-US" w:eastAsia="zh-CN"/>
              </w:rPr>
              <w:t>首先将粉碎好牛骨放置在蒸煮锅内加入新鲜水</w:t>
            </w:r>
            <w:r>
              <w:rPr>
                <w:rFonts w:hint="eastAsia" w:ascii="Times New Roman" w:hAnsi="宋体" w:cs="Times New Roman"/>
                <w:color w:val="auto"/>
                <w:sz w:val="24"/>
                <w:szCs w:val="24"/>
                <w:highlight w:val="none"/>
                <w:lang w:eastAsia="zh-CN"/>
              </w:rPr>
              <w:t>漫过牛骨泡</w:t>
            </w:r>
            <w:r>
              <w:rPr>
                <w:rFonts w:hint="eastAsia" w:ascii="Times New Roman" w:hAnsi="宋体" w:cs="Times New Roman"/>
                <w:color w:val="auto"/>
                <w:sz w:val="24"/>
                <w:szCs w:val="24"/>
                <w:highlight w:val="none"/>
                <w:lang w:val="en-US" w:eastAsia="zh-CN"/>
              </w:rPr>
              <w:t>20分钟后清洗</w:t>
            </w:r>
            <w:r>
              <w:rPr>
                <w:rFonts w:hint="eastAsia" w:hAnsi="宋体" w:cs="Times New Roman"/>
                <w:color w:val="auto"/>
                <w:sz w:val="24"/>
                <w:szCs w:val="24"/>
                <w:highlight w:val="none"/>
                <w:lang w:val="en-US" w:eastAsia="zh-CN"/>
              </w:rPr>
              <w:t>，使用篮式过滤器将牛骨保存下来，清洗废水将流向沉淀池内</w:t>
            </w:r>
            <w:r>
              <w:rPr>
                <w:rFonts w:hint="eastAsia" w:ascii="Times New Roman" w:hAnsi="宋体" w:cs="Times New Roman"/>
                <w:color w:val="auto"/>
                <w:sz w:val="24"/>
                <w:szCs w:val="24"/>
                <w:highlight w:val="none"/>
                <w:lang w:val="en-US" w:eastAsia="zh-CN"/>
              </w:rPr>
              <w:t>，再次加入</w:t>
            </w:r>
            <w:r>
              <w:rPr>
                <w:rFonts w:hint="eastAsia" w:hAnsi="宋体" w:cs="Times New Roman"/>
                <w:color w:val="auto"/>
                <w:sz w:val="24"/>
                <w:szCs w:val="24"/>
                <w:highlight w:val="none"/>
                <w:lang w:val="en-US" w:eastAsia="zh-CN"/>
              </w:rPr>
              <w:t>新鲜水</w:t>
            </w:r>
            <w:r>
              <w:rPr>
                <w:rFonts w:hint="eastAsia" w:ascii="Times New Roman" w:hAnsi="宋体" w:cs="Times New Roman"/>
                <w:color w:val="auto"/>
                <w:sz w:val="24"/>
                <w:szCs w:val="24"/>
                <w:highlight w:val="none"/>
                <w:lang w:val="en-US" w:eastAsia="zh-CN"/>
              </w:rPr>
              <w:t>升温40-45</w:t>
            </w:r>
            <w:r>
              <w:rPr>
                <w:rFonts w:hint="eastAsia" w:ascii="Times New Roman" w:hAnsi="宋体" w:cs="Times New Roman"/>
                <w:color w:val="auto"/>
                <w:sz w:val="24"/>
                <w:szCs w:val="24"/>
                <w:highlight w:val="none"/>
              </w:rPr>
              <w:t>℃</w:t>
            </w:r>
            <w:r>
              <w:rPr>
                <w:rFonts w:hint="eastAsia" w:ascii="Times New Roman" w:hAnsi="宋体" w:cs="Times New Roman"/>
                <w:color w:val="auto"/>
                <w:sz w:val="24"/>
                <w:szCs w:val="24"/>
                <w:highlight w:val="none"/>
                <w:lang w:eastAsia="zh-CN"/>
              </w:rPr>
              <w:t>保持</w:t>
            </w:r>
            <w:r>
              <w:rPr>
                <w:rFonts w:hint="eastAsia" w:ascii="Times New Roman" w:hAnsi="宋体" w:cs="Times New Roman"/>
                <w:color w:val="auto"/>
                <w:sz w:val="24"/>
                <w:szCs w:val="24"/>
                <w:highlight w:val="none"/>
                <w:lang w:val="en-US" w:eastAsia="zh-CN"/>
              </w:rPr>
              <w:t>20分钟清洗</w:t>
            </w:r>
            <w:r>
              <w:rPr>
                <w:rFonts w:hint="eastAsia" w:hAnsi="宋体" w:cs="Times New Roman"/>
                <w:color w:val="auto"/>
                <w:sz w:val="24"/>
                <w:szCs w:val="24"/>
                <w:highlight w:val="none"/>
                <w:lang w:val="en-US" w:eastAsia="zh-CN"/>
              </w:rPr>
              <w:t>（升温加热使用锅炉提供的蒸汽），</w:t>
            </w:r>
            <w:r>
              <w:rPr>
                <w:rFonts w:hint="eastAsia" w:ascii="Times New Roman" w:hAnsi="宋体" w:cs="Times New Roman"/>
                <w:color w:val="auto"/>
                <w:sz w:val="24"/>
                <w:szCs w:val="24"/>
                <w:highlight w:val="none"/>
                <w:lang w:val="en-US" w:eastAsia="zh-CN"/>
              </w:rPr>
              <w:t>二次</w:t>
            </w:r>
            <w:r>
              <w:rPr>
                <w:rFonts w:hint="eastAsia" w:hAnsi="宋体" w:cs="Times New Roman"/>
                <w:color w:val="auto"/>
                <w:sz w:val="24"/>
                <w:szCs w:val="24"/>
                <w:highlight w:val="none"/>
                <w:lang w:val="en-US" w:eastAsia="zh-CN"/>
              </w:rPr>
              <w:t>清洗废水将流向沉淀池内</w:t>
            </w:r>
            <w:r>
              <w:rPr>
                <w:rFonts w:hint="eastAsia" w:ascii="Times New Roman" w:hAnsi="宋体" w:cs="Times New Roman"/>
                <w:color w:val="auto"/>
                <w:sz w:val="24"/>
                <w:szCs w:val="24"/>
                <w:highlight w:val="none"/>
                <w:lang w:val="en-US" w:eastAsia="zh-CN"/>
              </w:rPr>
              <w:t>，然后加入</w:t>
            </w:r>
            <w:r>
              <w:rPr>
                <w:rFonts w:hint="eastAsia" w:hAnsi="宋体" w:cs="Times New Roman"/>
                <w:color w:val="auto"/>
                <w:sz w:val="24"/>
                <w:szCs w:val="24"/>
                <w:highlight w:val="none"/>
                <w:lang w:val="en-US" w:eastAsia="zh-CN"/>
              </w:rPr>
              <w:t>已加热过的水</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95</w:t>
            </w:r>
            <w:r>
              <w:rPr>
                <w:rFonts w:hint="default" w:ascii="Times New Roman" w:hAnsi="Times New Roman" w:cs="Times New Roman"/>
                <w:color w:val="auto"/>
                <w:sz w:val="24"/>
                <w:szCs w:val="24"/>
                <w:highlight w:val="none"/>
                <w:lang w:val="en-US" w:eastAsia="zh-CN"/>
              </w:rPr>
              <w:t>℃左右</w:t>
            </w:r>
            <w:r>
              <w:rPr>
                <w:rFonts w:hint="eastAsia" w:hAnsi="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开始蒸煮</w:t>
            </w:r>
            <w:r>
              <w:rPr>
                <w:rFonts w:hint="eastAsia" w:hAnsi="宋体" w:cs="Times New Roman"/>
                <w:color w:val="auto"/>
                <w:sz w:val="24"/>
                <w:szCs w:val="24"/>
                <w:highlight w:val="none"/>
                <w:lang w:val="en-US" w:eastAsia="zh-CN"/>
              </w:rPr>
              <w:t>（蒸煮使用锅炉提供的蒸汽）</w:t>
            </w:r>
            <w:r>
              <w:rPr>
                <w:rFonts w:hint="default" w:ascii="Times New Roman" w:hAnsi="Times New Roman" w:cs="Times New Roman"/>
                <w:color w:val="auto"/>
                <w:sz w:val="24"/>
                <w:szCs w:val="24"/>
                <w:highlight w:val="none"/>
                <w:lang w:val="en-US" w:eastAsia="zh-CN"/>
              </w:rPr>
              <w:t>。本工序产生牛骨清洗废水</w:t>
            </w:r>
            <w:r>
              <w:rPr>
                <w:rFonts w:hint="eastAsia" w:cs="Times New Roman"/>
                <w:color w:val="auto"/>
                <w:sz w:val="24"/>
                <w:szCs w:val="24"/>
                <w:highlight w:val="none"/>
                <w:lang w:val="en-US" w:eastAsia="zh-CN"/>
              </w:rPr>
              <w:t>W1和牛骨残渣S1以及生产设备噪声N1，清洗废水流向</w:t>
            </w:r>
            <w:r>
              <w:rPr>
                <w:rFonts w:hint="eastAsia" w:ascii="Times New Roman" w:hAnsi="Times New Roman" w:eastAsia="宋体"/>
                <w:b w:val="0"/>
                <w:bCs w:val="0"/>
                <w:color w:val="auto"/>
                <w:sz w:val="24"/>
                <w:highlight w:val="none"/>
                <w:u w:val="none"/>
                <w:lang w:eastAsia="zh-CN"/>
              </w:rPr>
              <w:t>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cs="Times New Roman"/>
                <w:color w:val="auto"/>
                <w:sz w:val="24"/>
                <w:szCs w:val="24"/>
                <w:highlight w:val="none"/>
                <w:lang w:val="en-US" w:eastAsia="zh-CN"/>
              </w:rPr>
              <w:t>最终进入污水管网排入</w:t>
            </w:r>
            <w:r>
              <w:rPr>
                <w:rFonts w:hint="eastAsia" w:cs="Times New Roman"/>
                <w:color w:val="auto"/>
                <w:kern w:val="2"/>
                <w:sz w:val="24"/>
                <w:szCs w:val="24"/>
                <w:highlight w:val="none"/>
                <w:u w:val="none"/>
                <w:lang w:val="en-US" w:eastAsia="zh-CN" w:bidi="ar-SA"/>
              </w:rPr>
              <w:t>叶县廉村镇污水处理站。</w:t>
            </w:r>
          </w:p>
          <w:p w14:paraId="7C55B0C0">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eastAsia="宋体" w:cs="Times New Roman"/>
                <w:color w:val="000000"/>
                <w:sz w:val="24"/>
                <w:highlight w:val="none"/>
                <w:u w:val="none"/>
                <w:lang w:val="en-US" w:eastAsia="zh-CN"/>
              </w:rPr>
            </w:pPr>
            <w:r>
              <w:rPr>
                <w:rFonts w:hint="default" w:ascii="Times New Roman" w:hAnsi="Times New Roman" w:cs="Times New Roman"/>
                <w:color w:val="000000"/>
                <w:sz w:val="24"/>
                <w:highlight w:val="none"/>
                <w:u w:val="none"/>
              </w:rPr>
              <w:t>②</w:t>
            </w:r>
            <w:r>
              <w:rPr>
                <w:rFonts w:hint="default" w:ascii="Times New Roman" w:hAnsi="Times New Roman" w:cs="Times New Roman"/>
                <w:color w:val="000000"/>
                <w:sz w:val="24"/>
                <w:highlight w:val="none"/>
                <w:u w:val="none"/>
                <w:lang w:val="en-US" w:eastAsia="zh-CN"/>
              </w:rPr>
              <w:t>蒸煮</w:t>
            </w:r>
          </w:p>
          <w:p w14:paraId="00168CFB">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按牛骨、</w:t>
            </w:r>
            <w:r>
              <w:rPr>
                <w:rFonts w:hint="eastAsia" w:hAnsi="宋体" w:cs="Times New Roman"/>
                <w:color w:val="auto"/>
                <w:sz w:val="24"/>
                <w:szCs w:val="24"/>
                <w:highlight w:val="none"/>
                <w:lang w:val="en-US" w:eastAsia="zh-CN"/>
              </w:rPr>
              <w:t>水</w:t>
            </w:r>
            <w:r>
              <w:rPr>
                <w:rFonts w:hint="default" w:ascii="Times New Roman" w:hAnsi="Times New Roman" w:cs="Times New Roman"/>
                <w:color w:val="auto"/>
                <w:sz w:val="24"/>
                <w:szCs w:val="24"/>
                <w:highlight w:val="none"/>
                <w:lang w:val="en-US" w:eastAsia="zh-CN"/>
              </w:rPr>
              <w:t>比例为1:1的比例加入</w:t>
            </w:r>
            <w:r>
              <w:rPr>
                <w:rFonts w:hint="eastAsia" w:hAnsi="宋体" w:cs="Times New Roman"/>
                <w:color w:val="auto"/>
                <w:sz w:val="24"/>
                <w:szCs w:val="24"/>
                <w:highlight w:val="none"/>
                <w:lang w:val="en-US" w:eastAsia="zh-CN"/>
              </w:rPr>
              <w:t>已加热过的水</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95</w:t>
            </w:r>
            <w:r>
              <w:rPr>
                <w:rFonts w:hint="default" w:ascii="Times New Roman" w:hAnsi="Times New Roman" w:cs="Times New Roman"/>
                <w:color w:val="auto"/>
                <w:sz w:val="24"/>
                <w:szCs w:val="24"/>
                <w:highlight w:val="none"/>
                <w:lang w:val="en-US" w:eastAsia="zh-CN"/>
              </w:rPr>
              <w:t>℃左右</w:t>
            </w:r>
            <w:r>
              <w:rPr>
                <w:rFonts w:hint="eastAsia" w:hAnsi="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蒸煮3次</w:t>
            </w:r>
            <w:r>
              <w:rPr>
                <w:rFonts w:hint="eastAsia" w:cs="Times New Roman"/>
                <w:color w:val="auto"/>
                <w:sz w:val="24"/>
                <w:szCs w:val="24"/>
                <w:highlight w:val="none"/>
                <w:lang w:val="en-US" w:eastAsia="zh-CN"/>
              </w:rPr>
              <w:t>在蒸煮锅内</w:t>
            </w:r>
            <w:r>
              <w:rPr>
                <w:rFonts w:hint="eastAsia" w:hAnsi="宋体" w:cs="Times New Roman"/>
                <w:color w:val="auto"/>
                <w:sz w:val="24"/>
                <w:szCs w:val="24"/>
                <w:highlight w:val="none"/>
                <w:lang w:val="en-US" w:eastAsia="zh-CN"/>
              </w:rPr>
              <w:t>（蒸煮使用锅炉提供的蒸汽）</w:t>
            </w:r>
            <w:r>
              <w:rPr>
                <w:rFonts w:hint="default" w:ascii="Times New Roman" w:hAnsi="Times New Roman" w:cs="Times New Roman"/>
                <w:color w:val="auto"/>
                <w:sz w:val="24"/>
                <w:szCs w:val="24"/>
                <w:highlight w:val="none"/>
                <w:lang w:val="en-US" w:eastAsia="zh-CN"/>
              </w:rPr>
              <w:t>，第一次压力0.2MPa-0.3MPa，</w:t>
            </w:r>
            <w:r>
              <w:rPr>
                <w:rFonts w:hint="default" w:ascii="Times New Roman" w:hAnsi="Times New Roman" w:cs="Times New Roman"/>
                <w:color w:val="auto"/>
                <w:sz w:val="24"/>
                <w:szCs w:val="24"/>
                <w:highlight w:val="none"/>
              </w:rPr>
              <w:t>温度120℃~135℃</w:t>
            </w:r>
            <w:r>
              <w:rPr>
                <w:rFonts w:hint="default" w:ascii="Times New Roman" w:hAnsi="Times New Roman" w:cs="Times New Roman"/>
                <w:color w:val="auto"/>
                <w:sz w:val="24"/>
                <w:szCs w:val="24"/>
                <w:highlight w:val="none"/>
                <w:lang w:eastAsia="zh-CN"/>
              </w:rPr>
              <w:t>，保持</w:t>
            </w:r>
            <w:r>
              <w:rPr>
                <w:rFonts w:hint="default" w:ascii="Times New Roman" w:hAnsi="Times New Roman" w:cs="Times New Roman"/>
                <w:color w:val="auto"/>
                <w:sz w:val="24"/>
                <w:szCs w:val="24"/>
                <w:highlight w:val="none"/>
                <w:lang w:val="en-US" w:eastAsia="zh-CN"/>
              </w:rPr>
              <w:t>3个小时；第二次压力0.2MPa-0.3MPa，</w:t>
            </w:r>
            <w:r>
              <w:rPr>
                <w:rFonts w:hint="default" w:ascii="Times New Roman" w:hAnsi="Times New Roman" w:cs="Times New Roman"/>
                <w:color w:val="auto"/>
                <w:sz w:val="24"/>
                <w:szCs w:val="24"/>
                <w:highlight w:val="none"/>
              </w:rPr>
              <w:t>温度120℃~135℃</w:t>
            </w:r>
            <w:r>
              <w:rPr>
                <w:rFonts w:hint="default" w:ascii="Times New Roman" w:hAnsi="Times New Roman" w:cs="Times New Roman"/>
                <w:color w:val="auto"/>
                <w:sz w:val="24"/>
                <w:szCs w:val="24"/>
                <w:highlight w:val="none"/>
                <w:lang w:eastAsia="zh-CN"/>
              </w:rPr>
              <w:t>，保持</w:t>
            </w:r>
            <w:r>
              <w:rPr>
                <w:rFonts w:hint="default" w:ascii="Times New Roman" w:hAnsi="Times New Roman" w:cs="Times New Roman"/>
                <w:color w:val="auto"/>
                <w:sz w:val="24"/>
                <w:szCs w:val="24"/>
                <w:highlight w:val="none"/>
                <w:lang w:val="en-US" w:eastAsia="zh-CN"/>
              </w:rPr>
              <w:t>2.5个小时；第三次压力0.2MPa-0.3MPa，</w:t>
            </w:r>
            <w:r>
              <w:rPr>
                <w:rFonts w:hint="default" w:ascii="Times New Roman" w:hAnsi="Times New Roman" w:cs="Times New Roman"/>
                <w:color w:val="auto"/>
                <w:sz w:val="24"/>
                <w:szCs w:val="24"/>
                <w:highlight w:val="none"/>
              </w:rPr>
              <w:t>温度120℃~135℃</w:t>
            </w:r>
            <w:r>
              <w:rPr>
                <w:rFonts w:hint="default" w:ascii="Times New Roman" w:hAnsi="Times New Roman" w:cs="Times New Roman"/>
                <w:color w:val="auto"/>
                <w:sz w:val="24"/>
                <w:szCs w:val="24"/>
                <w:highlight w:val="none"/>
                <w:lang w:eastAsia="zh-CN"/>
              </w:rPr>
              <w:t>，保持</w:t>
            </w:r>
            <w:r>
              <w:rPr>
                <w:rFonts w:hint="default" w:ascii="Times New Roman" w:hAnsi="Times New Roman" w:cs="Times New Roman"/>
                <w:color w:val="auto"/>
                <w:sz w:val="24"/>
                <w:szCs w:val="24"/>
                <w:highlight w:val="none"/>
                <w:lang w:val="en-US" w:eastAsia="zh-CN"/>
              </w:rPr>
              <w:t>1个小时。本工序</w:t>
            </w:r>
            <w:r>
              <w:rPr>
                <w:rFonts w:hint="eastAsia" w:cs="Times New Roman"/>
                <w:color w:val="auto"/>
                <w:sz w:val="24"/>
                <w:szCs w:val="24"/>
                <w:highlight w:val="none"/>
                <w:lang w:val="en-US" w:eastAsia="zh-CN"/>
              </w:rPr>
              <w:t>产生生产设备噪声N2</w:t>
            </w:r>
            <w:r>
              <w:rPr>
                <w:rFonts w:hint="default" w:ascii="Times New Roman" w:hAnsi="Times New Roman" w:cs="Times New Roman"/>
                <w:color w:val="auto"/>
                <w:sz w:val="24"/>
                <w:szCs w:val="24"/>
                <w:highlight w:val="none"/>
                <w:lang w:val="en-US" w:eastAsia="zh-CN"/>
              </w:rPr>
              <w:t>。</w:t>
            </w:r>
          </w:p>
          <w:p w14:paraId="279C2619">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eastAsia="宋体" w:cs="Times New Roman"/>
                <w:color w:val="000000"/>
                <w:sz w:val="24"/>
                <w:highlight w:val="none"/>
                <w:u w:val="none"/>
                <w:lang w:val="en-US" w:eastAsia="zh-CN"/>
              </w:rPr>
            </w:pPr>
            <w:r>
              <w:rPr>
                <w:rFonts w:hint="default" w:ascii="Times New Roman" w:hAnsi="Times New Roman" w:cs="Times New Roman"/>
                <w:color w:val="000000"/>
                <w:sz w:val="24"/>
                <w:highlight w:val="none"/>
                <w:u w:val="none"/>
                <w:lang w:val="en-US" w:eastAsia="zh-CN"/>
              </w:rPr>
              <w:t>③浓缩</w:t>
            </w:r>
          </w:p>
          <w:p w14:paraId="636AB449">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煮好的高汤利用浓缩锅</w:t>
            </w:r>
            <w:r>
              <w:rPr>
                <w:rFonts w:hint="default" w:ascii="Times New Roman" w:hAnsi="Times New Roman" w:cs="Times New Roman"/>
                <w:color w:val="auto"/>
                <w:sz w:val="24"/>
                <w:szCs w:val="24"/>
                <w:highlight w:val="none"/>
                <w:lang w:val="en-US" w:eastAsia="zh-CN"/>
              </w:rPr>
              <w:t>在真空压力0.06-0.08Ma，温度55-60</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下进行浓缩</w:t>
            </w:r>
            <w:r>
              <w:rPr>
                <w:rFonts w:hint="eastAsia" w:hAnsi="宋体" w:cs="Times New Roman"/>
                <w:color w:val="auto"/>
                <w:sz w:val="24"/>
                <w:szCs w:val="24"/>
                <w:highlight w:val="none"/>
                <w:lang w:val="en-US" w:eastAsia="zh-CN"/>
              </w:rPr>
              <w:t>（浓缩使用锅炉提供的蒸汽）</w:t>
            </w:r>
            <w:r>
              <w:rPr>
                <w:rFonts w:hint="default" w:ascii="Times New Roman" w:hAnsi="Times New Roman" w:cs="Times New Roman"/>
                <w:color w:val="auto"/>
                <w:sz w:val="24"/>
                <w:szCs w:val="24"/>
                <w:highlight w:val="none"/>
                <w:lang w:eastAsia="zh-CN"/>
              </w:rPr>
              <w:t>，浓度达到</w:t>
            </w:r>
            <w:r>
              <w:rPr>
                <w:rFonts w:hint="default" w:ascii="Times New Roman" w:hAnsi="Times New Roman" w:cs="Times New Roman"/>
                <w:color w:val="auto"/>
                <w:sz w:val="24"/>
                <w:szCs w:val="24"/>
                <w:highlight w:val="none"/>
                <w:lang w:val="en-US" w:eastAsia="zh-CN"/>
              </w:rPr>
              <w:t>55-60%之间停止浓缩。本工序</w:t>
            </w:r>
            <w:r>
              <w:rPr>
                <w:rFonts w:hint="eastAsia" w:cs="Times New Roman"/>
                <w:color w:val="auto"/>
                <w:sz w:val="24"/>
                <w:szCs w:val="24"/>
                <w:highlight w:val="none"/>
                <w:lang w:val="en-US" w:eastAsia="zh-CN"/>
              </w:rPr>
              <w:t>产生生产设备噪声N3</w:t>
            </w:r>
            <w:r>
              <w:rPr>
                <w:rFonts w:hint="default" w:ascii="Times New Roman" w:hAnsi="Times New Roman" w:cs="Times New Roman"/>
                <w:color w:val="auto"/>
                <w:sz w:val="24"/>
                <w:szCs w:val="24"/>
                <w:highlight w:val="none"/>
                <w:lang w:val="en-US" w:eastAsia="zh-CN"/>
              </w:rPr>
              <w:t>。</w:t>
            </w:r>
          </w:p>
          <w:p w14:paraId="29FD0A05">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000000"/>
                <w:sz w:val="24"/>
                <w:highlight w:val="none"/>
                <w:u w:val="none"/>
                <w:lang w:val="en-US" w:eastAsia="zh-CN"/>
              </w:rPr>
              <w:t>④</w:t>
            </w:r>
            <w:r>
              <w:rPr>
                <w:rFonts w:hint="default" w:ascii="Times New Roman" w:hAnsi="Times New Roman" w:cs="Times New Roman"/>
                <w:color w:val="auto"/>
                <w:sz w:val="24"/>
                <w:szCs w:val="24"/>
                <w:highlight w:val="none"/>
                <w:lang w:val="en-US" w:eastAsia="zh-CN"/>
              </w:rPr>
              <w:t>调配</w:t>
            </w:r>
          </w:p>
          <w:p w14:paraId="24E208C9">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浓缩过的高汤在调配罐内</w:t>
            </w:r>
            <w:r>
              <w:rPr>
                <w:rFonts w:hint="default" w:ascii="Times New Roman" w:hAnsi="Times New Roman" w:cs="Times New Roman"/>
                <w:color w:val="auto"/>
                <w:sz w:val="24"/>
                <w:szCs w:val="24"/>
                <w:highlight w:val="none"/>
                <w:lang w:val="en-US" w:eastAsia="zh-CN"/>
              </w:rPr>
              <w:t>添加</w:t>
            </w:r>
            <w:r>
              <w:rPr>
                <w:rFonts w:hint="eastAsia" w:cs="Times New Roman"/>
                <w:color w:val="auto"/>
                <w:sz w:val="24"/>
                <w:szCs w:val="24"/>
                <w:highlight w:val="none"/>
                <w:lang w:val="en-US" w:eastAsia="zh-CN"/>
              </w:rPr>
              <w:t>牛油、</w:t>
            </w:r>
            <w:r>
              <w:rPr>
                <w:rFonts w:hint="default" w:ascii="Times New Roman" w:hAnsi="Times New Roman" w:cs="Times New Roman"/>
                <w:color w:val="auto"/>
                <w:sz w:val="24"/>
                <w:szCs w:val="24"/>
                <w:highlight w:val="none"/>
                <w:lang w:val="en-US" w:eastAsia="zh-CN"/>
              </w:rPr>
              <w:t>麦芽糊精、食用玉米淀粉、食用盐</w:t>
            </w:r>
            <w:r>
              <w:rPr>
                <w:rFonts w:hint="eastAsia" w:cs="Times New Roman"/>
                <w:color w:val="auto"/>
                <w:sz w:val="24"/>
                <w:szCs w:val="24"/>
                <w:highlight w:val="none"/>
                <w:lang w:val="en-US" w:eastAsia="zh-CN"/>
              </w:rPr>
              <w:t>进行调配（调配过程利用蒸汽加热）</w:t>
            </w:r>
            <w:r>
              <w:rPr>
                <w:rFonts w:hint="default" w:ascii="Times New Roman" w:hAnsi="Times New Roman" w:cs="Times New Roman"/>
                <w:color w:val="auto"/>
                <w:sz w:val="24"/>
                <w:szCs w:val="24"/>
                <w:highlight w:val="none"/>
                <w:lang w:val="en-US" w:eastAsia="zh-CN"/>
              </w:rPr>
              <w:t>，使产品增加风味。本工序</w:t>
            </w:r>
            <w:r>
              <w:rPr>
                <w:rFonts w:hint="eastAsia" w:cs="Times New Roman"/>
                <w:color w:val="auto"/>
                <w:sz w:val="24"/>
                <w:szCs w:val="24"/>
                <w:highlight w:val="none"/>
                <w:lang w:val="en-US" w:eastAsia="zh-CN"/>
              </w:rPr>
              <w:t>只产生生产设备噪声N4</w:t>
            </w:r>
            <w:r>
              <w:rPr>
                <w:rFonts w:hint="default" w:ascii="Times New Roman" w:hAnsi="Times New Roman" w:cs="Times New Roman"/>
                <w:color w:val="auto"/>
                <w:sz w:val="24"/>
                <w:szCs w:val="24"/>
                <w:highlight w:val="none"/>
                <w:lang w:val="en-US" w:eastAsia="zh-CN"/>
              </w:rPr>
              <w:t>。</w:t>
            </w:r>
          </w:p>
          <w:p w14:paraId="4DF06C3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000000"/>
                <w:sz w:val="24"/>
                <w:highlight w:val="none"/>
                <w:u w:val="none"/>
                <w:lang w:val="en-US" w:eastAsia="zh-CN"/>
              </w:rPr>
              <w:t>⑤</w:t>
            </w:r>
            <w:r>
              <w:rPr>
                <w:rFonts w:hint="default" w:ascii="Times New Roman" w:hAnsi="Times New Roman" w:cs="Times New Roman"/>
                <w:color w:val="auto"/>
                <w:sz w:val="24"/>
                <w:szCs w:val="24"/>
                <w:highlight w:val="none"/>
                <w:lang w:val="en-US" w:eastAsia="zh-CN"/>
              </w:rPr>
              <w:t>第一次均质</w:t>
            </w:r>
          </w:p>
          <w:p w14:paraId="246FB6F5">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调配好的高汤利用高压均质机</w:t>
            </w:r>
            <w:r>
              <w:rPr>
                <w:rFonts w:hint="default" w:ascii="Times New Roman" w:hAnsi="Times New Roman" w:cs="Times New Roman"/>
                <w:color w:val="auto"/>
                <w:sz w:val="24"/>
                <w:szCs w:val="24"/>
                <w:highlight w:val="none"/>
                <w:lang w:val="en-US" w:eastAsia="zh-CN"/>
              </w:rPr>
              <w:t>高速搅拌20分钟</w:t>
            </w:r>
            <w:r>
              <w:rPr>
                <w:rFonts w:hint="eastAsia" w:cs="Times New Roman"/>
                <w:color w:val="auto"/>
                <w:sz w:val="24"/>
                <w:szCs w:val="24"/>
                <w:highlight w:val="none"/>
                <w:lang w:val="en-US" w:eastAsia="zh-CN"/>
              </w:rPr>
              <w:t>（均质过程利用蒸汽加热）</w:t>
            </w:r>
            <w:r>
              <w:rPr>
                <w:rFonts w:hint="default" w:ascii="Times New Roman" w:hAnsi="Times New Roman" w:cs="Times New Roman"/>
                <w:color w:val="auto"/>
                <w:sz w:val="24"/>
                <w:szCs w:val="24"/>
                <w:highlight w:val="none"/>
                <w:lang w:val="en-US" w:eastAsia="zh-CN"/>
              </w:rPr>
              <w:t>至产品充分乳化后停机。本工序</w:t>
            </w:r>
            <w:r>
              <w:rPr>
                <w:rFonts w:hint="eastAsia" w:cs="Times New Roman"/>
                <w:color w:val="auto"/>
                <w:sz w:val="24"/>
                <w:szCs w:val="24"/>
                <w:highlight w:val="none"/>
                <w:lang w:val="en-US" w:eastAsia="zh-CN"/>
              </w:rPr>
              <w:t>只产生生产设备噪声N5</w:t>
            </w:r>
            <w:r>
              <w:rPr>
                <w:rFonts w:hint="default" w:ascii="Times New Roman" w:hAnsi="Times New Roman" w:cs="Times New Roman"/>
                <w:color w:val="auto"/>
                <w:sz w:val="24"/>
                <w:szCs w:val="24"/>
                <w:highlight w:val="none"/>
                <w:lang w:val="en-US" w:eastAsia="zh-CN"/>
              </w:rPr>
              <w:t>。</w:t>
            </w:r>
          </w:p>
          <w:p w14:paraId="7CCAB0AF">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000000"/>
                <w:sz w:val="24"/>
                <w:highlight w:val="none"/>
                <w:u w:val="none"/>
                <w:lang w:val="en-US" w:eastAsia="zh-CN"/>
              </w:rPr>
              <w:t>⑥</w:t>
            </w:r>
            <w:r>
              <w:rPr>
                <w:rFonts w:hint="default" w:ascii="Times New Roman" w:hAnsi="Times New Roman" w:cs="Times New Roman"/>
                <w:color w:val="auto"/>
                <w:sz w:val="24"/>
                <w:szCs w:val="24"/>
                <w:highlight w:val="none"/>
                <w:lang w:val="en-US" w:eastAsia="zh-CN"/>
              </w:rPr>
              <w:t>杀菌</w:t>
            </w:r>
          </w:p>
          <w:p w14:paraId="185FDB1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sz w:val="24"/>
                <w:u w:val="none"/>
                <w:lang w:val="en-US" w:eastAsia="zh-CN"/>
              </w:rPr>
            </w:pPr>
            <w:r>
              <w:rPr>
                <w:rFonts w:hint="eastAsia" w:cs="Times New Roman"/>
                <w:color w:val="auto"/>
                <w:sz w:val="24"/>
                <w:szCs w:val="24"/>
                <w:lang w:val="en-US" w:eastAsia="zh-CN"/>
              </w:rPr>
              <w:t>第一次均质结束后对牛骨高汤进行杀菌处理，同时包装桶在包装间也进行杀菌处理，利用高温蒸汽进行</w:t>
            </w:r>
            <w:r>
              <w:rPr>
                <w:rFonts w:hint="default" w:ascii="Times New Roman" w:hAnsi="Times New Roman" w:cs="Times New Roman"/>
                <w:color w:val="auto"/>
                <w:sz w:val="24"/>
                <w:szCs w:val="24"/>
                <w:lang w:val="en-US" w:eastAsia="zh-CN"/>
              </w:rPr>
              <w:t>杀菌，温度控制在100-110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之间，保持</w:t>
            </w:r>
            <w:r>
              <w:rPr>
                <w:rFonts w:hint="default" w:ascii="Times New Roman" w:hAnsi="Times New Roman" w:cs="Times New Roman"/>
                <w:color w:val="auto"/>
                <w:sz w:val="24"/>
                <w:szCs w:val="24"/>
                <w:lang w:val="en-US" w:eastAsia="zh-CN"/>
              </w:rPr>
              <w:t>50分钟。本工序无污染产生。</w:t>
            </w:r>
          </w:p>
          <w:p w14:paraId="7E3A7743">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000000"/>
                <w:sz w:val="24"/>
                <w:highlight w:val="none"/>
                <w:u w:val="none"/>
                <w:lang w:val="en-US" w:eastAsia="zh-CN"/>
              </w:rPr>
              <w:t>⑦</w:t>
            </w:r>
            <w:r>
              <w:rPr>
                <w:rFonts w:hint="default" w:ascii="Times New Roman" w:hAnsi="Times New Roman" w:cs="Times New Roman"/>
                <w:color w:val="auto"/>
                <w:sz w:val="24"/>
                <w:szCs w:val="24"/>
                <w:lang w:val="en-US" w:eastAsia="zh-CN"/>
              </w:rPr>
              <w:t>第二次均质</w:t>
            </w:r>
          </w:p>
          <w:p w14:paraId="75D6CB5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cs="Times New Roman"/>
                <w:color w:val="auto"/>
                <w:sz w:val="24"/>
                <w:szCs w:val="24"/>
                <w:lang w:val="en-US" w:eastAsia="zh-CN"/>
              </w:rPr>
              <w:t>在高压均质机内</w:t>
            </w:r>
            <w:r>
              <w:rPr>
                <w:rFonts w:hint="default" w:ascii="Times New Roman" w:hAnsi="Times New Roman" w:cs="Times New Roman"/>
                <w:color w:val="auto"/>
                <w:sz w:val="24"/>
                <w:szCs w:val="24"/>
                <w:lang w:val="en-US" w:eastAsia="zh-CN"/>
              </w:rPr>
              <w:t>再次均质使产品</w:t>
            </w:r>
            <w:r>
              <w:rPr>
                <w:rFonts w:hint="default" w:ascii="Times New Roman" w:hAnsi="Times New Roman" w:cs="Times New Roman"/>
                <w:color w:val="auto"/>
                <w:sz w:val="24"/>
                <w:szCs w:val="24"/>
                <w:highlight w:val="none"/>
                <w:lang w:val="en-US" w:eastAsia="zh-CN"/>
              </w:rPr>
              <w:t>更加细化、均匀，</w:t>
            </w:r>
            <w:r>
              <w:rPr>
                <w:rFonts w:hint="eastAsia" w:cs="Times New Roman"/>
                <w:color w:val="auto"/>
                <w:sz w:val="24"/>
                <w:szCs w:val="24"/>
                <w:highlight w:val="none"/>
                <w:lang w:val="en-US" w:eastAsia="zh-CN"/>
              </w:rPr>
              <w:t>（均质过程利用蒸汽加热）</w:t>
            </w:r>
            <w:r>
              <w:rPr>
                <w:rFonts w:hint="default" w:ascii="Times New Roman" w:hAnsi="Times New Roman" w:cs="Times New Roman"/>
                <w:color w:val="auto"/>
                <w:sz w:val="24"/>
                <w:szCs w:val="24"/>
                <w:highlight w:val="none"/>
                <w:lang w:val="en-US" w:eastAsia="zh-CN"/>
              </w:rPr>
              <w:t>均质机压力调整为25PNa，本工序</w:t>
            </w:r>
            <w:r>
              <w:rPr>
                <w:rFonts w:hint="eastAsia" w:cs="Times New Roman"/>
                <w:color w:val="auto"/>
                <w:sz w:val="24"/>
                <w:szCs w:val="24"/>
                <w:highlight w:val="none"/>
                <w:lang w:val="en-US" w:eastAsia="zh-CN"/>
              </w:rPr>
              <w:t>只产生生产设备噪声N6</w:t>
            </w:r>
            <w:r>
              <w:rPr>
                <w:rFonts w:hint="default" w:ascii="Times New Roman" w:hAnsi="Times New Roman" w:cs="Times New Roman"/>
                <w:color w:val="auto"/>
                <w:sz w:val="24"/>
                <w:szCs w:val="24"/>
                <w:highlight w:val="none"/>
                <w:lang w:val="en-US" w:eastAsia="zh-CN"/>
              </w:rPr>
              <w:t>。</w:t>
            </w:r>
          </w:p>
          <w:p w14:paraId="7A95A96C">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⑧</w:t>
            </w:r>
            <w:r>
              <w:rPr>
                <w:rFonts w:hint="eastAsia" w:cs="Times New Roman"/>
                <w:color w:val="auto"/>
                <w:sz w:val="24"/>
                <w:szCs w:val="24"/>
                <w:highlight w:val="none"/>
                <w:lang w:val="en-US" w:eastAsia="zh-CN"/>
              </w:rPr>
              <w:t>冷却</w:t>
            </w:r>
            <w:r>
              <w:rPr>
                <w:rFonts w:hint="default" w:ascii="Times New Roman" w:hAnsi="Times New Roman" w:cs="Times New Roman"/>
                <w:color w:val="auto"/>
                <w:sz w:val="24"/>
                <w:szCs w:val="24"/>
                <w:highlight w:val="none"/>
                <w:lang w:val="en-US" w:eastAsia="zh-CN"/>
              </w:rPr>
              <w:t>灌装</w:t>
            </w:r>
          </w:p>
          <w:p w14:paraId="74CBBFFC">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cs="Times New Roman"/>
                <w:color w:val="auto"/>
                <w:sz w:val="24"/>
                <w:szCs w:val="24"/>
                <w:highlight w:val="none"/>
                <w:lang w:val="en-US" w:eastAsia="zh-CN"/>
              </w:rPr>
              <w:t>处理好的</w:t>
            </w:r>
            <w:r>
              <w:rPr>
                <w:rFonts w:hint="default" w:ascii="Times New Roman" w:hAnsi="Times New Roman" w:cs="Times New Roman"/>
                <w:color w:val="auto"/>
                <w:sz w:val="24"/>
                <w:szCs w:val="24"/>
                <w:highlight w:val="none"/>
                <w:lang w:val="en-US" w:eastAsia="zh-CN"/>
              </w:rPr>
              <w:t>牛骨高汤</w:t>
            </w:r>
            <w:r>
              <w:rPr>
                <w:rFonts w:hint="eastAsia" w:cs="Times New Roman"/>
                <w:color w:val="auto"/>
                <w:sz w:val="24"/>
                <w:szCs w:val="24"/>
                <w:highlight w:val="none"/>
                <w:lang w:val="en-US" w:eastAsia="zh-CN"/>
              </w:rPr>
              <w:t>在静置罐内利用双层结构，让冷水流动</w:t>
            </w:r>
            <w:r>
              <w:rPr>
                <w:rFonts w:hint="default" w:ascii="Times New Roman" w:hAnsi="Times New Roman" w:cs="Times New Roman"/>
                <w:color w:val="auto"/>
                <w:sz w:val="24"/>
                <w:szCs w:val="24"/>
                <w:highlight w:val="none"/>
                <w:lang w:val="en-US" w:eastAsia="zh-CN"/>
              </w:rPr>
              <w:t>进行</w:t>
            </w:r>
            <w:r>
              <w:rPr>
                <w:rFonts w:hint="eastAsia" w:cs="Times New Roman"/>
                <w:color w:val="auto"/>
                <w:sz w:val="24"/>
                <w:szCs w:val="24"/>
                <w:highlight w:val="none"/>
                <w:lang w:val="en-US" w:eastAsia="zh-CN"/>
              </w:rPr>
              <w:t>水浴间接</w:t>
            </w:r>
            <w:r>
              <w:rPr>
                <w:rFonts w:hint="default" w:ascii="Times New Roman" w:hAnsi="Times New Roman" w:cs="Times New Roman"/>
                <w:color w:val="auto"/>
                <w:sz w:val="24"/>
                <w:szCs w:val="24"/>
                <w:highlight w:val="none"/>
                <w:lang w:val="en-US" w:eastAsia="zh-CN"/>
              </w:rPr>
              <w:t>冷却降温后再</w:t>
            </w:r>
            <w:r>
              <w:rPr>
                <w:rFonts w:hint="eastAsia" w:cs="Times New Roman"/>
                <w:color w:val="auto"/>
                <w:sz w:val="24"/>
                <w:szCs w:val="24"/>
                <w:highlight w:val="none"/>
                <w:lang w:val="en-US" w:eastAsia="zh-CN"/>
              </w:rPr>
              <w:t>利用灌装车进行</w:t>
            </w:r>
            <w:r>
              <w:rPr>
                <w:rFonts w:hint="default" w:ascii="Times New Roman" w:hAnsi="Times New Roman" w:cs="Times New Roman"/>
                <w:color w:val="auto"/>
                <w:sz w:val="24"/>
                <w:szCs w:val="24"/>
                <w:highlight w:val="none"/>
                <w:lang w:val="en-US" w:eastAsia="zh-CN"/>
              </w:rPr>
              <w:t>灌装</w:t>
            </w:r>
            <w:r>
              <w:rPr>
                <w:rFonts w:hint="eastAsia" w:cs="Times New Roman"/>
                <w:color w:val="auto"/>
                <w:sz w:val="24"/>
                <w:szCs w:val="24"/>
                <w:highlight w:val="none"/>
                <w:lang w:val="en-US" w:eastAsia="zh-CN"/>
              </w:rPr>
              <w:t>20kg/桶</w:t>
            </w:r>
            <w:r>
              <w:rPr>
                <w:rFonts w:hint="default" w:ascii="Times New Roman" w:hAnsi="Times New Roman" w:cs="Times New Roman"/>
                <w:color w:val="auto"/>
                <w:sz w:val="24"/>
                <w:szCs w:val="24"/>
                <w:highlight w:val="none"/>
                <w:lang w:val="en-US" w:eastAsia="zh-CN"/>
              </w:rPr>
              <w:t>，要求温度下降到50</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以下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本工序</w:t>
            </w:r>
            <w:r>
              <w:rPr>
                <w:rFonts w:hint="eastAsia" w:cs="Times New Roman"/>
                <w:color w:val="auto"/>
                <w:sz w:val="24"/>
                <w:szCs w:val="24"/>
                <w:highlight w:val="none"/>
                <w:lang w:val="en-US" w:eastAsia="zh-CN"/>
              </w:rPr>
              <w:t>产业冷却水但冷却水循环使用，不外排，以及生产设备噪声N7</w:t>
            </w:r>
            <w:r>
              <w:rPr>
                <w:rFonts w:hint="default" w:ascii="Times New Roman" w:hAnsi="Times New Roman" w:cs="Times New Roman"/>
                <w:color w:val="auto"/>
                <w:sz w:val="24"/>
                <w:szCs w:val="24"/>
                <w:highlight w:val="none"/>
                <w:lang w:val="en-US" w:eastAsia="zh-CN"/>
              </w:rPr>
              <w:t>。</w:t>
            </w:r>
          </w:p>
          <w:p w14:paraId="4CF8205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eastAsia="宋体" w:cs="Times New Roman"/>
                <w:color w:val="000000"/>
                <w:sz w:val="24"/>
                <w:highlight w:val="none"/>
                <w:u w:val="none"/>
                <w:lang w:val="en-US" w:eastAsia="zh-CN"/>
              </w:rPr>
            </w:pPr>
            <w:r>
              <w:rPr>
                <w:rFonts w:hint="default" w:ascii="Times New Roman" w:hAnsi="Times New Roman" w:cs="Times New Roman"/>
                <w:color w:val="000000"/>
                <w:sz w:val="24"/>
                <w:highlight w:val="none"/>
                <w:u w:val="none"/>
                <w:lang w:val="en-US" w:eastAsia="zh-CN"/>
              </w:rPr>
              <w:t>⑨成品</w:t>
            </w:r>
          </w:p>
          <w:p w14:paraId="7B0BD08F">
            <w:pPr>
              <w:keepNext w:val="0"/>
              <w:keepLines w:val="0"/>
              <w:pageBreakBefore w:val="0"/>
              <w:widowControl w:val="0"/>
              <w:kinsoku/>
              <w:wordWrap w:val="0"/>
              <w:overflowPunct/>
              <w:topLinePunct w:val="0"/>
              <w:autoSpaceDE/>
              <w:autoSpaceDN/>
              <w:bidi w:val="0"/>
              <w:adjustRightInd/>
              <w:snapToGrid/>
              <w:spacing w:line="500" w:lineRule="exact"/>
              <w:ind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生产的牛骨高汤进入成品库暂存或</w:t>
            </w:r>
            <w:r>
              <w:rPr>
                <w:rFonts w:hint="eastAsia" w:cs="Times New Roman"/>
                <w:sz w:val="24"/>
                <w:lang w:val="en-US" w:eastAsia="zh-CN"/>
              </w:rPr>
              <w:t>按</w:t>
            </w:r>
            <w:r>
              <w:rPr>
                <w:rFonts w:hint="default" w:ascii="Times New Roman" w:hAnsi="Times New Roman" w:cs="Times New Roman"/>
                <w:sz w:val="24"/>
                <w:lang w:val="en-US" w:eastAsia="zh-CN"/>
              </w:rPr>
              <w:t>订购方</w:t>
            </w:r>
            <w:r>
              <w:rPr>
                <w:rFonts w:hint="eastAsia" w:cs="Times New Roman"/>
                <w:sz w:val="24"/>
                <w:lang w:val="en-US" w:eastAsia="zh-CN"/>
              </w:rPr>
              <w:t>订购量进行包装打包外售。</w:t>
            </w:r>
            <w:r>
              <w:rPr>
                <w:rFonts w:hint="default" w:ascii="Times New Roman" w:hAnsi="Times New Roman" w:cs="Times New Roman"/>
                <w:sz w:val="24"/>
                <w:lang w:val="en-US" w:eastAsia="zh-CN"/>
              </w:rPr>
              <w:t>本工序不产生污染</w:t>
            </w:r>
            <w:r>
              <w:rPr>
                <w:rFonts w:hint="eastAsia" w:cs="Times New Roman"/>
                <w:sz w:val="24"/>
                <w:lang w:val="en-US" w:eastAsia="zh-CN"/>
              </w:rPr>
              <w:t>物</w:t>
            </w:r>
            <w:r>
              <w:rPr>
                <w:rFonts w:hint="default" w:ascii="Times New Roman" w:hAnsi="Times New Roman" w:cs="Times New Roman"/>
                <w:sz w:val="24"/>
                <w:lang w:val="en-US" w:eastAsia="zh-CN"/>
              </w:rPr>
              <w:t>。</w:t>
            </w:r>
          </w:p>
          <w:p w14:paraId="4A565611">
            <w:pPr>
              <w:spacing w:line="240" w:lineRule="auto"/>
              <w:ind w:firstLine="0"/>
              <w:jc w:val="center"/>
              <w:rPr>
                <w:rFonts w:hint="default" w:ascii="Times New Roman" w:hAnsi="Times New Roman" w:cs="Times New Roman"/>
                <w:sz w:val="24"/>
              </w:rPr>
            </w:pPr>
            <w:r>
              <w:drawing>
                <wp:inline distT="0" distB="0" distL="114300" distR="114300">
                  <wp:extent cx="3505835" cy="4552315"/>
                  <wp:effectExtent l="0" t="0" r="14605"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3505835" cy="4552315"/>
                          </a:xfrm>
                          <a:prstGeom prst="rect">
                            <a:avLst/>
                          </a:prstGeom>
                          <a:noFill/>
                          <a:ln>
                            <a:noFill/>
                          </a:ln>
                        </pic:spPr>
                      </pic:pic>
                    </a:graphicData>
                  </a:graphic>
                </wp:inline>
              </w:drawing>
            </w:r>
          </w:p>
          <w:p w14:paraId="7FCBA7A6">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图</w:t>
            </w:r>
            <w:r>
              <w:rPr>
                <w:rFonts w:hint="eastAsia" w:eastAsia="黑体" w:cs="Times New Roman"/>
                <w:sz w:val="24"/>
                <w:highlight w:val="none"/>
                <w:lang w:val="en-US" w:eastAsia="zh-CN"/>
              </w:rPr>
              <w:t>4</w:t>
            </w:r>
            <w:r>
              <w:rPr>
                <w:rFonts w:hint="default" w:ascii="Times New Roman" w:hAnsi="Times New Roman" w:eastAsia="黑体" w:cs="Times New Roman"/>
                <w:sz w:val="24"/>
                <w:highlight w:val="none"/>
              </w:rPr>
              <w:t xml:space="preserve">  </w:t>
            </w:r>
            <w:r>
              <w:rPr>
                <w:rFonts w:hint="eastAsia" w:eastAsia="黑体" w:cs="Times New Roman"/>
                <w:sz w:val="24"/>
                <w:highlight w:val="none"/>
                <w:lang w:val="en-US" w:eastAsia="zh-CN"/>
              </w:rPr>
              <w:t>牛骨高汤</w:t>
            </w:r>
            <w:r>
              <w:rPr>
                <w:rFonts w:hint="default" w:ascii="Times New Roman" w:hAnsi="Times New Roman" w:eastAsia="黑体" w:cs="Times New Roman"/>
                <w:sz w:val="24"/>
                <w:highlight w:val="none"/>
              </w:rPr>
              <w:t>生产线工艺流程图</w:t>
            </w:r>
          </w:p>
          <w:p w14:paraId="0C9846C7">
            <w:pPr>
              <w:pStyle w:val="33"/>
              <w:tabs>
                <w:tab w:val="left" w:pos="4063"/>
              </w:tabs>
              <w:spacing w:line="240" w:lineRule="auto"/>
              <w:ind w:firstLine="480" w:firstLineChars="200"/>
              <w:rPr>
                <w:rFonts w:hint="eastAsia"/>
                <w:lang w:eastAsia="zh-CN"/>
              </w:rPr>
            </w:pPr>
            <w:r>
              <w:rPr>
                <w:rFonts w:hint="default" w:ascii="Times New Roman" w:hAnsi="Times New Roman" w:cs="Times New Roman"/>
                <w:sz w:val="24"/>
                <w:highlight w:val="none"/>
                <w:lang w:val="en-US"/>
              </w:rPr>
              <w:t>注：G：废气；W：废水；N：噪声；S：固</w:t>
            </w:r>
            <w:r>
              <w:rPr>
                <w:rFonts w:hint="default" w:ascii="Times New Roman" w:hAnsi="Times New Roman" w:cs="Times New Roman"/>
                <w:sz w:val="24"/>
                <w:lang w:val="en-US"/>
              </w:rPr>
              <w:t>废</w:t>
            </w:r>
          </w:p>
          <w:p w14:paraId="1D12AD4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highlight w:val="none"/>
                <w:u w:val="none"/>
              </w:rPr>
            </w:pPr>
            <w:r>
              <w:rPr>
                <w:rFonts w:hint="default" w:ascii="Times New Roman" w:hAnsi="Times New Roman" w:cs="Times New Roman"/>
                <w:sz w:val="24"/>
                <w:highlight w:val="none"/>
                <w:u w:val="none"/>
                <w:lang w:val="en-US" w:eastAsia="zh-CN"/>
              </w:rPr>
              <w:t>（二）鲜辣椒</w:t>
            </w:r>
            <w:r>
              <w:rPr>
                <w:rFonts w:hint="default" w:ascii="Times New Roman" w:hAnsi="Times New Roman" w:cs="Times New Roman"/>
                <w:sz w:val="24"/>
                <w:highlight w:val="none"/>
                <w:u w:val="none"/>
              </w:rPr>
              <w:t>生产线工艺流程：</w:t>
            </w:r>
          </w:p>
          <w:p w14:paraId="73136776">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cs="Times New Roman"/>
                <w:color w:val="auto"/>
                <w:sz w:val="24"/>
                <w:szCs w:val="24"/>
                <w:lang w:val="en-US" w:eastAsia="zh-CN"/>
              </w:rPr>
            </w:pPr>
            <w:r>
              <w:rPr>
                <w:rFonts w:hint="default" w:ascii="Times New Roman" w:hAnsi="Times New Roman" w:cs="Times New Roman"/>
                <w:color w:val="000000"/>
                <w:sz w:val="24"/>
                <w:u w:val="none"/>
              </w:rPr>
              <w:fldChar w:fldCharType="begin"/>
            </w:r>
            <w:r>
              <w:rPr>
                <w:rFonts w:hint="default" w:ascii="Times New Roman" w:hAnsi="Times New Roman" w:cs="Times New Roman"/>
                <w:color w:val="000000"/>
                <w:sz w:val="24"/>
                <w:u w:val="none"/>
              </w:rPr>
              <w:instrText xml:space="preserve"> = 1 \* GB3 </w:instrText>
            </w:r>
            <w:r>
              <w:rPr>
                <w:rFonts w:hint="default" w:ascii="Times New Roman" w:hAnsi="Times New Roman" w:cs="Times New Roman"/>
                <w:color w:val="000000"/>
                <w:sz w:val="24"/>
                <w:u w:val="none"/>
              </w:rPr>
              <w:fldChar w:fldCharType="separate"/>
            </w:r>
            <w:r>
              <w:rPr>
                <w:rFonts w:hint="default" w:ascii="Times New Roman" w:hAnsi="Times New Roman" w:cs="Times New Roman"/>
                <w:color w:val="000000"/>
                <w:sz w:val="24"/>
                <w:u w:val="none"/>
              </w:rPr>
              <w:t>①</w:t>
            </w:r>
            <w:r>
              <w:rPr>
                <w:rFonts w:hint="default" w:ascii="Times New Roman" w:hAnsi="Times New Roman" w:cs="Times New Roman"/>
                <w:color w:val="000000"/>
                <w:sz w:val="24"/>
                <w:u w:val="none"/>
              </w:rPr>
              <w:fldChar w:fldCharType="end"/>
            </w:r>
            <w:r>
              <w:rPr>
                <w:rFonts w:hint="default" w:ascii="Times New Roman" w:hAnsi="Times New Roman" w:cs="Times New Roman"/>
                <w:color w:val="auto"/>
                <w:sz w:val="24"/>
                <w:szCs w:val="24"/>
                <w:lang w:val="en-US" w:eastAsia="zh-CN"/>
              </w:rPr>
              <w:t>去把、清洗</w:t>
            </w:r>
          </w:p>
          <w:p w14:paraId="01354313">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将外购的辣椒</w:t>
            </w:r>
            <w:r>
              <w:rPr>
                <w:rFonts w:hint="eastAsia" w:cs="Times New Roman"/>
                <w:color w:val="auto"/>
                <w:sz w:val="24"/>
                <w:szCs w:val="24"/>
                <w:lang w:val="en-US" w:eastAsia="zh-CN"/>
              </w:rPr>
              <w:t>放</w:t>
            </w:r>
            <w:r>
              <w:rPr>
                <w:rFonts w:hint="eastAsia" w:cs="Times New Roman"/>
                <w:color w:val="auto"/>
                <w:sz w:val="24"/>
                <w:szCs w:val="24"/>
                <w:highlight w:val="none"/>
                <w:lang w:val="en-US" w:eastAsia="zh-CN"/>
              </w:rPr>
              <w:t>置在挑选台面上利用金属探测器挑选是否含有金属碎屑，</w:t>
            </w:r>
            <w:r>
              <w:rPr>
                <w:rFonts w:hint="default" w:ascii="Times New Roman" w:hAnsi="Times New Roman" w:cs="Times New Roman"/>
                <w:color w:val="auto"/>
                <w:sz w:val="24"/>
                <w:szCs w:val="24"/>
                <w:highlight w:val="none"/>
                <w:lang w:val="en-US" w:eastAsia="zh-CN"/>
              </w:rPr>
              <w:t>人工</w:t>
            </w:r>
            <w:r>
              <w:rPr>
                <w:rFonts w:hint="eastAsia" w:cs="Times New Roman"/>
                <w:color w:val="auto"/>
                <w:sz w:val="24"/>
                <w:szCs w:val="24"/>
                <w:highlight w:val="none"/>
                <w:lang w:val="en-US" w:eastAsia="zh-CN"/>
              </w:rPr>
              <w:t>再次挑选</w:t>
            </w:r>
            <w:r>
              <w:rPr>
                <w:rFonts w:hint="default" w:ascii="Times New Roman" w:hAnsi="Times New Roman" w:cs="Times New Roman"/>
                <w:color w:val="auto"/>
                <w:sz w:val="24"/>
                <w:szCs w:val="24"/>
                <w:highlight w:val="none"/>
                <w:lang w:val="en-US" w:eastAsia="zh-CN"/>
              </w:rPr>
              <w:t>去把修剪后清洗，本工序产生辣椒把</w:t>
            </w:r>
            <w:r>
              <w:rPr>
                <w:rFonts w:hint="eastAsia" w:ascii="Times New Roman" w:hAnsi="Times New Roman" w:cs="Times New Roman"/>
                <w:color w:val="auto"/>
                <w:sz w:val="24"/>
                <w:szCs w:val="24"/>
                <w:highlight w:val="none"/>
                <w:lang w:val="en-US" w:eastAsia="zh-CN"/>
              </w:rPr>
              <w:t>和辣椒残渣</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、辣椒清洗废水W</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14:paraId="3042E957">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000000"/>
                <w:sz w:val="24"/>
                <w:highlight w:val="none"/>
                <w:u w:val="none"/>
              </w:rPr>
              <w:t>②</w:t>
            </w:r>
            <w:r>
              <w:rPr>
                <w:rFonts w:hint="default" w:ascii="Times New Roman" w:hAnsi="Times New Roman" w:cs="Times New Roman"/>
                <w:color w:val="auto"/>
                <w:sz w:val="24"/>
                <w:szCs w:val="24"/>
                <w:highlight w:val="none"/>
                <w:lang w:val="en-US" w:eastAsia="zh-CN"/>
              </w:rPr>
              <w:t>切料</w:t>
            </w:r>
          </w:p>
          <w:p w14:paraId="62863C48">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cs="Times New Roman"/>
                <w:color w:val="auto"/>
                <w:sz w:val="24"/>
                <w:szCs w:val="24"/>
                <w:highlight w:val="none"/>
                <w:lang w:val="en-US" w:eastAsia="zh-CN"/>
              </w:rPr>
              <w:t>利用切菜机将</w:t>
            </w:r>
            <w:r>
              <w:rPr>
                <w:rFonts w:hint="default" w:ascii="Times New Roman" w:hAnsi="Times New Roman" w:cs="Times New Roman"/>
                <w:color w:val="auto"/>
                <w:sz w:val="24"/>
                <w:szCs w:val="24"/>
                <w:highlight w:val="none"/>
                <w:lang w:val="en-US" w:eastAsia="zh-CN"/>
              </w:rPr>
              <w:t>清洗好的辣椒切碎备用。本工序</w:t>
            </w:r>
            <w:r>
              <w:rPr>
                <w:rFonts w:hint="eastAsia" w:cs="Times New Roman"/>
                <w:color w:val="auto"/>
                <w:sz w:val="24"/>
                <w:szCs w:val="24"/>
                <w:highlight w:val="none"/>
                <w:lang w:val="en-US" w:eastAsia="zh-CN"/>
              </w:rPr>
              <w:t>只产生生产设备噪声N8</w:t>
            </w:r>
            <w:r>
              <w:rPr>
                <w:rFonts w:hint="default" w:ascii="Times New Roman" w:hAnsi="Times New Roman" w:cs="Times New Roman"/>
                <w:color w:val="auto"/>
                <w:sz w:val="24"/>
                <w:szCs w:val="24"/>
                <w:highlight w:val="none"/>
                <w:lang w:val="en-US" w:eastAsia="zh-CN"/>
              </w:rPr>
              <w:t>。</w:t>
            </w:r>
          </w:p>
          <w:p w14:paraId="5A462AE4">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000000"/>
                <w:sz w:val="24"/>
                <w:highlight w:val="none"/>
                <w:u w:val="none"/>
              </w:rPr>
              <w:fldChar w:fldCharType="begin"/>
            </w:r>
            <w:r>
              <w:rPr>
                <w:rFonts w:hint="default" w:ascii="Times New Roman" w:hAnsi="Times New Roman" w:cs="Times New Roman"/>
                <w:color w:val="000000"/>
                <w:sz w:val="24"/>
                <w:highlight w:val="none"/>
                <w:u w:val="none"/>
              </w:rPr>
              <w:instrText xml:space="preserve"> = 3 \* GB3 </w:instrText>
            </w:r>
            <w:r>
              <w:rPr>
                <w:rFonts w:hint="default" w:ascii="Times New Roman" w:hAnsi="Times New Roman" w:cs="Times New Roman"/>
                <w:color w:val="000000"/>
                <w:sz w:val="24"/>
                <w:highlight w:val="none"/>
                <w:u w:val="none"/>
              </w:rPr>
              <w:fldChar w:fldCharType="separate"/>
            </w:r>
            <w:r>
              <w:rPr>
                <w:rFonts w:hint="default" w:ascii="Times New Roman" w:hAnsi="Times New Roman" w:cs="Times New Roman"/>
                <w:color w:val="000000"/>
                <w:sz w:val="24"/>
                <w:highlight w:val="none"/>
                <w:u w:val="none"/>
              </w:rPr>
              <w:t>③</w:t>
            </w:r>
            <w:r>
              <w:rPr>
                <w:rFonts w:hint="default" w:ascii="Times New Roman" w:hAnsi="Times New Roman" w:cs="Times New Roman"/>
                <w:color w:val="000000"/>
                <w:sz w:val="24"/>
                <w:highlight w:val="none"/>
                <w:u w:val="none"/>
              </w:rPr>
              <w:fldChar w:fldCharType="end"/>
            </w:r>
            <w:r>
              <w:rPr>
                <w:rFonts w:hint="default" w:ascii="Times New Roman" w:hAnsi="Times New Roman" w:cs="Times New Roman"/>
                <w:color w:val="auto"/>
                <w:sz w:val="24"/>
                <w:szCs w:val="24"/>
                <w:highlight w:val="none"/>
                <w:lang w:val="en-US" w:eastAsia="zh-CN"/>
              </w:rPr>
              <w:t>调配</w:t>
            </w:r>
          </w:p>
          <w:p w14:paraId="78FDE27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default" w:ascii="Times New Roman" w:hAnsi="Times New Roman" w:cs="Times New Roman"/>
                <w:color w:val="auto"/>
                <w:sz w:val="24"/>
                <w:szCs w:val="24"/>
                <w:highlight w:val="none"/>
                <w:lang w:val="en-US" w:eastAsia="zh-CN"/>
              </w:rPr>
              <w:t>切好的辣椒按照比例添加</w:t>
            </w:r>
            <w:r>
              <w:rPr>
                <w:rFonts w:hint="eastAsia" w:cs="Times New Roman"/>
                <w:color w:val="auto"/>
                <w:sz w:val="24"/>
                <w:szCs w:val="24"/>
                <w:highlight w:val="none"/>
                <w:lang w:val="en-US" w:eastAsia="zh-CN"/>
              </w:rPr>
              <w:t>原辅料中的香辛料</w:t>
            </w:r>
            <w:r>
              <w:rPr>
                <w:rFonts w:hint="default" w:ascii="Times New Roman" w:hAnsi="Times New Roman" w:cs="Times New Roman"/>
                <w:color w:val="auto"/>
                <w:sz w:val="24"/>
                <w:szCs w:val="24"/>
                <w:highlight w:val="none"/>
                <w:lang w:val="en-US" w:eastAsia="zh-CN"/>
              </w:rPr>
              <w:t>配料后</w:t>
            </w:r>
            <w:r>
              <w:rPr>
                <w:rFonts w:hint="eastAsia" w:cs="Times New Roman"/>
                <w:color w:val="auto"/>
                <w:sz w:val="24"/>
                <w:szCs w:val="24"/>
                <w:highlight w:val="none"/>
                <w:lang w:val="en-US" w:eastAsia="zh-CN"/>
              </w:rPr>
              <w:t>在单层搅拌锅内混合均匀</w:t>
            </w:r>
            <w:r>
              <w:rPr>
                <w:rFonts w:hint="default" w:ascii="Times New Roman" w:hAnsi="Times New Roman" w:cs="Times New Roman"/>
                <w:color w:val="auto"/>
                <w:sz w:val="24"/>
                <w:szCs w:val="24"/>
                <w:highlight w:val="none"/>
                <w:lang w:val="en-US" w:eastAsia="zh-CN"/>
              </w:rPr>
              <w:t>，按照配料表下料，称量要准确，</w:t>
            </w:r>
            <w:r>
              <w:rPr>
                <w:rFonts w:hint="eastAsia" w:cs="Times New Roman"/>
                <w:color w:val="auto"/>
                <w:sz w:val="24"/>
                <w:szCs w:val="24"/>
                <w:highlight w:val="none"/>
                <w:lang w:val="en-US" w:eastAsia="zh-CN"/>
              </w:rPr>
              <w:t>所有调配要添加的料都要用电子秤重称准确</w:t>
            </w:r>
            <w:r>
              <w:rPr>
                <w:rFonts w:hint="default" w:ascii="Times New Roman" w:hAnsi="Times New Roman" w:cs="Times New Roman"/>
                <w:color w:val="auto"/>
                <w:sz w:val="24"/>
                <w:szCs w:val="24"/>
                <w:highlight w:val="none"/>
                <w:lang w:val="en-US" w:eastAsia="zh-CN"/>
              </w:rPr>
              <w:t>称量。本工序</w:t>
            </w:r>
            <w:r>
              <w:rPr>
                <w:rFonts w:hint="eastAsia" w:cs="Times New Roman"/>
                <w:color w:val="auto"/>
                <w:sz w:val="24"/>
                <w:szCs w:val="24"/>
                <w:highlight w:val="none"/>
                <w:lang w:val="en-US" w:eastAsia="zh-CN"/>
              </w:rPr>
              <w:t>只产生生产设备噪声N9</w:t>
            </w:r>
            <w:r>
              <w:rPr>
                <w:rFonts w:hint="default" w:ascii="Times New Roman" w:hAnsi="Times New Roman" w:cs="Times New Roman"/>
                <w:color w:val="auto"/>
                <w:sz w:val="24"/>
                <w:szCs w:val="24"/>
                <w:highlight w:val="none"/>
                <w:lang w:val="en-US" w:eastAsia="zh-CN"/>
              </w:rPr>
              <w:t>。</w:t>
            </w:r>
          </w:p>
          <w:p w14:paraId="6ECC0868">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color w:val="000000"/>
                <w:sz w:val="24"/>
                <w:highlight w:val="none"/>
                <w:u w:val="none"/>
              </w:rPr>
              <w:fldChar w:fldCharType="begin"/>
            </w:r>
            <w:r>
              <w:rPr>
                <w:rFonts w:hint="default" w:ascii="Times New Roman" w:hAnsi="Times New Roman" w:cs="Times New Roman"/>
                <w:color w:val="000000"/>
                <w:sz w:val="24"/>
                <w:highlight w:val="none"/>
                <w:u w:val="none"/>
              </w:rPr>
              <w:instrText xml:space="preserve"> = 4 \* GB3 </w:instrText>
            </w:r>
            <w:r>
              <w:rPr>
                <w:rFonts w:hint="default" w:ascii="Times New Roman" w:hAnsi="Times New Roman" w:cs="Times New Roman"/>
                <w:color w:val="000000"/>
                <w:sz w:val="24"/>
                <w:highlight w:val="none"/>
                <w:u w:val="none"/>
              </w:rPr>
              <w:fldChar w:fldCharType="separate"/>
            </w:r>
            <w:r>
              <w:rPr>
                <w:rFonts w:hint="default" w:ascii="Times New Roman" w:hAnsi="Times New Roman" w:cs="Times New Roman"/>
                <w:color w:val="000000"/>
                <w:sz w:val="24"/>
                <w:highlight w:val="none"/>
                <w:u w:val="none"/>
              </w:rPr>
              <w:t>④</w:t>
            </w:r>
            <w:r>
              <w:rPr>
                <w:rFonts w:hint="default" w:ascii="Times New Roman" w:hAnsi="Times New Roman" w:cs="Times New Roman"/>
                <w:color w:val="000000"/>
                <w:sz w:val="24"/>
                <w:highlight w:val="none"/>
                <w:u w:val="none"/>
              </w:rPr>
              <w:fldChar w:fldCharType="end"/>
            </w:r>
            <w:r>
              <w:rPr>
                <w:rFonts w:hint="default" w:ascii="Times New Roman" w:hAnsi="Times New Roman" w:eastAsia="宋体" w:cs="Times New Roman"/>
                <w:b w:val="0"/>
                <w:color w:val="auto"/>
                <w:kern w:val="2"/>
                <w:sz w:val="24"/>
                <w:szCs w:val="24"/>
                <w:highlight w:val="none"/>
                <w:lang w:val="en-US" w:eastAsia="zh-CN" w:bidi="ar-SA"/>
              </w:rPr>
              <w:t>检验、包装</w:t>
            </w:r>
          </w:p>
          <w:p w14:paraId="7DAC4A71">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 w:val="0"/>
                <w:color w:val="auto"/>
                <w:kern w:val="2"/>
                <w:sz w:val="24"/>
                <w:szCs w:val="24"/>
                <w:lang w:val="en-US" w:eastAsia="zh-CN" w:bidi="ar-SA"/>
              </w:rPr>
            </w:pPr>
            <w:r>
              <w:rPr>
                <w:rFonts w:hint="eastAsia" w:ascii="Times New Roman" w:hAnsi="Times New Roman" w:cs="Times New Roman"/>
                <w:b w:val="0"/>
                <w:color w:val="auto"/>
                <w:kern w:val="2"/>
                <w:sz w:val="24"/>
                <w:szCs w:val="24"/>
                <w:lang w:val="en-US" w:eastAsia="zh-CN" w:bidi="ar-SA"/>
              </w:rPr>
              <w:t>调配</w:t>
            </w:r>
            <w:r>
              <w:rPr>
                <w:rFonts w:hint="default" w:ascii="Times New Roman" w:hAnsi="Times New Roman" w:cs="Times New Roman"/>
                <w:b w:val="0"/>
                <w:color w:val="auto"/>
                <w:kern w:val="2"/>
                <w:sz w:val="24"/>
                <w:szCs w:val="24"/>
                <w:lang w:val="en-US" w:eastAsia="zh-CN" w:bidi="ar-SA"/>
              </w:rPr>
              <w:t>好的辣椒</w:t>
            </w:r>
            <w:r>
              <w:rPr>
                <w:rFonts w:hint="eastAsia" w:ascii="Times New Roman" w:hAnsi="Times New Roman" w:cs="Times New Roman"/>
                <w:b w:val="0"/>
                <w:color w:val="auto"/>
                <w:kern w:val="2"/>
                <w:sz w:val="24"/>
                <w:szCs w:val="24"/>
                <w:lang w:val="en-US" w:eastAsia="zh-CN" w:bidi="ar-SA"/>
              </w:rPr>
              <w:t>此过程为鲜辣椒，鲜辣椒</w:t>
            </w:r>
            <w:r>
              <w:rPr>
                <w:rFonts w:hint="default" w:ascii="Times New Roman" w:hAnsi="Times New Roman" w:cs="Times New Roman"/>
                <w:b w:val="0"/>
                <w:color w:val="auto"/>
                <w:kern w:val="2"/>
                <w:sz w:val="24"/>
                <w:szCs w:val="24"/>
                <w:lang w:val="en-US" w:eastAsia="zh-CN" w:bidi="ar-SA"/>
              </w:rPr>
              <w:t>经</w:t>
            </w:r>
            <w:r>
              <w:rPr>
                <w:rFonts w:hint="eastAsia" w:cs="Times New Roman"/>
                <w:b w:val="0"/>
                <w:color w:val="auto"/>
                <w:kern w:val="2"/>
                <w:sz w:val="24"/>
                <w:szCs w:val="24"/>
                <w:lang w:val="en-US" w:eastAsia="zh-CN" w:bidi="ar-SA"/>
              </w:rPr>
              <w:t>过化验室设备</w:t>
            </w:r>
            <w:r>
              <w:rPr>
                <w:rFonts w:hint="default" w:ascii="Times New Roman" w:hAnsi="Times New Roman" w:cs="Times New Roman"/>
                <w:b w:val="0"/>
                <w:color w:val="auto"/>
                <w:kern w:val="2"/>
                <w:sz w:val="24"/>
                <w:szCs w:val="24"/>
                <w:lang w:val="en-US" w:eastAsia="zh-CN" w:bidi="ar-SA"/>
              </w:rPr>
              <w:t>检验合格后</w:t>
            </w:r>
            <w:r>
              <w:rPr>
                <w:rFonts w:hint="eastAsia" w:cs="Times New Roman"/>
                <w:b w:val="0"/>
                <w:color w:val="auto"/>
                <w:kern w:val="2"/>
                <w:sz w:val="24"/>
                <w:szCs w:val="24"/>
                <w:lang w:val="en-US" w:eastAsia="zh-CN" w:bidi="ar-SA"/>
              </w:rPr>
              <w:t>利用真空包装机</w:t>
            </w:r>
            <w:r>
              <w:rPr>
                <w:rFonts w:hint="default" w:ascii="Times New Roman" w:hAnsi="Times New Roman" w:cs="Times New Roman"/>
                <w:b w:val="0"/>
                <w:color w:val="auto"/>
                <w:kern w:val="2"/>
                <w:sz w:val="24"/>
                <w:szCs w:val="24"/>
                <w:lang w:val="en-US" w:eastAsia="zh-CN" w:bidi="ar-SA"/>
              </w:rPr>
              <w:t>装袋</w:t>
            </w:r>
            <w:r>
              <w:rPr>
                <w:rFonts w:hint="eastAsia" w:ascii="Times New Roman" w:hAnsi="Times New Roman" w:cs="Times New Roman"/>
                <w:b w:val="0"/>
                <w:color w:val="auto"/>
                <w:kern w:val="2"/>
                <w:sz w:val="24"/>
                <w:szCs w:val="24"/>
                <w:highlight w:val="none"/>
                <w:lang w:val="en-US" w:eastAsia="zh-CN" w:bidi="ar-SA"/>
              </w:rPr>
              <w:t>42kg/袋</w:t>
            </w:r>
            <w:r>
              <w:rPr>
                <w:rFonts w:hint="default" w:ascii="Times New Roman" w:hAnsi="Times New Roman" w:cs="Times New Roman"/>
                <w:b w:val="0"/>
                <w:color w:val="auto"/>
                <w:kern w:val="2"/>
                <w:sz w:val="24"/>
                <w:szCs w:val="24"/>
                <w:highlight w:val="none"/>
                <w:lang w:val="en-US" w:eastAsia="zh-CN" w:bidi="ar-SA"/>
              </w:rPr>
              <w:t>即成鲜辣椒成品</w:t>
            </w:r>
            <w:r>
              <w:rPr>
                <w:rFonts w:hint="eastAsia" w:cs="Times New Roman"/>
                <w:b w:val="0"/>
                <w:color w:val="auto"/>
                <w:kern w:val="2"/>
                <w:sz w:val="24"/>
                <w:szCs w:val="24"/>
                <w:highlight w:val="none"/>
                <w:lang w:val="en-US" w:eastAsia="zh-CN" w:bidi="ar-SA"/>
              </w:rPr>
              <w:t>进行外售，如检验不合格则这批产品进行丢弃清运处理，</w:t>
            </w:r>
            <w:r>
              <w:rPr>
                <w:rFonts w:hint="eastAsia" w:hAnsi="宋体" w:cs="Times New Roman"/>
                <w:color w:val="auto"/>
                <w:sz w:val="24"/>
                <w:szCs w:val="24"/>
                <w:highlight w:val="none"/>
                <w:lang w:val="en-US" w:eastAsia="zh-CN"/>
              </w:rPr>
              <w:t>包装需要密闭封口，封口打包机对包装袋封口时会有少量的废气产生，但产生量较少最终无组织排放。</w:t>
            </w:r>
            <w:r>
              <w:rPr>
                <w:rFonts w:hint="default" w:ascii="Times New Roman" w:hAnsi="Times New Roman" w:cs="Times New Roman"/>
                <w:b w:val="0"/>
                <w:color w:val="auto"/>
                <w:kern w:val="2"/>
                <w:sz w:val="24"/>
                <w:szCs w:val="24"/>
                <w:highlight w:val="none"/>
                <w:lang w:val="en-US" w:eastAsia="zh-CN" w:bidi="ar-SA"/>
              </w:rPr>
              <w:t>本工序会产生不合格品</w:t>
            </w:r>
            <w:r>
              <w:rPr>
                <w:rFonts w:hint="default" w:ascii="Times New Roman" w:hAnsi="Times New Roman" w:cs="Times New Roman"/>
                <w:color w:val="auto"/>
                <w:sz w:val="24"/>
                <w:szCs w:val="24"/>
                <w:highlight w:val="none"/>
                <w:lang w:val="en-US" w:eastAsia="zh-CN"/>
              </w:rPr>
              <w:t>S</w:t>
            </w:r>
            <w:r>
              <w:rPr>
                <w:rFonts w:hint="eastAsia" w:ascii="Times New Roman" w:hAnsi="Times New Roman" w:cs="Times New Roman"/>
                <w:color w:val="auto"/>
                <w:sz w:val="24"/>
                <w:szCs w:val="24"/>
                <w:highlight w:val="none"/>
                <w:lang w:val="en-US" w:eastAsia="zh-CN"/>
              </w:rPr>
              <w:t>3、打包废气G1和打包</w:t>
            </w:r>
            <w:r>
              <w:rPr>
                <w:rFonts w:hint="eastAsia" w:cs="Times New Roman"/>
                <w:color w:val="auto"/>
                <w:sz w:val="24"/>
                <w:szCs w:val="24"/>
                <w:highlight w:val="none"/>
                <w:lang w:val="en-US" w:eastAsia="zh-CN"/>
              </w:rPr>
              <w:t>设备噪声N10</w:t>
            </w:r>
            <w:r>
              <w:rPr>
                <w:rFonts w:hint="default" w:ascii="Times New Roman" w:hAnsi="Times New Roman" w:cs="Times New Roman"/>
                <w:b w:val="0"/>
                <w:color w:val="auto"/>
                <w:kern w:val="2"/>
                <w:sz w:val="24"/>
                <w:szCs w:val="24"/>
                <w:lang w:val="en-US" w:eastAsia="zh-CN" w:bidi="ar-SA"/>
              </w:rPr>
              <w:t>。</w:t>
            </w:r>
          </w:p>
          <w:p w14:paraId="7018F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268980" cy="2404110"/>
                  <wp:effectExtent l="0" t="0" r="7620" b="381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9"/>
                          <a:stretch>
                            <a:fillRect/>
                          </a:stretch>
                        </pic:blipFill>
                        <pic:spPr>
                          <a:xfrm>
                            <a:off x="0" y="0"/>
                            <a:ext cx="3268980" cy="2404110"/>
                          </a:xfrm>
                          <a:prstGeom prst="rect">
                            <a:avLst/>
                          </a:prstGeom>
                          <a:noFill/>
                          <a:ln>
                            <a:noFill/>
                          </a:ln>
                        </pic:spPr>
                      </pic:pic>
                    </a:graphicData>
                  </a:graphic>
                </wp:inline>
              </w:drawing>
            </w:r>
          </w:p>
          <w:p w14:paraId="1E54D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sz w:val="24"/>
              </w:rPr>
            </w:pPr>
            <w:r>
              <w:rPr>
                <w:rFonts w:hint="default" w:ascii="Times New Roman" w:hAnsi="Times New Roman" w:eastAsia="黑体" w:cs="Times New Roman"/>
                <w:sz w:val="24"/>
              </w:rPr>
              <w:t>图</w:t>
            </w:r>
            <w:r>
              <w:rPr>
                <w:rFonts w:hint="eastAsia" w:eastAsia="黑体" w:cs="Times New Roman"/>
                <w:sz w:val="24"/>
                <w:lang w:val="en-US" w:eastAsia="zh-CN"/>
              </w:rPr>
              <w:t>5</w:t>
            </w:r>
            <w:r>
              <w:rPr>
                <w:rFonts w:hint="default" w:ascii="Times New Roman" w:hAnsi="Times New Roman" w:eastAsia="黑体" w:cs="Times New Roman"/>
                <w:sz w:val="24"/>
              </w:rPr>
              <w:t xml:space="preserve">  </w:t>
            </w:r>
            <w:r>
              <w:rPr>
                <w:rFonts w:hint="eastAsia" w:eastAsia="黑体" w:cs="Times New Roman"/>
                <w:sz w:val="24"/>
                <w:lang w:val="en-US" w:eastAsia="zh-CN"/>
              </w:rPr>
              <w:t>鲜辣椒</w:t>
            </w:r>
            <w:r>
              <w:rPr>
                <w:rFonts w:hint="default" w:ascii="Times New Roman" w:hAnsi="Times New Roman" w:eastAsia="黑体" w:cs="Times New Roman"/>
                <w:sz w:val="24"/>
              </w:rPr>
              <w:t>生产线工艺流程图</w:t>
            </w:r>
          </w:p>
          <w:p w14:paraId="004FDE99">
            <w:pPr>
              <w:pStyle w:val="33"/>
              <w:tabs>
                <w:tab w:val="left" w:pos="4063"/>
              </w:tabs>
              <w:spacing w:line="240" w:lineRule="auto"/>
              <w:ind w:firstLine="480" w:firstLineChars="200"/>
              <w:rPr>
                <w:rFonts w:hint="eastAsia"/>
                <w:lang w:eastAsia="zh-CN"/>
              </w:rPr>
            </w:pPr>
            <w:r>
              <w:rPr>
                <w:rFonts w:hint="default" w:ascii="Times New Roman" w:hAnsi="Times New Roman" w:cs="Times New Roman"/>
                <w:sz w:val="24"/>
                <w:lang w:val="en-US"/>
              </w:rPr>
              <w:t>注：G：废气；W：废水；N：噪声；S：固废</w:t>
            </w:r>
          </w:p>
          <w:p w14:paraId="72F64DBB">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highlight w:val="none"/>
                <w:u w:val="none"/>
              </w:rPr>
            </w:pPr>
            <w:r>
              <w:rPr>
                <w:rFonts w:hint="default" w:ascii="Times New Roman" w:hAnsi="Times New Roman" w:cs="Times New Roman"/>
                <w:sz w:val="24"/>
                <w:highlight w:val="none"/>
                <w:u w:val="none"/>
                <w:lang w:val="en-US" w:eastAsia="zh-CN"/>
              </w:rPr>
              <w:t>（</w:t>
            </w:r>
            <w:r>
              <w:rPr>
                <w:rFonts w:hint="eastAsia" w:cs="Times New Roman"/>
                <w:sz w:val="24"/>
                <w:highlight w:val="none"/>
                <w:u w:val="none"/>
                <w:lang w:val="en-US" w:eastAsia="zh-CN"/>
              </w:rPr>
              <w:t>三</w:t>
            </w:r>
            <w:r>
              <w:rPr>
                <w:rFonts w:hint="default" w:ascii="Times New Roman" w:hAnsi="Times New Roman" w:cs="Times New Roman"/>
                <w:sz w:val="24"/>
                <w:highlight w:val="none"/>
                <w:u w:val="none"/>
                <w:lang w:val="en-US" w:eastAsia="zh-CN"/>
              </w:rPr>
              <w:t>）辣椒</w:t>
            </w:r>
            <w:r>
              <w:rPr>
                <w:rFonts w:hint="eastAsia" w:cs="Times New Roman"/>
                <w:sz w:val="24"/>
                <w:highlight w:val="none"/>
                <w:u w:val="none"/>
                <w:lang w:val="en-US" w:eastAsia="zh-CN"/>
              </w:rPr>
              <w:t>酱</w:t>
            </w:r>
            <w:r>
              <w:rPr>
                <w:rFonts w:hint="default" w:ascii="Times New Roman" w:hAnsi="Times New Roman" w:cs="Times New Roman"/>
                <w:sz w:val="24"/>
                <w:highlight w:val="none"/>
                <w:u w:val="none"/>
              </w:rPr>
              <w:t>生产线工艺流程：</w:t>
            </w:r>
          </w:p>
          <w:p w14:paraId="1C2DA564">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color w:val="000000"/>
                <w:sz w:val="24"/>
                <w:u w:val="none"/>
                <w:lang w:val="en-US" w:eastAsia="zh-CN"/>
              </w:rPr>
              <w:t>①鲜辣椒</w:t>
            </w:r>
            <w:r>
              <w:rPr>
                <w:rFonts w:hint="default" w:ascii="Times New Roman" w:hAnsi="Times New Roman" w:eastAsia="宋体" w:cs="Times New Roman"/>
                <w:b w:val="0"/>
                <w:color w:val="auto"/>
                <w:kern w:val="2"/>
                <w:sz w:val="24"/>
                <w:szCs w:val="24"/>
                <w:lang w:val="en-US" w:eastAsia="zh-CN" w:bidi="ar-SA"/>
              </w:rPr>
              <w:t>腌制</w:t>
            </w:r>
          </w:p>
          <w:p w14:paraId="08025B86">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cs="Times New Roman"/>
                <w:b w:val="0"/>
                <w:color w:val="auto"/>
                <w:kern w:val="2"/>
                <w:sz w:val="24"/>
                <w:szCs w:val="24"/>
                <w:lang w:val="en-US" w:eastAsia="zh-CN" w:bidi="ar-SA"/>
              </w:rPr>
              <w:t>将</w:t>
            </w:r>
            <w:r>
              <w:rPr>
                <w:rFonts w:hint="eastAsia" w:ascii="Times New Roman" w:hAnsi="Times New Roman" w:cs="Times New Roman"/>
                <w:b w:val="0"/>
                <w:color w:val="auto"/>
                <w:kern w:val="2"/>
                <w:sz w:val="24"/>
                <w:szCs w:val="24"/>
                <w:lang w:val="en-US" w:eastAsia="zh-CN" w:bidi="ar-SA"/>
              </w:rPr>
              <w:t>分出来的部分鲜辣椒</w:t>
            </w:r>
            <w:r>
              <w:rPr>
                <w:rFonts w:hint="eastAsia" w:cs="Times New Roman"/>
                <w:b w:val="0"/>
                <w:color w:val="auto"/>
                <w:kern w:val="2"/>
                <w:sz w:val="24"/>
                <w:szCs w:val="24"/>
                <w:lang w:val="en-US" w:eastAsia="zh-CN" w:bidi="ar-SA"/>
              </w:rPr>
              <w:t>在腌制罐内</w:t>
            </w:r>
            <w:r>
              <w:rPr>
                <w:rFonts w:hint="default" w:ascii="Times New Roman" w:hAnsi="Times New Roman" w:cs="Times New Roman"/>
                <w:b w:val="0"/>
                <w:color w:val="auto"/>
                <w:kern w:val="2"/>
                <w:sz w:val="24"/>
                <w:szCs w:val="24"/>
                <w:lang w:val="en-US" w:eastAsia="zh-CN" w:bidi="ar-SA"/>
              </w:rPr>
              <w:t>进行腌制处理</w:t>
            </w:r>
            <w:r>
              <w:rPr>
                <w:rFonts w:hint="eastAsia" w:ascii="Times New Roman" w:hAnsi="Times New Roman" w:cs="Times New Roman"/>
                <w:b w:val="0"/>
                <w:color w:val="auto"/>
                <w:kern w:val="2"/>
                <w:sz w:val="24"/>
                <w:szCs w:val="24"/>
                <w:lang w:val="en-US" w:eastAsia="zh-CN" w:bidi="ar-SA"/>
              </w:rPr>
              <w:t>，</w:t>
            </w:r>
            <w:r>
              <w:rPr>
                <w:rFonts w:hint="eastAsia" w:hAnsi="宋体" w:cs="Times New Roman"/>
                <w:color w:val="auto"/>
                <w:sz w:val="24"/>
                <w:szCs w:val="24"/>
                <w:highlight w:val="none"/>
                <w:lang w:val="en-US" w:eastAsia="zh-CN"/>
              </w:rPr>
              <w:t>辣椒经过加工成为鲜辣椒，鲜辣椒再经过不同工艺的加工成为辣椒酱或者油辣椒</w:t>
            </w:r>
            <w:r>
              <w:rPr>
                <w:rFonts w:hint="default" w:ascii="Times New Roman" w:hAnsi="Times New Roman" w:cs="Times New Roman"/>
                <w:b w:val="0"/>
                <w:color w:val="auto"/>
                <w:kern w:val="2"/>
                <w:sz w:val="24"/>
                <w:szCs w:val="24"/>
                <w:lang w:val="en-US" w:eastAsia="zh-CN" w:bidi="ar-SA"/>
              </w:rPr>
              <w:t>。</w:t>
            </w:r>
            <w:r>
              <w:rPr>
                <w:rFonts w:hint="default" w:ascii="Times New Roman" w:hAnsi="Times New Roman" w:cs="Times New Roman"/>
                <w:color w:val="auto"/>
                <w:sz w:val="24"/>
                <w:szCs w:val="24"/>
                <w:lang w:val="en-US" w:eastAsia="zh-CN"/>
              </w:rPr>
              <w:t>本工序无污染产生</w:t>
            </w:r>
            <w:r>
              <w:rPr>
                <w:rFonts w:hint="eastAsia" w:ascii="Times New Roman" w:hAnsi="Times New Roman" w:cs="Times New Roman"/>
                <w:color w:val="auto"/>
                <w:sz w:val="24"/>
                <w:szCs w:val="24"/>
                <w:lang w:val="en-US" w:eastAsia="zh-CN"/>
              </w:rPr>
              <w:t>，腌制过程中不产生噪声</w:t>
            </w:r>
            <w:r>
              <w:rPr>
                <w:rFonts w:hint="default" w:ascii="Times New Roman" w:hAnsi="Times New Roman" w:cs="Times New Roman"/>
                <w:color w:val="auto"/>
                <w:sz w:val="24"/>
                <w:szCs w:val="24"/>
                <w:lang w:val="en-US" w:eastAsia="zh-CN"/>
              </w:rPr>
              <w:t>。</w:t>
            </w:r>
          </w:p>
          <w:p w14:paraId="5CB48130">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default" w:ascii="Times New Roman" w:hAnsi="Times New Roman" w:cs="Times New Roman"/>
                <w:color w:val="auto"/>
                <w:sz w:val="24"/>
                <w:szCs w:val="24"/>
                <w:lang w:val="en-US" w:eastAsia="zh-CN"/>
              </w:rPr>
            </w:pPr>
            <w:r>
              <w:rPr>
                <w:rFonts w:hint="eastAsia" w:ascii="Times New Roman" w:hAnsi="Times New Roman" w:cs="Times New Roman"/>
                <w:color w:val="000000"/>
                <w:sz w:val="24"/>
                <w:u w:val="none"/>
                <w:lang w:val="en-US" w:eastAsia="zh-CN"/>
              </w:rPr>
              <w:t>②</w:t>
            </w:r>
            <w:r>
              <w:rPr>
                <w:rFonts w:hint="eastAsia" w:cs="Times New Roman"/>
                <w:color w:val="000000"/>
                <w:sz w:val="24"/>
                <w:u w:val="none"/>
                <w:lang w:val="en-US" w:eastAsia="zh-CN"/>
              </w:rPr>
              <w:t>外袋</w:t>
            </w:r>
            <w:r>
              <w:rPr>
                <w:rFonts w:hint="default" w:ascii="Times New Roman" w:hAnsi="Times New Roman" w:cs="Times New Roman"/>
                <w:color w:val="auto"/>
                <w:sz w:val="24"/>
                <w:szCs w:val="24"/>
                <w:lang w:val="en-US" w:eastAsia="zh-CN"/>
              </w:rPr>
              <w:t>清洗</w:t>
            </w:r>
          </w:p>
          <w:p w14:paraId="532FE0FF">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ascii="Times New Roman" w:hAnsi="宋体" w:cs="Times New Roman"/>
                <w:color w:val="auto"/>
                <w:sz w:val="24"/>
                <w:szCs w:val="24"/>
                <w:lang w:val="en-US" w:eastAsia="zh-CN"/>
              </w:rPr>
              <w:t>内包外包用冷水进行冲洗外</w:t>
            </w:r>
            <w:r>
              <w:rPr>
                <w:rFonts w:hint="eastAsia" w:ascii="Times New Roman" w:hAnsi="宋体" w:cs="Times New Roman"/>
                <w:color w:val="auto"/>
                <w:sz w:val="24"/>
                <w:szCs w:val="24"/>
                <w:highlight w:val="none"/>
                <w:lang w:val="en-US" w:eastAsia="zh-CN"/>
              </w:rPr>
              <w:t>袋，然后放在卡板上</w:t>
            </w:r>
            <w:r>
              <w:rPr>
                <w:rFonts w:hint="eastAsia" w:hAnsi="宋体" w:cs="Times New Roman"/>
                <w:color w:val="auto"/>
                <w:sz w:val="24"/>
                <w:szCs w:val="24"/>
                <w:highlight w:val="none"/>
                <w:lang w:val="en-US" w:eastAsia="zh-CN"/>
              </w:rPr>
              <w:t>，本工序产生清洗废水W3</w:t>
            </w:r>
            <w:r>
              <w:rPr>
                <w:rFonts w:hint="eastAsia" w:ascii="Times New Roman" w:hAnsi="宋体" w:cs="Times New Roman"/>
                <w:color w:val="auto"/>
                <w:sz w:val="24"/>
                <w:szCs w:val="24"/>
                <w:highlight w:val="none"/>
                <w:lang w:val="en-US" w:eastAsia="zh-CN"/>
              </w:rPr>
              <w:t>。</w:t>
            </w:r>
          </w:p>
          <w:p w14:paraId="4670FBDA">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color w:val="000000"/>
                <w:sz w:val="24"/>
                <w:highlight w:val="none"/>
                <w:u w:val="none"/>
                <w:lang w:val="en-US" w:eastAsia="zh-CN"/>
              </w:rPr>
              <w:t>③</w:t>
            </w:r>
            <w:r>
              <w:rPr>
                <w:rFonts w:hint="eastAsia" w:ascii="Times New Roman" w:hAnsi="宋体" w:cs="Times New Roman"/>
                <w:color w:val="auto"/>
                <w:sz w:val="24"/>
                <w:szCs w:val="24"/>
                <w:highlight w:val="none"/>
                <w:lang w:val="en-US" w:eastAsia="zh-CN"/>
              </w:rPr>
              <w:t>挑选</w:t>
            </w:r>
          </w:p>
          <w:p w14:paraId="0CB3DCF9">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hAnsi="宋体" w:cs="Times New Roman"/>
                <w:color w:val="auto"/>
                <w:sz w:val="24"/>
                <w:szCs w:val="24"/>
                <w:highlight w:val="none"/>
                <w:lang w:val="en-US" w:eastAsia="zh-CN"/>
              </w:rPr>
              <w:t>在平面操作台上</w:t>
            </w:r>
            <w:r>
              <w:rPr>
                <w:rFonts w:hint="eastAsia" w:ascii="Times New Roman" w:hAnsi="宋体" w:cs="Times New Roman"/>
                <w:color w:val="auto"/>
                <w:sz w:val="24"/>
                <w:szCs w:val="24"/>
                <w:highlight w:val="none"/>
                <w:lang w:val="en-US" w:eastAsia="zh-CN"/>
              </w:rPr>
              <w:t>挑选</w:t>
            </w:r>
            <w:r>
              <w:rPr>
                <w:rFonts w:hint="eastAsia" w:hAnsi="宋体" w:cs="Times New Roman"/>
                <w:color w:val="auto"/>
                <w:sz w:val="24"/>
                <w:szCs w:val="24"/>
                <w:highlight w:val="none"/>
                <w:lang w:val="en-US" w:eastAsia="zh-CN"/>
              </w:rPr>
              <w:t>腌制粉碎辣椒</w:t>
            </w:r>
            <w:r>
              <w:rPr>
                <w:rFonts w:hint="eastAsia" w:ascii="Times New Roman" w:hAnsi="宋体" w:cs="Times New Roman"/>
                <w:color w:val="auto"/>
                <w:sz w:val="24"/>
                <w:szCs w:val="24"/>
                <w:highlight w:val="none"/>
                <w:lang w:val="en-US" w:eastAsia="zh-CN"/>
              </w:rPr>
              <w:t>中残留辣椒把、帽及辣椒叶</w:t>
            </w:r>
            <w:r>
              <w:rPr>
                <w:rFonts w:hint="eastAsia" w:hAnsi="宋体" w:cs="Times New Roman"/>
                <w:color w:val="auto"/>
                <w:sz w:val="24"/>
                <w:szCs w:val="24"/>
                <w:highlight w:val="none"/>
                <w:lang w:val="en-US" w:eastAsia="zh-CN"/>
              </w:rPr>
              <w:t>，本工序会产生</w:t>
            </w:r>
            <w:r>
              <w:rPr>
                <w:rFonts w:hint="eastAsia" w:ascii="Times New Roman" w:hAnsi="宋体" w:cs="Times New Roman"/>
                <w:color w:val="auto"/>
                <w:sz w:val="24"/>
                <w:szCs w:val="24"/>
                <w:highlight w:val="none"/>
                <w:lang w:val="en-US" w:eastAsia="zh-CN"/>
              </w:rPr>
              <w:t>辣椒把、帽及辣椒叶</w:t>
            </w:r>
            <w:r>
              <w:rPr>
                <w:rFonts w:hint="eastAsia" w:hAnsi="宋体" w:cs="Times New Roman"/>
                <w:color w:val="auto"/>
                <w:sz w:val="24"/>
                <w:szCs w:val="24"/>
                <w:highlight w:val="none"/>
                <w:lang w:val="en-US" w:eastAsia="zh-CN"/>
              </w:rPr>
              <w:t>S4</w:t>
            </w:r>
            <w:r>
              <w:rPr>
                <w:rFonts w:hint="eastAsia" w:ascii="Times New Roman" w:hAnsi="宋体" w:cs="Times New Roman"/>
                <w:color w:val="auto"/>
                <w:sz w:val="24"/>
                <w:szCs w:val="24"/>
                <w:highlight w:val="none"/>
                <w:lang w:val="en-US" w:eastAsia="zh-CN"/>
              </w:rPr>
              <w:t>。</w:t>
            </w:r>
          </w:p>
          <w:p w14:paraId="32BD3F62">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color w:val="000000"/>
                <w:sz w:val="24"/>
                <w:highlight w:val="none"/>
                <w:u w:val="none"/>
                <w:lang w:val="en-US" w:eastAsia="zh-CN"/>
              </w:rPr>
              <w:t>④</w:t>
            </w:r>
            <w:r>
              <w:rPr>
                <w:rFonts w:hint="eastAsia" w:ascii="Times New Roman" w:hAnsi="宋体" w:cs="Times New Roman"/>
                <w:color w:val="auto"/>
                <w:sz w:val="24"/>
                <w:szCs w:val="24"/>
                <w:highlight w:val="none"/>
                <w:lang w:val="en-US" w:eastAsia="zh-CN"/>
              </w:rPr>
              <w:t>搅拌</w:t>
            </w:r>
          </w:p>
          <w:p w14:paraId="3CEA5CA3">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hAnsi="宋体" w:cs="Times New Roman"/>
                <w:color w:val="auto"/>
                <w:sz w:val="24"/>
                <w:szCs w:val="24"/>
                <w:highlight w:val="none"/>
                <w:lang w:val="en-US" w:eastAsia="zh-CN"/>
              </w:rPr>
              <w:t>挑选好的辣椒利用搅拌锅进行</w:t>
            </w:r>
            <w:r>
              <w:rPr>
                <w:rFonts w:hint="eastAsia" w:ascii="Times New Roman" w:hAnsi="宋体" w:cs="Times New Roman"/>
                <w:color w:val="auto"/>
                <w:sz w:val="24"/>
                <w:szCs w:val="24"/>
                <w:highlight w:val="none"/>
                <w:lang w:val="en-US" w:eastAsia="zh-CN"/>
              </w:rPr>
              <w:t>充分搅拌至均匀为止</w:t>
            </w:r>
            <w:r>
              <w:rPr>
                <w:rFonts w:hint="eastAsia" w:hAnsi="宋体" w:cs="Times New Roman"/>
                <w:color w:val="auto"/>
                <w:sz w:val="24"/>
                <w:szCs w:val="24"/>
                <w:highlight w:val="none"/>
                <w:lang w:val="en-US" w:eastAsia="zh-CN"/>
              </w:rPr>
              <w:t>，辣椒经过腌制后辣椒较软再次搅拌会呈现浆糊的状态</w:t>
            </w:r>
            <w:r>
              <w:rPr>
                <w:rFonts w:hint="eastAsia" w:ascii="Times New Roman" w:hAnsi="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本工序</w:t>
            </w:r>
            <w:r>
              <w:rPr>
                <w:rFonts w:hint="eastAsia" w:cs="Times New Roman"/>
                <w:color w:val="auto"/>
                <w:sz w:val="24"/>
                <w:szCs w:val="24"/>
                <w:highlight w:val="none"/>
                <w:lang w:val="en-US" w:eastAsia="zh-CN"/>
              </w:rPr>
              <w:t>只产生生产设备噪声N11</w:t>
            </w:r>
            <w:r>
              <w:rPr>
                <w:rFonts w:hint="default" w:ascii="Times New Roman" w:hAnsi="Times New Roman" w:cs="Times New Roman"/>
                <w:color w:val="auto"/>
                <w:sz w:val="24"/>
                <w:szCs w:val="24"/>
                <w:highlight w:val="none"/>
                <w:lang w:val="en-US" w:eastAsia="zh-CN"/>
              </w:rPr>
              <w:t>。</w:t>
            </w:r>
          </w:p>
          <w:p w14:paraId="70EC673F">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color w:val="000000"/>
                <w:sz w:val="24"/>
                <w:highlight w:val="none"/>
                <w:u w:val="none"/>
                <w:lang w:val="en-US" w:eastAsia="zh-CN"/>
              </w:rPr>
              <w:t>⑤</w:t>
            </w:r>
            <w:r>
              <w:rPr>
                <w:rFonts w:hint="eastAsia" w:ascii="Times New Roman" w:hAnsi="宋体" w:cs="Times New Roman"/>
                <w:color w:val="auto"/>
                <w:sz w:val="24"/>
                <w:szCs w:val="24"/>
                <w:highlight w:val="none"/>
                <w:lang w:val="en-US" w:eastAsia="zh-CN"/>
              </w:rPr>
              <w:t>包装</w:t>
            </w:r>
          </w:p>
          <w:p w14:paraId="57916A3F">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 w:val="0"/>
                <w:color w:val="auto"/>
                <w:kern w:val="2"/>
                <w:sz w:val="24"/>
                <w:szCs w:val="24"/>
                <w:highlight w:val="none"/>
                <w:lang w:val="en-US" w:eastAsia="zh-CN" w:bidi="ar-SA"/>
              </w:rPr>
            </w:pPr>
            <w:r>
              <w:rPr>
                <w:rFonts w:hint="eastAsia" w:ascii="Times New Roman" w:hAnsi="宋体" w:cs="Times New Roman"/>
                <w:color w:val="auto"/>
                <w:sz w:val="24"/>
                <w:szCs w:val="24"/>
                <w:lang w:val="en-US" w:eastAsia="zh-CN"/>
              </w:rPr>
              <w:t>注意包装</w:t>
            </w:r>
            <w:r>
              <w:rPr>
                <w:rFonts w:hint="eastAsia" w:hAnsi="宋体" w:cs="Times New Roman"/>
                <w:color w:val="auto"/>
                <w:sz w:val="24"/>
                <w:szCs w:val="24"/>
                <w:lang w:val="en-US" w:eastAsia="zh-CN"/>
              </w:rPr>
              <w:t>袋杀菌利用蒸汽杀菌</w:t>
            </w:r>
            <w:r>
              <w:rPr>
                <w:rFonts w:hint="eastAsia" w:ascii="Times New Roman" w:hAnsi="宋体" w:cs="Times New Roman"/>
                <w:color w:val="auto"/>
                <w:sz w:val="24"/>
                <w:szCs w:val="24"/>
                <w:lang w:val="en-US" w:eastAsia="zh-CN"/>
              </w:rPr>
              <w:t>，</w:t>
            </w:r>
            <w:r>
              <w:rPr>
                <w:rFonts w:hint="eastAsia" w:cs="Times New Roman"/>
                <w:color w:val="auto"/>
                <w:sz w:val="24"/>
                <w:szCs w:val="24"/>
                <w:lang w:val="en-US" w:eastAsia="zh-CN"/>
              </w:rPr>
              <w:t>要用电子秤重称准确</w:t>
            </w:r>
            <w:r>
              <w:rPr>
                <w:rFonts w:hint="default" w:ascii="Times New Roman" w:hAnsi="Times New Roman" w:cs="Times New Roman"/>
                <w:color w:val="auto"/>
                <w:sz w:val="24"/>
                <w:szCs w:val="24"/>
                <w:lang w:val="en-US" w:eastAsia="zh-CN"/>
              </w:rPr>
              <w:t>称量</w:t>
            </w:r>
            <w:r>
              <w:rPr>
                <w:rFonts w:hint="eastAsia" w:ascii="Times New Roman" w:hAnsi="宋体" w:cs="Times New Roman"/>
                <w:color w:val="auto"/>
                <w:sz w:val="24"/>
                <w:szCs w:val="24"/>
                <w:lang w:val="en-US" w:eastAsia="zh-CN"/>
              </w:rPr>
              <w:t>，</w:t>
            </w:r>
            <w:r>
              <w:rPr>
                <w:rFonts w:hint="eastAsia" w:hAnsi="宋体" w:cs="Times New Roman"/>
                <w:color w:val="auto"/>
                <w:sz w:val="24"/>
                <w:szCs w:val="24"/>
                <w:lang w:val="en-US" w:eastAsia="zh-CN"/>
              </w:rPr>
              <w:t>辣椒酱包装需要密闭封</w:t>
            </w:r>
            <w:r>
              <w:rPr>
                <w:rFonts w:hint="eastAsia" w:hAnsi="宋体" w:cs="Times New Roman"/>
                <w:color w:val="auto"/>
                <w:sz w:val="24"/>
                <w:szCs w:val="24"/>
                <w:highlight w:val="none"/>
                <w:lang w:val="en-US" w:eastAsia="zh-CN"/>
              </w:rPr>
              <w:t>口，封口打包机对包装袋封口时会有少量的废气产生，但产生量较少最终无组织排放。</w:t>
            </w:r>
            <w:r>
              <w:rPr>
                <w:rFonts w:hint="default" w:ascii="Times New Roman" w:hAnsi="Times New Roman" w:cs="Times New Roman"/>
                <w:b w:val="0"/>
                <w:color w:val="auto"/>
                <w:kern w:val="2"/>
                <w:sz w:val="24"/>
                <w:szCs w:val="24"/>
                <w:lang w:val="en-US" w:eastAsia="zh-CN" w:bidi="ar-SA"/>
              </w:rPr>
              <w:t>本工序</w:t>
            </w:r>
            <w:r>
              <w:rPr>
                <w:rFonts w:hint="default" w:ascii="Times New Roman" w:hAnsi="Times New Roman" w:cs="Times New Roman"/>
                <w:b w:val="0"/>
                <w:color w:val="auto"/>
                <w:kern w:val="2"/>
                <w:sz w:val="24"/>
                <w:szCs w:val="24"/>
                <w:highlight w:val="none"/>
                <w:lang w:val="en-US" w:eastAsia="zh-CN" w:bidi="ar-SA"/>
              </w:rPr>
              <w:t>会产生</w:t>
            </w:r>
            <w:r>
              <w:rPr>
                <w:rFonts w:hint="eastAsia" w:ascii="Times New Roman" w:hAnsi="Times New Roman" w:cs="Times New Roman"/>
                <w:color w:val="auto"/>
                <w:sz w:val="24"/>
                <w:szCs w:val="24"/>
                <w:highlight w:val="none"/>
                <w:lang w:val="en-US" w:eastAsia="zh-CN"/>
              </w:rPr>
              <w:t>打包废气G2和打包</w:t>
            </w:r>
            <w:r>
              <w:rPr>
                <w:rFonts w:hint="eastAsia" w:cs="Times New Roman"/>
                <w:color w:val="auto"/>
                <w:sz w:val="24"/>
                <w:szCs w:val="24"/>
                <w:highlight w:val="none"/>
                <w:lang w:val="en-US" w:eastAsia="zh-CN"/>
              </w:rPr>
              <w:t>设备噪声N12</w:t>
            </w:r>
            <w:r>
              <w:rPr>
                <w:rFonts w:hint="default" w:ascii="Times New Roman" w:hAnsi="Times New Roman" w:cs="Times New Roman"/>
                <w:b w:val="0"/>
                <w:color w:val="auto"/>
                <w:kern w:val="2"/>
                <w:sz w:val="24"/>
                <w:szCs w:val="24"/>
                <w:highlight w:val="none"/>
                <w:lang w:val="en-US" w:eastAsia="zh-CN" w:bidi="ar-SA"/>
              </w:rPr>
              <w:t>。</w:t>
            </w:r>
          </w:p>
          <w:p w14:paraId="7ED7715D">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color w:val="000000"/>
                <w:sz w:val="24"/>
                <w:highlight w:val="none"/>
                <w:u w:val="none"/>
                <w:lang w:val="en-US" w:eastAsia="zh-CN"/>
              </w:rPr>
              <w:t>⑥</w:t>
            </w:r>
            <w:r>
              <w:rPr>
                <w:rFonts w:hint="eastAsia" w:ascii="Times New Roman" w:hAnsi="宋体" w:cs="Times New Roman"/>
                <w:color w:val="auto"/>
                <w:sz w:val="24"/>
                <w:szCs w:val="24"/>
                <w:highlight w:val="none"/>
                <w:lang w:val="en-US" w:eastAsia="zh-CN"/>
              </w:rPr>
              <w:t>成品</w:t>
            </w:r>
          </w:p>
          <w:p w14:paraId="44FC5B02">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highlight w:val="none"/>
                <w:u w:val="none"/>
                <w:lang w:val="en-US" w:eastAsia="zh-CN"/>
              </w:rPr>
            </w:pPr>
            <w:r>
              <w:rPr>
                <w:rFonts w:hint="eastAsia" w:hAnsi="宋体" w:cs="Times New Roman"/>
                <w:color w:val="auto"/>
                <w:sz w:val="24"/>
                <w:szCs w:val="24"/>
                <w:highlight w:val="none"/>
                <w:lang w:val="en-US" w:eastAsia="zh-CN"/>
              </w:rPr>
              <w:t>包装好后，辣椒酱需在干燥环境存放</w:t>
            </w:r>
            <w:r>
              <w:rPr>
                <w:rFonts w:hint="eastAsia" w:ascii="Times New Roman" w:hAnsi="宋体" w:cs="Times New Roman"/>
                <w:color w:val="auto"/>
                <w:sz w:val="24"/>
                <w:szCs w:val="24"/>
                <w:highlight w:val="none"/>
                <w:lang w:val="en-US" w:eastAsia="zh-CN"/>
              </w:rPr>
              <w:t>，避免阳光直射，堆码不超过5层</w:t>
            </w:r>
            <w:r>
              <w:rPr>
                <w:rFonts w:hint="eastAsia" w:hAnsi="宋体" w:cs="Times New Roman"/>
                <w:color w:val="auto"/>
                <w:sz w:val="24"/>
                <w:szCs w:val="24"/>
                <w:highlight w:val="none"/>
                <w:lang w:val="en-US" w:eastAsia="zh-CN"/>
              </w:rPr>
              <w:t>，暂存在成库内</w:t>
            </w:r>
            <w:r>
              <w:rPr>
                <w:rFonts w:hint="eastAsia" w:ascii="Times New Roman" w:hAnsi="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本工序无污染产生。</w:t>
            </w:r>
          </w:p>
          <w:p w14:paraId="4D354D51">
            <w:pPr>
              <w:spacing w:line="240" w:lineRule="auto"/>
              <w:ind w:firstLine="0" w:firstLineChars="0"/>
              <w:jc w:val="center"/>
              <w:rPr>
                <w:highlight w:val="none"/>
              </w:rPr>
            </w:pPr>
            <w:r>
              <w:drawing>
                <wp:inline distT="0" distB="0" distL="114300" distR="114300">
                  <wp:extent cx="2580640" cy="3049270"/>
                  <wp:effectExtent l="0" t="0" r="10160" b="139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0"/>
                          <a:stretch>
                            <a:fillRect/>
                          </a:stretch>
                        </pic:blipFill>
                        <pic:spPr>
                          <a:xfrm>
                            <a:off x="0" y="0"/>
                            <a:ext cx="2580640" cy="3049270"/>
                          </a:xfrm>
                          <a:prstGeom prst="rect">
                            <a:avLst/>
                          </a:prstGeom>
                          <a:noFill/>
                          <a:ln>
                            <a:noFill/>
                          </a:ln>
                        </pic:spPr>
                      </pic:pic>
                    </a:graphicData>
                  </a:graphic>
                </wp:inline>
              </w:drawing>
            </w:r>
          </w:p>
          <w:p w14:paraId="4A5411FC">
            <w:pPr>
              <w:keepNext w:val="0"/>
              <w:keepLines w:val="0"/>
              <w:pageBreakBefore w:val="0"/>
              <w:widowControl w:val="0"/>
              <w:kinsoku/>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图</w:t>
            </w:r>
            <w:r>
              <w:rPr>
                <w:rFonts w:hint="eastAsia" w:eastAsia="黑体" w:cs="Times New Roman"/>
                <w:sz w:val="24"/>
                <w:highlight w:val="none"/>
                <w:lang w:val="en-US" w:eastAsia="zh-CN"/>
              </w:rPr>
              <w:t>6</w:t>
            </w:r>
            <w:r>
              <w:rPr>
                <w:rFonts w:hint="default" w:ascii="Times New Roman" w:hAnsi="Times New Roman" w:eastAsia="黑体" w:cs="Times New Roman"/>
                <w:sz w:val="24"/>
                <w:highlight w:val="none"/>
              </w:rPr>
              <w:t xml:space="preserve">  </w:t>
            </w:r>
            <w:r>
              <w:rPr>
                <w:rFonts w:hint="eastAsia" w:eastAsia="黑体" w:cs="Times New Roman"/>
                <w:sz w:val="24"/>
                <w:highlight w:val="none"/>
                <w:lang w:val="en-US" w:eastAsia="zh-CN"/>
              </w:rPr>
              <w:t>辣椒酱</w:t>
            </w:r>
            <w:r>
              <w:rPr>
                <w:rFonts w:hint="default" w:ascii="Times New Roman" w:hAnsi="Times New Roman" w:eastAsia="黑体" w:cs="Times New Roman"/>
                <w:sz w:val="24"/>
                <w:highlight w:val="none"/>
              </w:rPr>
              <w:t>生产线工艺流程图</w:t>
            </w:r>
          </w:p>
          <w:p w14:paraId="2952DE97">
            <w:pPr>
              <w:keepNext w:val="0"/>
              <w:keepLines w:val="0"/>
              <w:pageBreakBefore w:val="0"/>
              <w:widowControl w:val="0"/>
              <w:kinsoku/>
              <w:wordWrap w:val="0"/>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sz w:val="24"/>
                <w:highlight w:val="none"/>
                <w:lang w:val="en-US"/>
              </w:rPr>
            </w:pPr>
            <w:r>
              <w:rPr>
                <w:rFonts w:hint="default" w:ascii="Times New Roman" w:hAnsi="Times New Roman" w:cs="Times New Roman"/>
                <w:sz w:val="24"/>
                <w:highlight w:val="none"/>
                <w:lang w:val="en-US"/>
              </w:rPr>
              <w:t>注：G：废气；W：废水；N：噪声；S：固废</w:t>
            </w:r>
          </w:p>
          <w:p w14:paraId="1E95C3C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highlight w:val="none"/>
                <w:u w:val="none"/>
              </w:rPr>
            </w:pPr>
            <w:r>
              <w:rPr>
                <w:rFonts w:hint="default" w:ascii="Times New Roman" w:hAnsi="Times New Roman" w:cs="Times New Roman"/>
                <w:sz w:val="24"/>
                <w:highlight w:val="none"/>
                <w:u w:val="none"/>
                <w:lang w:val="en-US" w:eastAsia="zh-CN"/>
              </w:rPr>
              <w:t>（</w:t>
            </w:r>
            <w:r>
              <w:rPr>
                <w:rFonts w:hint="eastAsia" w:cs="Times New Roman"/>
                <w:sz w:val="24"/>
                <w:highlight w:val="none"/>
                <w:u w:val="none"/>
                <w:lang w:val="en-US" w:eastAsia="zh-CN"/>
              </w:rPr>
              <w:t>四</w:t>
            </w:r>
            <w:r>
              <w:rPr>
                <w:rFonts w:hint="default" w:ascii="Times New Roman" w:hAnsi="Times New Roman" w:cs="Times New Roman"/>
                <w:sz w:val="24"/>
                <w:highlight w:val="none"/>
                <w:u w:val="none"/>
                <w:lang w:val="en-US" w:eastAsia="zh-CN"/>
              </w:rPr>
              <w:t>）</w:t>
            </w:r>
            <w:r>
              <w:rPr>
                <w:rFonts w:hint="eastAsia" w:cs="Times New Roman"/>
                <w:sz w:val="24"/>
                <w:highlight w:val="none"/>
                <w:u w:val="none"/>
                <w:lang w:val="en-US" w:eastAsia="zh-CN"/>
              </w:rPr>
              <w:t>油辣椒（半固态符合调味料）</w:t>
            </w:r>
            <w:r>
              <w:rPr>
                <w:rFonts w:hint="default" w:ascii="Times New Roman" w:hAnsi="Times New Roman" w:cs="Times New Roman"/>
                <w:sz w:val="24"/>
                <w:highlight w:val="none"/>
                <w:u w:val="none"/>
              </w:rPr>
              <w:t>生产线工艺流程：</w:t>
            </w:r>
          </w:p>
          <w:p w14:paraId="5B9CB400">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0"/>
              <w:rPr>
                <w:rFonts w:hint="eastAsia" w:ascii="Times New Roman" w:hAnsi="宋体" w:cs="Times New Roman"/>
                <w:color w:val="auto"/>
                <w:sz w:val="24"/>
                <w:szCs w:val="24"/>
                <w:highlight w:val="none"/>
                <w:lang w:val="en-US" w:eastAsia="zh-CN"/>
              </w:rPr>
            </w:pPr>
            <w:r>
              <w:rPr>
                <w:rFonts w:hint="default" w:ascii="Times New Roman" w:hAnsi="Times New Roman" w:cs="Times New Roman"/>
                <w:color w:val="000000"/>
                <w:sz w:val="24"/>
                <w:highlight w:val="none"/>
                <w:u w:val="none"/>
              </w:rPr>
              <w:fldChar w:fldCharType="begin"/>
            </w:r>
            <w:r>
              <w:rPr>
                <w:rFonts w:hint="default" w:ascii="Times New Roman" w:hAnsi="Times New Roman" w:cs="Times New Roman"/>
                <w:color w:val="000000"/>
                <w:sz w:val="24"/>
                <w:highlight w:val="none"/>
                <w:u w:val="none"/>
              </w:rPr>
              <w:instrText xml:space="preserve"> = 1 \* GB3 </w:instrText>
            </w:r>
            <w:r>
              <w:rPr>
                <w:rFonts w:hint="default" w:ascii="Times New Roman" w:hAnsi="Times New Roman" w:cs="Times New Roman"/>
                <w:color w:val="000000"/>
                <w:sz w:val="24"/>
                <w:highlight w:val="none"/>
                <w:u w:val="none"/>
              </w:rPr>
              <w:fldChar w:fldCharType="separate"/>
            </w:r>
            <w:r>
              <w:rPr>
                <w:rFonts w:hint="default" w:ascii="Times New Roman" w:hAnsi="Times New Roman" w:cs="Times New Roman"/>
                <w:color w:val="000000"/>
                <w:sz w:val="24"/>
                <w:highlight w:val="none"/>
                <w:u w:val="none"/>
              </w:rPr>
              <w:t>①</w:t>
            </w:r>
            <w:r>
              <w:rPr>
                <w:rFonts w:hint="default" w:ascii="Times New Roman" w:hAnsi="Times New Roman" w:cs="Times New Roman"/>
                <w:color w:val="000000"/>
                <w:sz w:val="24"/>
                <w:highlight w:val="none"/>
                <w:u w:val="none"/>
              </w:rPr>
              <w:fldChar w:fldCharType="end"/>
            </w:r>
            <w:r>
              <w:rPr>
                <w:rFonts w:hint="eastAsia" w:cs="Times New Roman"/>
                <w:color w:val="000000"/>
                <w:sz w:val="24"/>
                <w:highlight w:val="none"/>
                <w:u w:val="none"/>
                <w:lang w:val="en-US" w:eastAsia="zh-CN"/>
              </w:rPr>
              <w:t>鲜辣椒</w:t>
            </w:r>
            <w:r>
              <w:rPr>
                <w:rFonts w:hint="eastAsia" w:ascii="Times New Roman" w:hAnsi="宋体" w:cs="Times New Roman"/>
                <w:color w:val="auto"/>
                <w:sz w:val="24"/>
                <w:szCs w:val="24"/>
                <w:highlight w:val="none"/>
                <w:lang w:val="en-US" w:eastAsia="zh-CN"/>
              </w:rPr>
              <w:t>原料</w:t>
            </w:r>
          </w:p>
          <w:p w14:paraId="7DEC7FC1">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hAnsi="宋体" w:cs="Times New Roman"/>
                <w:color w:val="auto"/>
                <w:sz w:val="24"/>
                <w:szCs w:val="24"/>
                <w:highlight w:val="none"/>
                <w:lang w:val="en-US" w:eastAsia="zh-CN"/>
              </w:rPr>
              <w:t>原料为先前已处理过的鲜辣椒为油辣椒的制作原料，辣椒经过加工成为鲜辣椒，鲜辣椒再经过不同工艺的加工成为辣椒酱或者油辣椒</w:t>
            </w:r>
            <w:r>
              <w:rPr>
                <w:rFonts w:hint="eastAsia" w:ascii="Times New Roman" w:hAnsi="宋体" w:cs="Times New Roman"/>
                <w:color w:val="auto"/>
                <w:sz w:val="24"/>
                <w:szCs w:val="24"/>
                <w:highlight w:val="none"/>
                <w:lang w:val="en-US" w:eastAsia="zh-CN"/>
              </w:rPr>
              <w:t>。</w:t>
            </w:r>
          </w:p>
          <w:p w14:paraId="149FEA11">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default" w:ascii="Times New Roman" w:hAnsi="Times New Roman" w:cs="Times New Roman"/>
                <w:color w:val="000000"/>
                <w:sz w:val="24"/>
                <w:highlight w:val="none"/>
                <w:u w:val="none"/>
              </w:rPr>
              <w:t>②</w:t>
            </w:r>
            <w:r>
              <w:rPr>
                <w:rFonts w:hint="eastAsia" w:ascii="Times New Roman" w:hAnsi="宋体" w:cs="Times New Roman"/>
                <w:color w:val="auto"/>
                <w:sz w:val="24"/>
                <w:szCs w:val="24"/>
                <w:highlight w:val="none"/>
                <w:lang w:val="en-US" w:eastAsia="zh-CN"/>
              </w:rPr>
              <w:t>配料</w:t>
            </w:r>
          </w:p>
          <w:p w14:paraId="4C6740E5">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hAnsi="宋体" w:cs="Times New Roman"/>
                <w:color w:val="auto"/>
                <w:sz w:val="24"/>
                <w:szCs w:val="24"/>
                <w:highlight w:val="none"/>
                <w:lang w:val="en-US" w:eastAsia="zh-CN"/>
              </w:rPr>
              <w:t>鲜辣椒、食用油、食用盐、香辛料</w:t>
            </w:r>
            <w:r>
              <w:rPr>
                <w:rFonts w:hint="eastAsia" w:ascii="Times New Roman" w:hAnsi="宋体" w:cs="Times New Roman"/>
                <w:color w:val="auto"/>
                <w:sz w:val="24"/>
                <w:szCs w:val="24"/>
                <w:highlight w:val="none"/>
                <w:lang w:val="en-US" w:eastAsia="zh-CN"/>
              </w:rPr>
              <w:t>按照配料</w:t>
            </w:r>
            <w:r>
              <w:rPr>
                <w:rFonts w:hint="eastAsia" w:hAnsi="宋体" w:cs="Times New Roman"/>
                <w:color w:val="auto"/>
                <w:sz w:val="24"/>
                <w:szCs w:val="24"/>
                <w:highlight w:val="none"/>
                <w:lang w:val="en-US" w:eastAsia="zh-CN"/>
              </w:rPr>
              <w:t>比例</w:t>
            </w:r>
            <w:r>
              <w:rPr>
                <w:rFonts w:hint="eastAsia" w:ascii="Times New Roman" w:hAnsi="宋体" w:cs="Times New Roman"/>
                <w:color w:val="auto"/>
                <w:sz w:val="24"/>
                <w:szCs w:val="24"/>
                <w:highlight w:val="none"/>
                <w:lang w:val="en-US" w:eastAsia="zh-CN"/>
              </w:rPr>
              <w:t>下料，要</w:t>
            </w:r>
            <w:r>
              <w:rPr>
                <w:rFonts w:hint="eastAsia" w:hAnsi="宋体" w:cs="Times New Roman"/>
                <w:color w:val="auto"/>
                <w:sz w:val="24"/>
                <w:szCs w:val="24"/>
                <w:highlight w:val="none"/>
                <w:lang w:val="en-US" w:eastAsia="zh-CN"/>
              </w:rPr>
              <w:t>使用电子计重秤</w:t>
            </w:r>
            <w:r>
              <w:rPr>
                <w:rFonts w:hint="eastAsia" w:ascii="Times New Roman" w:hAnsi="宋体" w:cs="Times New Roman"/>
                <w:color w:val="auto"/>
                <w:sz w:val="24"/>
                <w:szCs w:val="24"/>
                <w:highlight w:val="none"/>
                <w:lang w:val="en-US" w:eastAsia="zh-CN"/>
              </w:rPr>
              <w:t>准确</w:t>
            </w:r>
            <w:r>
              <w:rPr>
                <w:rFonts w:hint="eastAsia" w:hAnsi="宋体" w:cs="Times New Roman"/>
                <w:color w:val="auto"/>
                <w:sz w:val="24"/>
                <w:szCs w:val="24"/>
                <w:highlight w:val="none"/>
                <w:lang w:val="en-US" w:eastAsia="zh-CN"/>
              </w:rPr>
              <w:t>称量</w:t>
            </w:r>
            <w:r>
              <w:rPr>
                <w:rFonts w:hint="eastAsia" w:ascii="Times New Roman" w:hAnsi="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本工序无污染产生。</w:t>
            </w:r>
          </w:p>
          <w:p w14:paraId="584CD2CF">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color w:val="000000"/>
                <w:sz w:val="24"/>
                <w:highlight w:val="none"/>
                <w:u w:val="none"/>
                <w:lang w:val="en-US" w:eastAsia="zh-CN"/>
              </w:rPr>
              <w:t>③</w:t>
            </w:r>
            <w:r>
              <w:rPr>
                <w:rFonts w:hint="eastAsia" w:ascii="Times New Roman" w:hAnsi="宋体" w:cs="Times New Roman"/>
                <w:color w:val="auto"/>
                <w:sz w:val="24"/>
                <w:szCs w:val="24"/>
                <w:highlight w:val="none"/>
                <w:lang w:val="en-US" w:eastAsia="zh-CN"/>
              </w:rPr>
              <w:t>炒制</w:t>
            </w:r>
          </w:p>
          <w:p w14:paraId="424D168D">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default" w:ascii="Times New Roman" w:hAnsi="宋体" w:cs="Times New Roman"/>
                <w:color w:val="auto"/>
                <w:sz w:val="24"/>
                <w:szCs w:val="24"/>
                <w:highlight w:val="none"/>
                <w:lang w:val="en-US" w:eastAsia="zh-CN"/>
              </w:rPr>
            </w:pPr>
            <w:r>
              <w:rPr>
                <w:rFonts w:hint="eastAsia" w:hAnsi="宋体" w:cs="Times New Roman"/>
                <w:color w:val="auto"/>
                <w:sz w:val="24"/>
                <w:szCs w:val="24"/>
                <w:highlight w:val="none"/>
                <w:lang w:val="en-US" w:eastAsia="zh-CN"/>
              </w:rPr>
              <w:t>配好料的油辣椒利用电炒锅进行炒制，</w:t>
            </w:r>
            <w:r>
              <w:rPr>
                <w:rFonts w:hint="eastAsia" w:ascii="Times New Roman" w:hAnsi="宋体" w:cs="Times New Roman"/>
                <w:color w:val="auto"/>
                <w:sz w:val="24"/>
                <w:szCs w:val="24"/>
                <w:highlight w:val="none"/>
                <w:lang w:val="en-US" w:eastAsia="zh-CN"/>
              </w:rPr>
              <w:t>炒制时间</w:t>
            </w:r>
            <w:r>
              <w:rPr>
                <w:rFonts w:hint="eastAsia" w:hAnsi="宋体" w:cs="Times New Roman"/>
                <w:color w:val="auto"/>
                <w:sz w:val="24"/>
                <w:szCs w:val="24"/>
                <w:highlight w:val="none"/>
                <w:lang w:val="en-US" w:eastAsia="zh-CN"/>
              </w:rPr>
              <w:t>：</w:t>
            </w:r>
            <w:r>
              <w:rPr>
                <w:rFonts w:hint="eastAsia" w:ascii="Times New Roman" w:hAnsi="宋体" w:cs="Times New Roman"/>
                <w:color w:val="auto"/>
                <w:sz w:val="24"/>
                <w:szCs w:val="24"/>
                <w:highlight w:val="none"/>
                <w:lang w:val="en-US" w:eastAsia="zh-CN"/>
              </w:rPr>
              <w:t>40-60分钟，炒制温度</w:t>
            </w:r>
            <w:r>
              <w:rPr>
                <w:rFonts w:hint="eastAsia" w:hAnsi="宋体" w:cs="Times New Roman"/>
                <w:color w:val="auto"/>
                <w:sz w:val="24"/>
                <w:szCs w:val="24"/>
                <w:highlight w:val="none"/>
                <w:lang w:val="en-US" w:eastAsia="zh-CN"/>
              </w:rPr>
              <w:t>：</w:t>
            </w:r>
            <w:r>
              <w:rPr>
                <w:rFonts w:hint="eastAsia" w:ascii="Times New Roman" w:hAnsi="宋体" w:cs="Times New Roman"/>
                <w:color w:val="auto"/>
                <w:sz w:val="24"/>
                <w:szCs w:val="24"/>
                <w:highlight w:val="none"/>
                <w:lang w:val="en-US" w:eastAsia="zh-CN"/>
              </w:rPr>
              <w:t>100℃-120℃</w:t>
            </w:r>
            <w:r>
              <w:rPr>
                <w:rFonts w:hint="eastAsia" w:hAnsi="宋体" w:cs="Times New Roman"/>
                <w:color w:val="auto"/>
                <w:sz w:val="24"/>
                <w:szCs w:val="24"/>
                <w:highlight w:val="none"/>
                <w:lang w:val="en-US" w:eastAsia="zh-CN"/>
              </w:rPr>
              <w:t>，本工序产生炒制油烟废气G3和</w:t>
            </w:r>
            <w:r>
              <w:rPr>
                <w:rFonts w:hint="eastAsia" w:cs="Times New Roman"/>
                <w:color w:val="auto"/>
                <w:sz w:val="24"/>
                <w:szCs w:val="24"/>
                <w:highlight w:val="none"/>
                <w:lang w:val="en-US" w:eastAsia="zh-CN"/>
              </w:rPr>
              <w:t>生产设备噪声N13</w:t>
            </w:r>
            <w:r>
              <w:rPr>
                <w:rFonts w:hint="eastAsia" w:ascii="Times New Roman" w:hAnsi="宋体" w:cs="Times New Roman"/>
                <w:color w:val="auto"/>
                <w:sz w:val="24"/>
                <w:szCs w:val="24"/>
                <w:highlight w:val="none"/>
                <w:lang w:val="en-US" w:eastAsia="zh-CN"/>
              </w:rPr>
              <w:t>。</w:t>
            </w:r>
          </w:p>
          <w:p w14:paraId="2173E81C">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cs="Times New Roman"/>
                <w:color w:val="000000"/>
                <w:sz w:val="24"/>
                <w:u w:val="none"/>
                <w:lang w:val="en-US" w:eastAsia="zh-CN"/>
              </w:rPr>
              <w:t>④灌</w:t>
            </w:r>
            <w:r>
              <w:rPr>
                <w:rFonts w:hint="eastAsia" w:cs="Times New Roman"/>
                <w:color w:val="000000"/>
                <w:sz w:val="24"/>
                <w:highlight w:val="none"/>
                <w:u w:val="none"/>
                <w:lang w:val="en-US" w:eastAsia="zh-CN"/>
              </w:rPr>
              <w:t>装打包</w:t>
            </w:r>
          </w:p>
          <w:p w14:paraId="5FA08319">
            <w:pPr>
              <w:keepNext w:val="0"/>
              <w:keepLines w:val="0"/>
              <w:pageBreakBefore w:val="0"/>
              <w:widowControl w:val="0"/>
              <w:kinsoku/>
              <w:overflowPunct/>
              <w:topLinePunct w:val="0"/>
              <w:autoSpaceDE/>
              <w:autoSpaceDN/>
              <w:bidi w:val="0"/>
              <w:adjustRightInd/>
              <w:snapToGrid/>
              <w:spacing w:line="500" w:lineRule="exact"/>
              <w:ind w:firstLine="480" w:firstLineChars="200"/>
              <w:textAlignment w:val="auto"/>
              <w:rPr>
                <w:rFonts w:hint="eastAsia" w:ascii="Times New Roman" w:hAnsi="宋体" w:cs="Times New Roman"/>
                <w:color w:val="auto"/>
                <w:sz w:val="24"/>
                <w:szCs w:val="24"/>
                <w:highlight w:val="none"/>
                <w:lang w:val="en-US" w:eastAsia="zh-CN"/>
              </w:rPr>
            </w:pPr>
            <w:r>
              <w:rPr>
                <w:rFonts w:hint="eastAsia" w:cs="Times New Roman"/>
                <w:b w:val="0"/>
                <w:color w:val="auto"/>
                <w:kern w:val="2"/>
                <w:sz w:val="24"/>
                <w:szCs w:val="24"/>
                <w:highlight w:val="none"/>
                <w:lang w:val="en-US" w:eastAsia="zh-CN" w:bidi="ar-SA"/>
              </w:rPr>
              <w:t>打包前的包装瓶在灭菌锅内消毒</w:t>
            </w:r>
            <w:r>
              <w:rPr>
                <w:rFonts w:hint="eastAsia" w:hAnsi="宋体" w:cs="Times New Roman"/>
                <w:color w:val="auto"/>
                <w:sz w:val="24"/>
                <w:szCs w:val="24"/>
                <w:highlight w:val="none"/>
                <w:lang w:val="en-US" w:eastAsia="zh-CN"/>
              </w:rPr>
              <w:t>杀菌（灭菌锅利用蒸汽杀菌）</w:t>
            </w:r>
            <w:r>
              <w:rPr>
                <w:rFonts w:hint="eastAsia" w:ascii="Times New Roman" w:hAnsi="宋体" w:cs="Times New Roman"/>
                <w:color w:val="auto"/>
                <w:sz w:val="24"/>
                <w:szCs w:val="24"/>
                <w:highlight w:val="none"/>
                <w:lang w:val="en-US" w:eastAsia="zh-CN"/>
              </w:rPr>
              <w:t>，控干水分备用</w:t>
            </w:r>
            <w:r>
              <w:rPr>
                <w:rFonts w:hint="eastAsia" w:hAnsi="宋体" w:cs="Times New Roman"/>
                <w:color w:val="auto"/>
                <w:sz w:val="24"/>
                <w:szCs w:val="24"/>
                <w:highlight w:val="none"/>
                <w:lang w:val="en-US" w:eastAsia="zh-CN"/>
              </w:rPr>
              <w:t>，</w:t>
            </w:r>
            <w:r>
              <w:rPr>
                <w:rFonts w:hint="eastAsia" w:ascii="Times New Roman" w:hAnsi="宋体" w:cs="Times New Roman"/>
                <w:color w:val="auto"/>
                <w:sz w:val="24"/>
                <w:szCs w:val="24"/>
                <w:highlight w:val="none"/>
                <w:lang w:val="en-US" w:eastAsia="zh-CN"/>
              </w:rPr>
              <w:t>包装机、包装台与食品接触表面</w:t>
            </w:r>
            <w:r>
              <w:rPr>
                <w:rFonts w:hint="eastAsia" w:hAnsi="宋体" w:cs="Times New Roman"/>
                <w:color w:val="auto"/>
                <w:sz w:val="24"/>
                <w:szCs w:val="24"/>
                <w:highlight w:val="none"/>
                <w:lang w:val="en-US" w:eastAsia="zh-CN"/>
              </w:rPr>
              <w:t>保持干净整洁，最终成品暂存成品库或由订货方拉走。</w:t>
            </w:r>
            <w:r>
              <w:rPr>
                <w:rFonts w:hint="default" w:ascii="Times New Roman" w:hAnsi="Times New Roman" w:cs="Times New Roman"/>
                <w:color w:val="auto"/>
                <w:sz w:val="24"/>
                <w:szCs w:val="24"/>
                <w:highlight w:val="none"/>
                <w:lang w:val="en-US" w:eastAsia="zh-CN"/>
              </w:rPr>
              <w:t>本工序</w:t>
            </w:r>
            <w:r>
              <w:rPr>
                <w:rFonts w:hint="eastAsia" w:cs="Times New Roman"/>
                <w:color w:val="auto"/>
                <w:sz w:val="24"/>
                <w:szCs w:val="24"/>
                <w:highlight w:val="none"/>
                <w:lang w:val="en-US" w:eastAsia="zh-CN"/>
              </w:rPr>
              <w:t>只产生打包设备噪声N14</w:t>
            </w:r>
            <w:r>
              <w:rPr>
                <w:rFonts w:hint="default" w:ascii="Times New Roman" w:hAnsi="Times New Roman" w:cs="Times New Roman"/>
                <w:color w:val="auto"/>
                <w:sz w:val="24"/>
                <w:szCs w:val="24"/>
                <w:highlight w:val="none"/>
                <w:lang w:val="en-US" w:eastAsia="zh-CN"/>
              </w:rPr>
              <w:t>。</w:t>
            </w:r>
          </w:p>
          <w:p w14:paraId="2E771EBC">
            <w:pPr>
              <w:keepNext w:val="0"/>
              <w:keepLines w:val="0"/>
              <w:pageBreakBefore w:val="0"/>
              <w:widowControl w:val="0"/>
              <w:kinsoku/>
              <w:overflowPunct/>
              <w:topLinePunct w:val="0"/>
              <w:autoSpaceDE/>
              <w:autoSpaceDN/>
              <w:bidi w:val="0"/>
              <w:adjustRightInd/>
              <w:snapToGrid/>
              <w:spacing w:line="240" w:lineRule="auto"/>
              <w:ind w:firstLine="420" w:firstLineChars="200"/>
              <w:jc w:val="center"/>
              <w:textAlignment w:val="auto"/>
            </w:pPr>
            <w:r>
              <w:drawing>
                <wp:inline distT="0" distB="0" distL="114300" distR="114300">
                  <wp:extent cx="2887345" cy="191770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1"/>
                          <a:srcRect t="6211"/>
                          <a:stretch>
                            <a:fillRect/>
                          </a:stretch>
                        </pic:blipFill>
                        <pic:spPr>
                          <a:xfrm>
                            <a:off x="0" y="0"/>
                            <a:ext cx="2887345" cy="1917700"/>
                          </a:xfrm>
                          <a:prstGeom prst="rect">
                            <a:avLst/>
                          </a:prstGeom>
                          <a:noFill/>
                          <a:ln>
                            <a:noFill/>
                          </a:ln>
                        </pic:spPr>
                      </pic:pic>
                    </a:graphicData>
                  </a:graphic>
                </wp:inline>
              </w:drawing>
            </w:r>
          </w:p>
          <w:p w14:paraId="41A7000C">
            <w:pPr>
              <w:keepNext w:val="0"/>
              <w:keepLines w:val="0"/>
              <w:pageBreakBefore w:val="0"/>
              <w:widowControl w:val="0"/>
              <w:kinsoku/>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sz w:val="24"/>
              </w:rPr>
            </w:pPr>
            <w:r>
              <w:rPr>
                <w:rFonts w:hint="default" w:ascii="Times New Roman" w:hAnsi="Times New Roman" w:eastAsia="黑体" w:cs="Times New Roman"/>
                <w:sz w:val="24"/>
              </w:rPr>
              <w:t>图</w:t>
            </w:r>
            <w:r>
              <w:rPr>
                <w:rFonts w:hint="eastAsia" w:eastAsia="黑体" w:cs="Times New Roman"/>
                <w:sz w:val="24"/>
                <w:lang w:val="en-US" w:eastAsia="zh-CN"/>
              </w:rPr>
              <w:t>6</w:t>
            </w:r>
            <w:r>
              <w:rPr>
                <w:rFonts w:hint="default" w:ascii="Times New Roman" w:hAnsi="Times New Roman" w:eastAsia="黑体" w:cs="Times New Roman"/>
                <w:sz w:val="24"/>
              </w:rPr>
              <w:t xml:space="preserve">  </w:t>
            </w:r>
            <w:r>
              <w:rPr>
                <w:rFonts w:hint="eastAsia" w:eastAsia="黑体" w:cs="Times New Roman"/>
                <w:sz w:val="24"/>
                <w:lang w:val="en-US" w:eastAsia="zh-CN"/>
              </w:rPr>
              <w:t>辣椒酱</w:t>
            </w:r>
            <w:r>
              <w:rPr>
                <w:rFonts w:hint="default" w:ascii="Times New Roman" w:hAnsi="Times New Roman" w:eastAsia="黑体" w:cs="Times New Roman"/>
                <w:sz w:val="24"/>
              </w:rPr>
              <w:t>生产线工艺流程图</w:t>
            </w:r>
          </w:p>
          <w:p w14:paraId="66981D55">
            <w:pPr>
              <w:keepNext w:val="0"/>
              <w:keepLines w:val="0"/>
              <w:pageBreakBefore w:val="0"/>
              <w:widowControl w:val="0"/>
              <w:kinsoku/>
              <w:wordWrap w:val="0"/>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sz w:val="24"/>
                <w:lang w:val="en-US"/>
              </w:rPr>
            </w:pPr>
            <w:r>
              <w:rPr>
                <w:rFonts w:hint="default" w:ascii="Times New Roman" w:hAnsi="Times New Roman" w:cs="Times New Roman"/>
                <w:sz w:val="24"/>
                <w:lang w:val="en-US"/>
              </w:rPr>
              <w:t>注：G：废气；W：废水；N：噪声；S：固废</w:t>
            </w:r>
          </w:p>
          <w:p w14:paraId="0A9E06F6">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b/>
                <w:bCs/>
              </w:rPr>
            </w:pPr>
            <w:r>
              <w:rPr>
                <w:rFonts w:hint="eastAsia" w:hAnsi="Times New Roman" w:cs="Times New Roman"/>
                <w:b/>
                <w:bCs/>
                <w:lang w:val="en-US" w:eastAsia="zh-CN"/>
              </w:rPr>
              <w:t>1.4</w:t>
            </w:r>
            <w:r>
              <w:rPr>
                <w:rFonts w:hint="default" w:ascii="Times New Roman" w:hAnsi="Times New Roman" w:cs="Times New Roman"/>
                <w:b/>
                <w:bCs/>
                <w:lang w:val="en-US" w:eastAsia="zh-CN"/>
              </w:rPr>
              <w:t>运营期</w:t>
            </w:r>
            <w:r>
              <w:rPr>
                <w:rFonts w:hint="default" w:ascii="Times New Roman" w:hAnsi="Times New Roman" w:cs="Times New Roman"/>
                <w:b/>
                <w:bCs/>
              </w:rPr>
              <w:t>产污环节汇总</w:t>
            </w:r>
          </w:p>
          <w:p w14:paraId="0562A7B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本项目生产</w:t>
            </w:r>
            <w:r>
              <w:rPr>
                <w:rFonts w:hint="default" w:ascii="Times New Roman" w:hAnsi="Times New Roman" w:cs="Times New Roman"/>
                <w:sz w:val="24"/>
                <w:lang w:eastAsia="zh-CN"/>
              </w:rPr>
              <w:t>及运营</w:t>
            </w:r>
            <w:r>
              <w:rPr>
                <w:rFonts w:hint="default" w:ascii="Times New Roman" w:hAnsi="Times New Roman" w:cs="Times New Roman"/>
                <w:sz w:val="24"/>
              </w:rPr>
              <w:t>过程中产污环节见表</w:t>
            </w:r>
            <w:r>
              <w:rPr>
                <w:rFonts w:hint="eastAsia" w:cs="Times New Roman"/>
                <w:sz w:val="24"/>
                <w:lang w:val="en-US" w:eastAsia="zh-CN"/>
              </w:rPr>
              <w:t>2-6</w:t>
            </w:r>
            <w:r>
              <w:rPr>
                <w:rFonts w:hint="default" w:ascii="Times New Roman" w:hAnsi="Times New Roman" w:cs="Times New Roman"/>
                <w:sz w:val="24"/>
              </w:rPr>
              <w:t>。</w:t>
            </w:r>
          </w:p>
          <w:p w14:paraId="72E58659">
            <w:pPr>
              <w:keepNext w:val="0"/>
              <w:keepLines w:val="0"/>
              <w:pageBreakBefore w:val="0"/>
              <w:widowControl w:val="0"/>
              <w:kinsoku/>
              <w:wordWrap/>
              <w:overflowPunct/>
              <w:topLinePunct w:val="0"/>
              <w:autoSpaceDE/>
              <w:autoSpaceDN/>
              <w:bidi w:val="0"/>
              <w:adjustRightInd/>
              <w:snapToGrid/>
              <w:spacing w:line="500" w:lineRule="exact"/>
              <w:ind w:firstLine="480"/>
              <w:jc w:val="center"/>
              <w:textAlignment w:val="auto"/>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eastAsia="黑体" w:cs="Times New Roman"/>
                <w:sz w:val="24"/>
                <w:lang w:val="en-US" w:eastAsia="zh-CN"/>
              </w:rPr>
              <w:t>2-6</w:t>
            </w:r>
            <w:r>
              <w:rPr>
                <w:rFonts w:hint="default" w:ascii="Times New Roman" w:hAnsi="Times New Roman" w:eastAsia="黑体" w:cs="Times New Roman"/>
                <w:sz w:val="24"/>
              </w:rPr>
              <w:t xml:space="preserve">  本项目生产</w:t>
            </w:r>
            <w:r>
              <w:rPr>
                <w:rFonts w:hint="default" w:ascii="Times New Roman" w:hAnsi="Times New Roman" w:eastAsia="黑体" w:cs="Times New Roman"/>
                <w:sz w:val="24"/>
                <w:lang w:eastAsia="zh-CN"/>
              </w:rPr>
              <w:t>及运营</w:t>
            </w:r>
            <w:r>
              <w:rPr>
                <w:rFonts w:hint="default" w:ascii="Times New Roman" w:hAnsi="Times New Roman" w:eastAsia="黑体" w:cs="Times New Roman"/>
                <w:sz w:val="24"/>
              </w:rPr>
              <w:t>过程产污环节一览表</w:t>
            </w:r>
          </w:p>
          <w:tbl>
            <w:tblPr>
              <w:tblStyle w:val="21"/>
              <w:tblW w:w="5056"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726"/>
              <w:gridCol w:w="1116"/>
              <w:gridCol w:w="852"/>
              <w:gridCol w:w="5403"/>
            </w:tblGrid>
            <w:tr w14:paraId="36C7EB1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tcBorders>
                    <w:tl2br w:val="nil"/>
                    <w:tr2bl w:val="nil"/>
                  </w:tcBorders>
                  <w:noWrap w:val="0"/>
                  <w:vAlign w:val="center"/>
                </w:tcPr>
                <w:p w14:paraId="1CE155C0">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类别</w:t>
                  </w:r>
                </w:p>
              </w:tc>
              <w:tc>
                <w:tcPr>
                  <w:tcW w:w="689" w:type="pct"/>
                  <w:tcBorders>
                    <w:tl2br w:val="nil"/>
                    <w:tr2bl w:val="nil"/>
                  </w:tcBorders>
                  <w:noWrap w:val="0"/>
                  <w:vAlign w:val="center"/>
                </w:tcPr>
                <w:p w14:paraId="0BE82576">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b/>
                      <w:bCs/>
                      <w:color w:val="000000"/>
                      <w:szCs w:val="21"/>
                      <w:lang w:val="en-US" w:eastAsia="zh-CN"/>
                    </w:rPr>
                  </w:pPr>
                  <w:r>
                    <w:rPr>
                      <w:rFonts w:hint="default" w:ascii="Times New Roman" w:hAnsi="Times New Roman" w:cs="Times New Roman"/>
                      <w:b/>
                      <w:bCs/>
                      <w:color w:val="000000"/>
                      <w:szCs w:val="21"/>
                      <w:lang w:val="en-US" w:eastAsia="zh-CN"/>
                    </w:rPr>
                    <w:t>产污环节</w:t>
                  </w:r>
                </w:p>
              </w:tc>
              <w:tc>
                <w:tcPr>
                  <w:tcW w:w="526" w:type="pct"/>
                  <w:tcBorders>
                    <w:tl2br w:val="nil"/>
                    <w:tr2bl w:val="nil"/>
                  </w:tcBorders>
                  <w:noWrap w:val="0"/>
                  <w:vAlign w:val="center"/>
                </w:tcPr>
                <w:p w14:paraId="1772121B">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污染物</w:t>
                  </w:r>
                </w:p>
              </w:tc>
              <w:tc>
                <w:tcPr>
                  <w:tcW w:w="3336" w:type="pct"/>
                  <w:tcBorders>
                    <w:tl2br w:val="nil"/>
                    <w:tr2bl w:val="nil"/>
                  </w:tcBorders>
                  <w:noWrap w:val="0"/>
                  <w:vAlign w:val="center"/>
                </w:tcPr>
                <w:p w14:paraId="0F28100F">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防治措施</w:t>
                  </w:r>
                </w:p>
              </w:tc>
            </w:tr>
            <w:tr w14:paraId="5750507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448" w:type="pct"/>
                  <w:vMerge w:val="restart"/>
                  <w:tcBorders>
                    <w:tl2br w:val="nil"/>
                    <w:tr2bl w:val="nil"/>
                  </w:tcBorders>
                  <w:noWrap w:val="0"/>
                  <w:vAlign w:val="center"/>
                </w:tcPr>
                <w:p w14:paraId="05BEC1EC">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有组织废气</w:t>
                  </w:r>
                </w:p>
              </w:tc>
              <w:tc>
                <w:tcPr>
                  <w:tcW w:w="689" w:type="pct"/>
                  <w:tcBorders>
                    <w:tl2br w:val="nil"/>
                    <w:tr2bl w:val="nil"/>
                  </w:tcBorders>
                  <w:noWrap w:val="0"/>
                  <w:vAlign w:val="center"/>
                </w:tcPr>
                <w:p w14:paraId="63100201">
                  <w:pPr>
                    <w:keepNext w:val="0"/>
                    <w:keepLines w:val="0"/>
                    <w:pageBreakBefore w:val="0"/>
                    <w:widowControl w:val="0"/>
                    <w:kinsoku/>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油辣椒</w:t>
                  </w:r>
                </w:p>
                <w:p w14:paraId="76C8F0AB">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炒制</w:t>
                  </w:r>
                </w:p>
              </w:tc>
              <w:tc>
                <w:tcPr>
                  <w:tcW w:w="526" w:type="pct"/>
                  <w:tcBorders>
                    <w:tl2br w:val="nil"/>
                    <w:tr2bl w:val="nil"/>
                  </w:tcBorders>
                  <w:noWrap w:val="0"/>
                  <w:vAlign w:val="center"/>
                </w:tcPr>
                <w:p w14:paraId="0C9F800B">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油烟</w:t>
                  </w:r>
                </w:p>
              </w:tc>
              <w:tc>
                <w:tcPr>
                  <w:tcW w:w="3336" w:type="pct"/>
                  <w:tcBorders>
                    <w:tl2br w:val="nil"/>
                    <w:tr2bl w:val="nil"/>
                  </w:tcBorders>
                  <w:noWrap w:val="0"/>
                  <w:vAlign w:val="center"/>
                </w:tcPr>
                <w:p w14:paraId="270EE305">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lang w:val="en-US" w:eastAsia="zh-CN"/>
                    </w:rPr>
                  </w:pPr>
                  <w:r>
                    <w:rPr>
                      <w:rFonts w:hint="eastAsia" w:cs="Times New Roman"/>
                      <w:highlight w:val="none"/>
                      <w:lang w:val="en-US" w:eastAsia="zh-CN"/>
                    </w:rPr>
                    <w:t>油辣椒炒制工序产生的油烟通过油烟净化器处理后</w:t>
                  </w:r>
                  <w:r>
                    <w:rPr>
                      <w:rFonts w:hint="default" w:ascii="Times New Roman" w:hAnsi="Times New Roman" w:cs="Times New Roman"/>
                      <w:color w:val="000000"/>
                      <w:szCs w:val="21"/>
                      <w:highlight w:val="none"/>
                      <w:lang w:val="en-US" w:eastAsia="zh-CN"/>
                    </w:rPr>
                    <w:t>通过15m高的排气筒达标排放</w:t>
                  </w:r>
                  <w:r>
                    <w:rPr>
                      <w:rFonts w:hint="default" w:ascii="Times New Roman" w:hAnsi="Times New Roman" w:cs="Times New Roman"/>
                      <w:color w:val="000000"/>
                      <w:szCs w:val="21"/>
                      <w:highlight w:val="none"/>
                    </w:rPr>
                    <w:t>（DA00</w:t>
                  </w:r>
                  <w:r>
                    <w:rPr>
                      <w:rFonts w:hint="default"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w:t>
                  </w:r>
                </w:p>
              </w:tc>
            </w:tr>
            <w:tr w14:paraId="680A490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8" w:type="pct"/>
                  <w:vMerge w:val="continue"/>
                  <w:tcBorders>
                    <w:tl2br w:val="nil"/>
                    <w:tr2bl w:val="nil"/>
                  </w:tcBorders>
                  <w:noWrap w:val="0"/>
                  <w:vAlign w:val="center"/>
                </w:tcPr>
                <w:p w14:paraId="2806CA23">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12B38214">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蒸汽锅炉</w:t>
                  </w:r>
                </w:p>
              </w:tc>
              <w:tc>
                <w:tcPr>
                  <w:tcW w:w="526" w:type="pct"/>
                  <w:tcBorders>
                    <w:tl2br w:val="nil"/>
                    <w:tr2bl w:val="nil"/>
                  </w:tcBorders>
                  <w:noWrap w:val="0"/>
                  <w:vAlign w:val="center"/>
                </w:tcPr>
                <w:p w14:paraId="1F930F52">
                  <w:pPr>
                    <w:keepNext w:val="0"/>
                    <w:keepLines w:val="0"/>
                    <w:pageBreakBefore w:val="0"/>
                    <w:widowControl w:val="0"/>
                    <w:kinsoku/>
                    <w:overflowPunct/>
                    <w:topLinePunct w:val="0"/>
                    <w:autoSpaceDE/>
                    <w:autoSpaceDN/>
                    <w:bidi w:val="0"/>
                    <w:jc w:val="center"/>
                    <w:textAlignment w:val="auto"/>
                    <w:rPr>
                      <w:rFonts w:hint="eastAsia"/>
                      <w:color w:val="auto"/>
                      <w:szCs w:val="21"/>
                      <w:lang w:val="en-US" w:eastAsia="zh-CN"/>
                    </w:rPr>
                  </w:pPr>
                  <w:r>
                    <w:rPr>
                      <w:rFonts w:hint="eastAsia"/>
                      <w:color w:val="auto"/>
                      <w:szCs w:val="21"/>
                      <w:lang w:val="en-US" w:eastAsia="zh-CN"/>
                    </w:rPr>
                    <w:t>烟尘</w:t>
                  </w:r>
                </w:p>
                <w:p w14:paraId="4C395F09">
                  <w:pPr>
                    <w:keepNext w:val="0"/>
                    <w:keepLines w:val="0"/>
                    <w:pageBreakBefore w:val="0"/>
                    <w:widowControl w:val="0"/>
                    <w:kinsoku/>
                    <w:overflowPunct/>
                    <w:topLinePunct w:val="0"/>
                    <w:autoSpaceDE/>
                    <w:autoSpaceDN/>
                    <w:bidi w:val="0"/>
                    <w:jc w:val="center"/>
                    <w:textAlignment w:val="auto"/>
                    <w:rPr>
                      <w:rFonts w:hint="eastAsia"/>
                      <w:color w:val="auto"/>
                      <w:szCs w:val="21"/>
                      <w:vertAlign w:val="subscript"/>
                      <w:lang w:val="en-US" w:eastAsia="zh-CN"/>
                    </w:rPr>
                  </w:pPr>
                  <w:r>
                    <w:rPr>
                      <w:rFonts w:hint="eastAsia"/>
                      <w:color w:val="auto"/>
                      <w:szCs w:val="21"/>
                      <w:lang w:val="en-US" w:eastAsia="zh-CN"/>
                    </w:rPr>
                    <w:t>SO</w:t>
                  </w:r>
                  <w:r>
                    <w:rPr>
                      <w:rFonts w:hint="eastAsia"/>
                      <w:color w:val="auto"/>
                      <w:szCs w:val="21"/>
                      <w:vertAlign w:val="subscript"/>
                      <w:lang w:val="en-US" w:eastAsia="zh-CN"/>
                    </w:rPr>
                    <w:t>2</w:t>
                  </w:r>
                </w:p>
                <w:p w14:paraId="2EA070DC">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r>
                    <w:rPr>
                      <w:rFonts w:hint="eastAsia"/>
                      <w:color w:val="auto"/>
                      <w:szCs w:val="21"/>
                      <w:lang w:val="en-US" w:eastAsia="zh-CN"/>
                    </w:rPr>
                    <w:t>NO</w:t>
                  </w:r>
                  <w:r>
                    <w:rPr>
                      <w:rFonts w:hint="eastAsia"/>
                      <w:color w:val="auto"/>
                      <w:szCs w:val="21"/>
                      <w:vertAlign w:val="subscript"/>
                      <w:lang w:val="en-US" w:eastAsia="zh-CN"/>
                    </w:rPr>
                    <w:t>X</w:t>
                  </w:r>
                </w:p>
              </w:tc>
              <w:tc>
                <w:tcPr>
                  <w:tcW w:w="3336" w:type="pct"/>
                  <w:tcBorders>
                    <w:tl2br w:val="nil"/>
                    <w:tr2bl w:val="nil"/>
                  </w:tcBorders>
                  <w:noWrap w:val="0"/>
                  <w:vAlign w:val="center"/>
                </w:tcPr>
                <w:p w14:paraId="56163312">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szCs w:val="21"/>
                      <w:lang w:val="en-US" w:eastAsia="zh-CN"/>
                    </w:rPr>
                  </w:pPr>
                  <w:r>
                    <w:rPr>
                      <w:rFonts w:hint="eastAsia" w:cs="Times New Roman"/>
                      <w:highlight w:val="none"/>
                      <w:lang w:val="en-US" w:eastAsia="zh-CN"/>
                    </w:rPr>
                    <w:t>天然气锅炉设置低氮燃烧装置处理，处理后</w:t>
                  </w:r>
                  <w:r>
                    <w:rPr>
                      <w:rFonts w:hint="default" w:ascii="Times New Roman" w:hAnsi="Times New Roman" w:cs="Times New Roman"/>
                      <w:color w:val="000000"/>
                      <w:szCs w:val="21"/>
                      <w:highlight w:val="none"/>
                      <w:lang w:val="en-US" w:eastAsia="zh-CN"/>
                    </w:rPr>
                    <w:t>通过</w:t>
                  </w:r>
                  <w:r>
                    <w:rPr>
                      <w:rFonts w:hint="eastAsia" w:cs="Times New Roman"/>
                      <w:color w:val="000000"/>
                      <w:szCs w:val="21"/>
                      <w:highlight w:val="none"/>
                      <w:lang w:val="en-US" w:eastAsia="zh-CN"/>
                    </w:rPr>
                    <w:t>8</w:t>
                  </w:r>
                  <w:r>
                    <w:rPr>
                      <w:rFonts w:hint="default" w:ascii="Times New Roman" w:hAnsi="Times New Roman" w:cs="Times New Roman"/>
                      <w:color w:val="000000"/>
                      <w:szCs w:val="21"/>
                      <w:highlight w:val="none"/>
                      <w:lang w:val="en-US" w:eastAsia="zh-CN"/>
                    </w:rPr>
                    <w:t>m高的排气筒达标排放</w:t>
                  </w:r>
                  <w:r>
                    <w:rPr>
                      <w:rFonts w:hint="default" w:ascii="Times New Roman" w:hAnsi="Times New Roman" w:cs="Times New Roman"/>
                      <w:color w:val="000000"/>
                      <w:szCs w:val="21"/>
                      <w:highlight w:val="none"/>
                    </w:rPr>
                    <w:t>（DA00</w:t>
                  </w: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rPr>
                    <w:t>）</w:t>
                  </w:r>
                </w:p>
              </w:tc>
            </w:tr>
            <w:tr w14:paraId="2B2014D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6" w:hRule="atLeast"/>
                <w:jc w:val="center"/>
              </w:trPr>
              <w:tc>
                <w:tcPr>
                  <w:tcW w:w="448" w:type="pct"/>
                  <w:vMerge w:val="continue"/>
                  <w:tcBorders>
                    <w:tl2br w:val="nil"/>
                    <w:tr2bl w:val="nil"/>
                  </w:tcBorders>
                  <w:noWrap w:val="0"/>
                  <w:vAlign w:val="center"/>
                </w:tcPr>
                <w:p w14:paraId="03AC0650">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38475F56">
                  <w:pPr>
                    <w:keepNext w:val="0"/>
                    <w:keepLines w:val="0"/>
                    <w:pageBreakBefore w:val="0"/>
                    <w:widowControl w:val="0"/>
                    <w:kinsoku/>
                    <w:overflowPunct/>
                    <w:topLinePunct w:val="0"/>
                    <w:autoSpaceDE/>
                    <w:autoSpaceDN/>
                    <w:bidi w:val="0"/>
                    <w:adjustRightInd w:val="0"/>
                    <w:snapToGrid w:val="0"/>
                    <w:jc w:val="center"/>
                    <w:textAlignment w:val="auto"/>
                    <w:rPr>
                      <w:rFonts w:hint="default" w:cs="Times New Roman"/>
                      <w:color w:val="000000"/>
                      <w:szCs w:val="21"/>
                      <w:lang w:val="en-US" w:eastAsia="zh-CN"/>
                    </w:rPr>
                  </w:pPr>
                  <w:r>
                    <w:rPr>
                      <w:rFonts w:hint="eastAsia" w:cs="Times New Roman"/>
                      <w:color w:val="000000"/>
                      <w:szCs w:val="21"/>
                      <w:lang w:val="en-US" w:eastAsia="zh-CN"/>
                    </w:rPr>
                    <w:t>污水处理废气</w:t>
                  </w:r>
                </w:p>
              </w:tc>
              <w:tc>
                <w:tcPr>
                  <w:tcW w:w="526" w:type="pct"/>
                  <w:tcBorders>
                    <w:tl2br w:val="nil"/>
                    <w:tr2bl w:val="nil"/>
                  </w:tcBorders>
                  <w:noWrap w:val="0"/>
                  <w:vAlign w:val="center"/>
                </w:tcPr>
                <w:p w14:paraId="4E28D343">
                  <w:pPr>
                    <w:keepNext w:val="0"/>
                    <w:keepLines w:val="0"/>
                    <w:pageBreakBefore w:val="0"/>
                    <w:widowControl w:val="0"/>
                    <w:kinsoku/>
                    <w:overflowPunct/>
                    <w:topLinePunct w:val="0"/>
                    <w:autoSpaceDE/>
                    <w:autoSpaceDN/>
                    <w:bidi w:val="0"/>
                    <w:jc w:val="center"/>
                    <w:textAlignment w:val="auto"/>
                    <w:rPr>
                      <w:rFonts w:hint="eastAsia"/>
                      <w:color w:val="auto"/>
                      <w:szCs w:val="21"/>
                      <w:lang w:val="en-US" w:eastAsia="zh-CN"/>
                    </w:rPr>
                  </w:pPr>
                  <w:r>
                    <w:rPr>
                      <w:rFonts w:hint="eastAsia"/>
                      <w:color w:val="auto"/>
                      <w:szCs w:val="21"/>
                      <w:lang w:val="en-US" w:eastAsia="zh-CN"/>
                    </w:rPr>
                    <w:t>氨、硫化氢、臭气</w:t>
                  </w:r>
                </w:p>
                <w:p w14:paraId="15D98EF8">
                  <w:pPr>
                    <w:keepNext w:val="0"/>
                    <w:keepLines w:val="0"/>
                    <w:pageBreakBefore w:val="0"/>
                    <w:widowControl w:val="0"/>
                    <w:kinsoku/>
                    <w:overflowPunct/>
                    <w:topLinePunct w:val="0"/>
                    <w:autoSpaceDE/>
                    <w:autoSpaceDN/>
                    <w:bidi w:val="0"/>
                    <w:jc w:val="center"/>
                    <w:textAlignment w:val="auto"/>
                    <w:rPr>
                      <w:rFonts w:hint="default"/>
                      <w:color w:val="auto"/>
                      <w:szCs w:val="21"/>
                      <w:lang w:val="en-US" w:eastAsia="zh-CN"/>
                    </w:rPr>
                  </w:pPr>
                  <w:r>
                    <w:rPr>
                      <w:rFonts w:hint="eastAsia"/>
                      <w:color w:val="auto"/>
                      <w:szCs w:val="21"/>
                      <w:lang w:val="en-US" w:eastAsia="zh-CN"/>
                    </w:rPr>
                    <w:t>浓度</w:t>
                  </w:r>
                </w:p>
              </w:tc>
              <w:tc>
                <w:tcPr>
                  <w:tcW w:w="3336" w:type="pct"/>
                  <w:tcBorders>
                    <w:tl2br w:val="nil"/>
                    <w:tr2bl w:val="nil"/>
                  </w:tcBorders>
                  <w:noWrap w:val="0"/>
                  <w:vAlign w:val="center"/>
                </w:tcPr>
                <w:p w14:paraId="102BF739">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r>
                    <w:rPr>
                      <w:rFonts w:hint="eastAsia" w:ascii="Times New Roman" w:hAnsi="Times New Roman" w:cs="Times New Roman"/>
                      <w:color w:val="000000"/>
                      <w:szCs w:val="21"/>
                      <w:highlight w:val="none"/>
                      <w:lang w:val="en-US" w:eastAsia="zh-CN"/>
                    </w:rPr>
                    <w:t>污水处理废气</w:t>
                  </w:r>
                  <w:r>
                    <w:rPr>
                      <w:rFonts w:hint="eastAsia" w:cs="Times New Roman"/>
                      <w:highlight w:val="none"/>
                      <w:lang w:val="en-US" w:eastAsia="zh-CN"/>
                    </w:rPr>
                    <w:t>通过活性炭吸附装置处理后</w:t>
                  </w:r>
                  <w:r>
                    <w:rPr>
                      <w:rFonts w:hint="default" w:ascii="Times New Roman" w:hAnsi="Times New Roman" w:cs="Times New Roman"/>
                      <w:color w:val="000000"/>
                      <w:szCs w:val="21"/>
                      <w:highlight w:val="none"/>
                      <w:lang w:val="en-US" w:eastAsia="zh-CN"/>
                    </w:rPr>
                    <w:t>通过</w:t>
                  </w:r>
                  <w:r>
                    <w:rPr>
                      <w:rFonts w:hint="eastAsia" w:cs="Times New Roman"/>
                      <w:color w:val="000000"/>
                      <w:szCs w:val="21"/>
                      <w:highlight w:val="none"/>
                      <w:lang w:val="en-US" w:eastAsia="zh-CN"/>
                    </w:rPr>
                    <w:t>15</w:t>
                  </w:r>
                  <w:r>
                    <w:rPr>
                      <w:rFonts w:hint="default" w:ascii="Times New Roman" w:hAnsi="Times New Roman" w:cs="Times New Roman"/>
                      <w:color w:val="000000"/>
                      <w:szCs w:val="21"/>
                      <w:highlight w:val="none"/>
                      <w:lang w:val="en-US" w:eastAsia="zh-CN"/>
                    </w:rPr>
                    <w:t>m高的排气筒达标排放</w:t>
                  </w:r>
                  <w:r>
                    <w:rPr>
                      <w:rFonts w:hint="default" w:ascii="Times New Roman" w:hAnsi="Times New Roman" w:cs="Times New Roman"/>
                      <w:color w:val="000000"/>
                      <w:szCs w:val="21"/>
                      <w:highlight w:val="none"/>
                    </w:rPr>
                    <w:t>（DA00</w:t>
                  </w:r>
                  <w:r>
                    <w:rPr>
                      <w:rFonts w:hint="eastAsia" w:cs="Times New Roman"/>
                      <w:color w:val="000000"/>
                      <w:szCs w:val="21"/>
                      <w:highlight w:val="none"/>
                      <w:lang w:val="en-US" w:eastAsia="zh-CN"/>
                    </w:rPr>
                    <w:t>3</w:t>
                  </w: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eastAsia="zh-CN"/>
                    </w:rPr>
                    <w:t>。</w:t>
                  </w:r>
                </w:p>
              </w:tc>
            </w:tr>
            <w:tr w14:paraId="09FF62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448" w:type="pct"/>
                  <w:tcBorders>
                    <w:tl2br w:val="nil"/>
                    <w:tr2bl w:val="nil"/>
                  </w:tcBorders>
                  <w:noWrap w:val="0"/>
                  <w:vAlign w:val="center"/>
                </w:tcPr>
                <w:p w14:paraId="0D1B6F2A">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rPr>
                  </w:pPr>
                  <w:r>
                    <w:rPr>
                      <w:rFonts w:hint="default" w:cs="Times New Roman"/>
                      <w:color w:val="000000"/>
                      <w:szCs w:val="21"/>
                    </w:rPr>
                    <w:t>无组织废气</w:t>
                  </w:r>
                </w:p>
              </w:tc>
              <w:tc>
                <w:tcPr>
                  <w:tcW w:w="689" w:type="pct"/>
                  <w:tcBorders>
                    <w:tl2br w:val="nil"/>
                    <w:tr2bl w:val="nil"/>
                  </w:tcBorders>
                  <w:noWrap w:val="0"/>
                  <w:vAlign w:val="center"/>
                </w:tcPr>
                <w:p w14:paraId="0B937A8E">
                  <w:pPr>
                    <w:keepNext w:val="0"/>
                    <w:keepLines w:val="0"/>
                    <w:pageBreakBefore w:val="0"/>
                    <w:widowControl w:val="0"/>
                    <w:kinsoku/>
                    <w:overflowPunct/>
                    <w:topLinePunct w:val="0"/>
                    <w:autoSpaceDE/>
                    <w:autoSpaceDN/>
                    <w:bidi w:val="0"/>
                    <w:adjustRightInd w:val="0"/>
                    <w:snapToGrid w:val="0"/>
                    <w:jc w:val="center"/>
                    <w:textAlignment w:val="auto"/>
                    <w:rPr>
                      <w:rFonts w:hint="eastAsia" w:cs="Times New Roman"/>
                      <w:color w:val="000000"/>
                      <w:szCs w:val="21"/>
                      <w:highlight w:val="none"/>
                      <w:lang w:val="en-US" w:eastAsia="zh-CN"/>
                    </w:rPr>
                  </w:pPr>
                  <w:r>
                    <w:rPr>
                      <w:rFonts w:hint="eastAsia" w:cs="Times New Roman"/>
                      <w:color w:val="000000"/>
                      <w:szCs w:val="21"/>
                      <w:highlight w:val="none"/>
                      <w:lang w:val="en-US" w:eastAsia="zh-CN"/>
                    </w:rPr>
                    <w:t>密封口</w:t>
                  </w:r>
                </w:p>
                <w:p w14:paraId="3AB928C8">
                  <w:pPr>
                    <w:keepNext w:val="0"/>
                    <w:keepLines w:val="0"/>
                    <w:pageBreakBefore w:val="0"/>
                    <w:widowControl w:val="0"/>
                    <w:kinsoku/>
                    <w:overflowPunct/>
                    <w:topLinePunct w:val="0"/>
                    <w:autoSpaceDE/>
                    <w:autoSpaceDN/>
                    <w:bidi w:val="0"/>
                    <w:adjustRightInd w:val="0"/>
                    <w:snapToGrid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打包机</w:t>
                  </w:r>
                </w:p>
              </w:tc>
              <w:tc>
                <w:tcPr>
                  <w:tcW w:w="526" w:type="pct"/>
                  <w:tcBorders>
                    <w:tl2br w:val="nil"/>
                    <w:tr2bl w:val="nil"/>
                  </w:tcBorders>
                  <w:noWrap w:val="0"/>
                  <w:vAlign w:val="center"/>
                </w:tcPr>
                <w:p w14:paraId="28699971">
                  <w:pPr>
                    <w:keepNext w:val="0"/>
                    <w:keepLines w:val="0"/>
                    <w:pageBreakBefore w:val="0"/>
                    <w:widowControl w:val="0"/>
                    <w:kinsoku/>
                    <w:overflowPunct/>
                    <w:topLinePunct w:val="0"/>
                    <w:autoSpaceDE/>
                    <w:autoSpaceDN/>
                    <w:bidi w:val="0"/>
                    <w:jc w:val="center"/>
                    <w:textAlignment w:val="auto"/>
                    <w:rPr>
                      <w:rFonts w:hint="eastAsia"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非甲烷总烃</w:t>
                  </w:r>
                </w:p>
              </w:tc>
              <w:tc>
                <w:tcPr>
                  <w:tcW w:w="3336" w:type="pct"/>
                  <w:tcBorders>
                    <w:tl2br w:val="nil"/>
                    <w:tr2bl w:val="nil"/>
                  </w:tcBorders>
                  <w:noWrap w:val="0"/>
                  <w:vAlign w:val="center"/>
                </w:tcPr>
                <w:p w14:paraId="39AAFE4E">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kern w:val="0"/>
                      <w:szCs w:val="21"/>
                      <w:highlight w:val="none"/>
                      <w:lang w:val="en-US"/>
                    </w:rPr>
                  </w:pPr>
                  <w:r>
                    <w:rPr>
                      <w:rFonts w:hint="eastAsia" w:cs="Times New Roman"/>
                      <w:highlight w:val="none"/>
                      <w:lang w:val="en-US" w:eastAsia="zh-CN"/>
                    </w:rPr>
                    <w:t>打包包装是会有极少量的有机废气产生，打包间进行通风处理</w:t>
                  </w:r>
                  <w:r>
                    <w:rPr>
                      <w:rFonts w:hint="default" w:ascii="Times New Roman" w:hAnsi="Times New Roman" w:cs="Times New Roman"/>
                      <w:highlight w:val="none"/>
                      <w:lang w:val="en-US" w:eastAsia="zh-CN"/>
                    </w:rPr>
                    <w:t>；</w:t>
                  </w:r>
                  <w:r>
                    <w:rPr>
                      <w:rFonts w:hint="eastAsia" w:cs="Times New Roman"/>
                      <w:highlight w:val="none"/>
                      <w:lang w:val="en-US" w:eastAsia="zh-CN"/>
                    </w:rPr>
                    <w:t>进而无组织排放</w:t>
                  </w:r>
                </w:p>
              </w:tc>
            </w:tr>
            <w:tr w14:paraId="0AA8997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restart"/>
                  <w:tcBorders>
                    <w:tl2br w:val="nil"/>
                    <w:tr2bl w:val="nil"/>
                  </w:tcBorders>
                  <w:noWrap w:val="0"/>
                  <w:vAlign w:val="center"/>
                </w:tcPr>
                <w:p w14:paraId="1190B5DF">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废水</w:t>
                  </w:r>
                </w:p>
              </w:tc>
              <w:tc>
                <w:tcPr>
                  <w:tcW w:w="689" w:type="pct"/>
                  <w:tcBorders>
                    <w:tl2br w:val="nil"/>
                    <w:tr2bl w:val="nil"/>
                  </w:tcBorders>
                  <w:noWrap w:val="0"/>
                  <w:vAlign w:val="center"/>
                </w:tcPr>
                <w:p w14:paraId="6400E3D1">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冷却废水</w:t>
                  </w:r>
                </w:p>
              </w:tc>
              <w:tc>
                <w:tcPr>
                  <w:tcW w:w="526" w:type="pct"/>
                  <w:tcBorders>
                    <w:tl2br w:val="nil"/>
                    <w:tr2bl w:val="nil"/>
                  </w:tcBorders>
                  <w:noWrap w:val="0"/>
                  <w:vAlign w:val="center"/>
                </w:tcPr>
                <w:p w14:paraId="65BE0F89">
                  <w:pPr>
                    <w:keepNext w:val="0"/>
                    <w:keepLines w:val="0"/>
                    <w:pageBreakBefore w:val="0"/>
                    <w:widowControl w:val="0"/>
                    <w:kinsoku/>
                    <w:overflowPunct/>
                    <w:topLinePunct w:val="0"/>
                    <w:autoSpaceDE/>
                    <w:autoSpaceDN/>
                    <w:bidi w:val="0"/>
                    <w:jc w:val="center"/>
                    <w:textAlignment w:val="auto"/>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w:t>
                  </w:r>
                </w:p>
              </w:tc>
              <w:tc>
                <w:tcPr>
                  <w:tcW w:w="3336" w:type="pct"/>
                  <w:tcBorders>
                    <w:tl2br w:val="nil"/>
                    <w:tr2bl w:val="nil"/>
                  </w:tcBorders>
                  <w:noWrap w:val="0"/>
                  <w:vAlign w:val="center"/>
                </w:tcPr>
                <w:p w14:paraId="489272E2">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highlight w:val="none"/>
                      <w:lang w:val="en-US" w:eastAsia="zh-CN"/>
                    </w:rPr>
                    <w:t>产品冷却水在冷却水系统内</w:t>
                  </w:r>
                  <w:r>
                    <w:rPr>
                      <w:rFonts w:hint="default" w:ascii="Times New Roman" w:hAnsi="Times New Roman" w:cs="Times New Roman"/>
                      <w:highlight w:val="none"/>
                    </w:rPr>
                    <w:t>循环利用，不外排</w:t>
                  </w:r>
                  <w:r>
                    <w:rPr>
                      <w:rFonts w:hint="eastAsia" w:cs="Times New Roman"/>
                      <w:color w:val="auto"/>
                      <w:kern w:val="2"/>
                      <w:sz w:val="21"/>
                      <w:szCs w:val="21"/>
                      <w:highlight w:val="none"/>
                      <w:u w:val="none"/>
                      <w:lang w:val="en-US" w:eastAsia="zh-CN" w:bidi="ar-SA"/>
                    </w:rPr>
                    <w:t>。</w:t>
                  </w:r>
                </w:p>
              </w:tc>
            </w:tr>
            <w:tr w14:paraId="5AA9BF0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continue"/>
                  <w:tcBorders>
                    <w:tl2br w:val="nil"/>
                    <w:tr2bl w:val="nil"/>
                  </w:tcBorders>
                  <w:noWrap w:val="0"/>
                  <w:vAlign w:val="center"/>
                </w:tcPr>
                <w:p w14:paraId="1DC65F7D">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5067E323">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锅炉废水</w:t>
                  </w:r>
                </w:p>
              </w:tc>
              <w:tc>
                <w:tcPr>
                  <w:tcW w:w="526" w:type="pct"/>
                  <w:vMerge w:val="restart"/>
                  <w:tcBorders>
                    <w:tl2br w:val="nil"/>
                    <w:tr2bl w:val="nil"/>
                  </w:tcBorders>
                  <w:noWrap w:val="0"/>
                  <w:vAlign w:val="center"/>
                </w:tcPr>
                <w:p w14:paraId="490451EA">
                  <w:pPr>
                    <w:keepNext w:val="0"/>
                    <w:keepLines w:val="0"/>
                    <w:pageBreakBefore w:val="0"/>
                    <w:widowControl w:val="0"/>
                    <w:kinsoku/>
                    <w:overflowPunct/>
                    <w:topLinePunct w:val="0"/>
                    <w:autoSpaceDE/>
                    <w:autoSpaceDN/>
                    <w:bidi w:val="0"/>
                    <w:jc w:val="center"/>
                    <w:textAlignment w:val="auto"/>
                    <w:rPr>
                      <w:rFonts w:hint="eastAsia"/>
                      <w:color w:val="auto"/>
                      <w:szCs w:val="21"/>
                      <w:u w:val="none"/>
                    </w:rPr>
                  </w:pPr>
                  <w:r>
                    <w:rPr>
                      <w:rFonts w:hint="eastAsia"/>
                      <w:color w:val="auto"/>
                      <w:szCs w:val="21"/>
                      <w:u w:val="none"/>
                    </w:rPr>
                    <w:t>COD</w:t>
                  </w:r>
                </w:p>
                <w:p w14:paraId="30695C77">
                  <w:pPr>
                    <w:keepNext w:val="0"/>
                    <w:keepLines w:val="0"/>
                    <w:pageBreakBefore w:val="0"/>
                    <w:widowControl w:val="0"/>
                    <w:kinsoku/>
                    <w:overflowPunct/>
                    <w:topLinePunct w:val="0"/>
                    <w:autoSpaceDE/>
                    <w:autoSpaceDN/>
                    <w:bidi w:val="0"/>
                    <w:jc w:val="center"/>
                    <w:textAlignment w:val="auto"/>
                    <w:rPr>
                      <w:rFonts w:hint="eastAsia"/>
                      <w:color w:val="auto"/>
                      <w:szCs w:val="21"/>
                      <w:u w:val="none"/>
                      <w:vertAlign w:val="subscript"/>
                      <w:lang w:val="en-US" w:eastAsia="zh-CN"/>
                    </w:rPr>
                  </w:pPr>
                  <w:r>
                    <w:rPr>
                      <w:rFonts w:hint="eastAsia"/>
                      <w:color w:val="auto"/>
                      <w:szCs w:val="21"/>
                      <w:u w:val="none"/>
                    </w:rPr>
                    <w:t>氨氮</w:t>
                  </w:r>
                  <w:r>
                    <w:rPr>
                      <w:rFonts w:hint="eastAsia"/>
                      <w:color w:val="auto"/>
                      <w:szCs w:val="21"/>
                      <w:u w:val="none"/>
                      <w:lang w:val="en-US" w:eastAsia="zh-CN"/>
                    </w:rPr>
                    <w:t>BOD</w:t>
                  </w:r>
                  <w:r>
                    <w:rPr>
                      <w:rFonts w:hint="eastAsia"/>
                      <w:color w:val="auto"/>
                      <w:szCs w:val="21"/>
                      <w:u w:val="none"/>
                      <w:vertAlign w:val="subscript"/>
                      <w:lang w:val="en-US" w:eastAsia="zh-CN"/>
                    </w:rPr>
                    <w:t>5</w:t>
                  </w:r>
                </w:p>
                <w:p w14:paraId="02E66057">
                  <w:pPr>
                    <w:keepNext w:val="0"/>
                    <w:keepLines w:val="0"/>
                    <w:pageBreakBefore w:val="0"/>
                    <w:widowControl w:val="0"/>
                    <w:kinsoku/>
                    <w:overflowPunct/>
                    <w:topLinePunct w:val="0"/>
                    <w:autoSpaceDE/>
                    <w:autoSpaceDN/>
                    <w:bidi w:val="0"/>
                    <w:jc w:val="center"/>
                    <w:textAlignment w:val="auto"/>
                    <w:rPr>
                      <w:rFonts w:hint="default" w:eastAsia="宋体"/>
                      <w:color w:val="auto"/>
                      <w:szCs w:val="21"/>
                      <w:u w:val="none"/>
                      <w:lang w:val="en-US" w:eastAsia="zh-CN"/>
                    </w:rPr>
                  </w:pPr>
                  <w:r>
                    <w:rPr>
                      <w:rFonts w:hint="eastAsia"/>
                      <w:color w:val="auto"/>
                      <w:szCs w:val="21"/>
                      <w:u w:val="none"/>
                      <w:lang w:val="en-US" w:eastAsia="zh-CN"/>
                    </w:rPr>
                    <w:t>SS</w:t>
                  </w:r>
                </w:p>
                <w:p w14:paraId="32FD4583">
                  <w:pPr>
                    <w:pStyle w:val="20"/>
                    <w:rPr>
                      <w:rFonts w:hint="default"/>
                    </w:rPr>
                  </w:pPr>
                </w:p>
              </w:tc>
              <w:tc>
                <w:tcPr>
                  <w:tcW w:w="3336" w:type="pct"/>
                  <w:vMerge w:val="restart"/>
                  <w:tcBorders>
                    <w:tl2br w:val="nil"/>
                    <w:tr2bl w:val="nil"/>
                  </w:tcBorders>
                  <w:noWrap w:val="0"/>
                  <w:vAlign w:val="center"/>
                </w:tcPr>
                <w:p w14:paraId="6220381D">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r>
                    <w:rPr>
                      <w:rFonts w:hint="eastAsia" w:ascii="Times New Roman" w:hAnsi="Times New Roman" w:cs="Times New Roman"/>
                      <w:highlight w:val="none"/>
                      <w:lang w:val="en-US" w:eastAsia="zh-CN"/>
                    </w:rPr>
                    <w:t>清洗废水和</w:t>
                  </w:r>
                  <w:r>
                    <w:rPr>
                      <w:rFonts w:hint="eastAsia" w:cs="Times New Roman"/>
                      <w:highlight w:val="none"/>
                      <w:lang w:val="en-US" w:eastAsia="zh-CN"/>
                    </w:rPr>
                    <w:t>软化</w:t>
                  </w:r>
                  <w:r>
                    <w:rPr>
                      <w:rFonts w:hint="eastAsia" w:cs="Times New Roman"/>
                      <w:sz w:val="21"/>
                      <w:szCs w:val="21"/>
                      <w:highlight w:val="none"/>
                      <w:lang w:val="en-US" w:eastAsia="zh-CN"/>
                    </w:rPr>
                    <w:t>废水以及锅炉</w:t>
                  </w:r>
                  <w:r>
                    <w:rPr>
                      <w:rFonts w:hint="eastAsia" w:ascii="Times New Roman" w:hAnsi="Times New Roman" w:cs="Times New Roman"/>
                      <w:sz w:val="21"/>
                      <w:szCs w:val="21"/>
                      <w:highlight w:val="none"/>
                      <w:lang w:val="en-US" w:eastAsia="zh-CN"/>
                    </w:rPr>
                    <w:t>废水统称</w:t>
                  </w:r>
                  <w:r>
                    <w:rPr>
                      <w:rFonts w:hint="eastAsia" w:cs="Times New Roman"/>
                      <w:sz w:val="21"/>
                      <w:szCs w:val="21"/>
                      <w:highlight w:val="none"/>
                      <w:lang w:val="en-US" w:eastAsia="zh-CN"/>
                    </w:rPr>
                    <w:t>为</w:t>
                  </w:r>
                  <w:r>
                    <w:rPr>
                      <w:rFonts w:hint="eastAsia" w:ascii="Times New Roman" w:hAnsi="Times New Roman" w:cs="Times New Roman"/>
                      <w:sz w:val="21"/>
                      <w:szCs w:val="21"/>
                      <w:highlight w:val="none"/>
                      <w:lang w:val="en-US" w:eastAsia="zh-CN"/>
                    </w:rPr>
                    <w:t>生产废水，</w:t>
                  </w:r>
                  <w:r>
                    <w:rPr>
                      <w:rFonts w:hint="default" w:ascii="Times New Roman" w:hAnsi="Times New Roman" w:cs="Times New Roman"/>
                      <w:sz w:val="21"/>
                      <w:szCs w:val="21"/>
                      <w:highlight w:val="none"/>
                    </w:rPr>
                    <w:t>生产废水</w:t>
                  </w:r>
                  <w:r>
                    <w:rPr>
                      <w:rFonts w:hint="eastAsia" w:cs="Times New Roman"/>
                      <w:sz w:val="21"/>
                      <w:szCs w:val="21"/>
                      <w:highlight w:val="none"/>
                      <w:lang w:val="en-US" w:eastAsia="zh-CN"/>
                    </w:rPr>
                    <w:t>经过</w:t>
                  </w:r>
                  <w:r>
                    <w:rPr>
                      <w:rFonts w:hint="eastAsia" w:ascii="Times New Roman" w:hAnsi="Times New Roman" w:eastAsia="宋体"/>
                      <w:b w:val="0"/>
                      <w:bCs w:val="0"/>
                      <w:color w:val="auto"/>
                      <w:sz w:val="21"/>
                      <w:szCs w:val="21"/>
                      <w:highlight w:val="none"/>
                      <w:u w:val="none"/>
                      <w:lang w:eastAsia="zh-CN"/>
                    </w:rPr>
                    <w:t>车间外</w:t>
                  </w:r>
                  <w:r>
                    <w:rPr>
                      <w:rFonts w:hint="eastAsia"/>
                      <w:b w:val="0"/>
                      <w:bCs w:val="0"/>
                      <w:color w:val="auto"/>
                      <w:sz w:val="21"/>
                      <w:szCs w:val="21"/>
                      <w:highlight w:val="none"/>
                      <w:u w:val="none"/>
                      <w:lang w:val="en-US" w:eastAsia="zh-CN"/>
                    </w:rPr>
                    <w:t>隔油</w:t>
                  </w:r>
                  <w:r>
                    <w:rPr>
                      <w:rFonts w:hint="eastAsia" w:ascii="Times New Roman" w:hAnsi="Times New Roman" w:eastAsia="宋体"/>
                      <w:b w:val="0"/>
                      <w:bCs w:val="0"/>
                      <w:color w:val="auto"/>
                      <w:sz w:val="21"/>
                      <w:szCs w:val="21"/>
                      <w:highlight w:val="none"/>
                      <w:u w:val="none"/>
                      <w:lang w:eastAsia="zh-CN"/>
                    </w:rPr>
                    <w:t>池</w:t>
                  </w:r>
                  <w:r>
                    <w:rPr>
                      <w:rFonts w:hint="eastAsia"/>
                      <w:b w:val="0"/>
                      <w:bCs w:val="0"/>
                      <w:color w:val="auto"/>
                      <w:sz w:val="21"/>
                      <w:szCs w:val="21"/>
                      <w:highlight w:val="none"/>
                      <w:u w:val="none"/>
                      <w:lang w:val="en-US" w:eastAsia="zh-CN"/>
                    </w:rPr>
                    <w:t>再进入污水处理设施处理</w:t>
                  </w:r>
                  <w:r>
                    <w:rPr>
                      <w:rFonts w:hint="eastAsia"/>
                      <w:b w:val="0"/>
                      <w:bCs w:val="0"/>
                      <w:color w:val="auto"/>
                      <w:sz w:val="21"/>
                      <w:szCs w:val="21"/>
                      <w:highlight w:val="none"/>
                      <w:u w:val="none"/>
                      <w:lang w:eastAsia="zh-CN"/>
                    </w:rPr>
                    <w:t>，</w:t>
                  </w:r>
                  <w:r>
                    <w:rPr>
                      <w:rFonts w:hint="eastAsia" w:ascii="Times New Roman" w:hAnsi="Times New Roman" w:eastAsia="宋体"/>
                      <w:b w:val="0"/>
                      <w:bCs w:val="0"/>
                      <w:color w:val="auto"/>
                      <w:sz w:val="21"/>
                      <w:szCs w:val="21"/>
                      <w:highlight w:val="none"/>
                      <w:u w:val="none"/>
                      <w:lang w:val="en-US" w:eastAsia="zh-CN"/>
                    </w:rPr>
                    <w:t>再</w:t>
                  </w:r>
                  <w:r>
                    <w:rPr>
                      <w:rFonts w:hint="eastAsia"/>
                      <w:b w:val="0"/>
                      <w:bCs w:val="0"/>
                      <w:color w:val="auto"/>
                      <w:sz w:val="21"/>
                      <w:szCs w:val="21"/>
                      <w:highlight w:val="none"/>
                      <w:u w:val="none"/>
                      <w:lang w:val="en-US" w:eastAsia="zh-CN"/>
                    </w:rPr>
                    <w:t>外排</w:t>
                  </w:r>
                  <w:r>
                    <w:rPr>
                      <w:rFonts w:hint="eastAsia" w:ascii="Times New Roman" w:hAnsi="Times New Roman" w:eastAsia="宋体"/>
                      <w:b w:val="0"/>
                      <w:bCs w:val="0"/>
                      <w:color w:val="auto"/>
                      <w:sz w:val="21"/>
                      <w:szCs w:val="21"/>
                      <w:highlight w:val="none"/>
                      <w:u w:val="none"/>
                      <w:lang w:eastAsia="zh-CN"/>
                    </w:rPr>
                    <w:t>进入</w:t>
                  </w:r>
                  <w:r>
                    <w:rPr>
                      <w:rFonts w:hint="eastAsia" w:eastAsia="宋体"/>
                      <w:b w:val="0"/>
                      <w:bCs w:val="0"/>
                      <w:color w:val="auto"/>
                      <w:sz w:val="21"/>
                      <w:szCs w:val="21"/>
                      <w:highlight w:val="none"/>
                      <w:u w:val="none"/>
                      <w:lang w:val="en-US" w:eastAsia="zh-CN"/>
                    </w:rPr>
                    <w:t>污水管网</w:t>
                  </w:r>
                  <w:r>
                    <w:rPr>
                      <w:rFonts w:hint="eastAsia"/>
                      <w:b w:val="0"/>
                      <w:bCs w:val="0"/>
                      <w:color w:val="auto"/>
                      <w:sz w:val="21"/>
                      <w:szCs w:val="21"/>
                      <w:highlight w:val="none"/>
                      <w:u w:val="none"/>
                      <w:lang w:val="en-US" w:eastAsia="zh-CN"/>
                    </w:rPr>
                    <w:t>最终流向叶县廉村镇污水处理站进行处理</w:t>
                  </w:r>
                </w:p>
              </w:tc>
            </w:tr>
            <w:tr w14:paraId="350F22C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continue"/>
                  <w:tcBorders>
                    <w:tl2br w:val="nil"/>
                    <w:tr2bl w:val="nil"/>
                  </w:tcBorders>
                  <w:noWrap w:val="0"/>
                  <w:vAlign w:val="center"/>
                </w:tcPr>
                <w:p w14:paraId="1C42E333">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66E50E94">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软化废水</w:t>
                  </w:r>
                </w:p>
              </w:tc>
              <w:tc>
                <w:tcPr>
                  <w:tcW w:w="526" w:type="pct"/>
                  <w:vMerge w:val="continue"/>
                  <w:tcBorders>
                    <w:tl2br w:val="nil"/>
                    <w:tr2bl w:val="nil"/>
                  </w:tcBorders>
                  <w:noWrap w:val="0"/>
                  <w:vAlign w:val="center"/>
                </w:tcPr>
                <w:p w14:paraId="0A1DC3C9">
                  <w:pPr>
                    <w:keepNext w:val="0"/>
                    <w:keepLines w:val="0"/>
                    <w:pageBreakBefore w:val="0"/>
                    <w:widowControl w:val="0"/>
                    <w:kinsoku/>
                    <w:overflowPunct/>
                    <w:topLinePunct w:val="0"/>
                    <w:autoSpaceDE/>
                    <w:autoSpaceDN/>
                    <w:bidi w:val="0"/>
                    <w:jc w:val="center"/>
                    <w:textAlignment w:val="auto"/>
                    <w:rPr>
                      <w:rFonts w:hint="eastAsia" w:cs="Times New Roman"/>
                      <w:color w:val="000000"/>
                      <w:szCs w:val="21"/>
                      <w:lang w:val="en-US" w:eastAsia="zh-CN"/>
                    </w:rPr>
                  </w:pPr>
                </w:p>
              </w:tc>
              <w:tc>
                <w:tcPr>
                  <w:tcW w:w="3336" w:type="pct"/>
                  <w:vMerge w:val="continue"/>
                  <w:tcBorders>
                    <w:tl2br w:val="nil"/>
                    <w:tr2bl w:val="nil"/>
                  </w:tcBorders>
                  <w:noWrap w:val="0"/>
                  <w:vAlign w:val="center"/>
                </w:tcPr>
                <w:p w14:paraId="02254065">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p>
              </w:tc>
            </w:tr>
            <w:tr w14:paraId="47F6476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continue"/>
                  <w:tcBorders>
                    <w:tl2br w:val="nil"/>
                    <w:tr2bl w:val="nil"/>
                  </w:tcBorders>
                  <w:noWrap w:val="0"/>
                  <w:vAlign w:val="center"/>
                </w:tcPr>
                <w:p w14:paraId="788321D8">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3868BBED">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牛骨清洗废水</w:t>
                  </w:r>
                </w:p>
              </w:tc>
              <w:tc>
                <w:tcPr>
                  <w:tcW w:w="526" w:type="pct"/>
                  <w:vMerge w:val="continue"/>
                  <w:tcBorders>
                    <w:tl2br w:val="nil"/>
                    <w:tr2bl w:val="nil"/>
                  </w:tcBorders>
                  <w:noWrap w:val="0"/>
                  <w:vAlign w:val="center"/>
                </w:tcPr>
                <w:p w14:paraId="17280DEC">
                  <w:pPr>
                    <w:keepNext w:val="0"/>
                    <w:keepLines w:val="0"/>
                    <w:pageBreakBefore w:val="0"/>
                    <w:widowControl w:val="0"/>
                    <w:kinsoku/>
                    <w:overflowPunct/>
                    <w:topLinePunct w:val="0"/>
                    <w:autoSpaceDE/>
                    <w:autoSpaceDN/>
                    <w:bidi w:val="0"/>
                    <w:jc w:val="center"/>
                    <w:textAlignment w:val="auto"/>
                    <w:rPr>
                      <w:rFonts w:hint="eastAsia" w:cs="Times New Roman"/>
                      <w:color w:val="000000"/>
                      <w:szCs w:val="21"/>
                      <w:lang w:val="en-US" w:eastAsia="zh-CN"/>
                    </w:rPr>
                  </w:pPr>
                </w:p>
              </w:tc>
              <w:tc>
                <w:tcPr>
                  <w:tcW w:w="3336" w:type="pct"/>
                  <w:vMerge w:val="continue"/>
                  <w:tcBorders>
                    <w:tl2br w:val="nil"/>
                    <w:tr2bl w:val="nil"/>
                  </w:tcBorders>
                  <w:noWrap w:val="0"/>
                  <w:vAlign w:val="center"/>
                </w:tcPr>
                <w:p w14:paraId="236B9108">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p>
              </w:tc>
            </w:tr>
            <w:tr w14:paraId="6CB0952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continue"/>
                  <w:tcBorders>
                    <w:tl2br w:val="nil"/>
                    <w:tr2bl w:val="nil"/>
                  </w:tcBorders>
                  <w:noWrap w:val="0"/>
                  <w:vAlign w:val="center"/>
                </w:tcPr>
                <w:p w14:paraId="4929FF32">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22357A36">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辣椒清洗废水</w:t>
                  </w:r>
                </w:p>
              </w:tc>
              <w:tc>
                <w:tcPr>
                  <w:tcW w:w="526" w:type="pct"/>
                  <w:vMerge w:val="continue"/>
                  <w:tcBorders>
                    <w:tl2br w:val="nil"/>
                    <w:tr2bl w:val="nil"/>
                  </w:tcBorders>
                  <w:noWrap w:val="0"/>
                  <w:vAlign w:val="center"/>
                </w:tcPr>
                <w:p w14:paraId="6568EE20">
                  <w:pPr>
                    <w:keepNext w:val="0"/>
                    <w:keepLines w:val="0"/>
                    <w:pageBreakBefore w:val="0"/>
                    <w:widowControl w:val="0"/>
                    <w:kinsoku/>
                    <w:overflowPunct/>
                    <w:topLinePunct w:val="0"/>
                    <w:autoSpaceDE/>
                    <w:autoSpaceDN/>
                    <w:bidi w:val="0"/>
                    <w:jc w:val="center"/>
                    <w:textAlignment w:val="auto"/>
                    <w:rPr>
                      <w:rFonts w:hint="eastAsia" w:cs="Times New Roman"/>
                      <w:color w:val="000000"/>
                      <w:szCs w:val="21"/>
                      <w:lang w:val="en-US" w:eastAsia="zh-CN"/>
                    </w:rPr>
                  </w:pPr>
                </w:p>
              </w:tc>
              <w:tc>
                <w:tcPr>
                  <w:tcW w:w="3336" w:type="pct"/>
                  <w:vMerge w:val="continue"/>
                  <w:tcBorders>
                    <w:tl2br w:val="nil"/>
                    <w:tr2bl w:val="nil"/>
                  </w:tcBorders>
                  <w:noWrap w:val="0"/>
                  <w:vAlign w:val="center"/>
                </w:tcPr>
                <w:p w14:paraId="2DCFC102">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p>
              </w:tc>
            </w:tr>
            <w:tr w14:paraId="593AF8E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448" w:type="pct"/>
                  <w:vMerge w:val="continue"/>
                  <w:tcBorders>
                    <w:tl2br w:val="nil"/>
                    <w:tr2bl w:val="nil"/>
                  </w:tcBorders>
                  <w:noWrap w:val="0"/>
                  <w:vAlign w:val="center"/>
                </w:tcPr>
                <w:p w14:paraId="0E114BDE">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40D8278C">
                  <w:pPr>
                    <w:keepNext w:val="0"/>
                    <w:keepLines w:val="0"/>
                    <w:pageBreakBefore w:val="0"/>
                    <w:widowControl w:val="0"/>
                    <w:kinsoku/>
                    <w:overflowPunct/>
                    <w:topLinePunct w:val="0"/>
                    <w:autoSpaceDE/>
                    <w:autoSpaceDN/>
                    <w:bidi w:val="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包装材料清洗废水</w:t>
                  </w:r>
                </w:p>
              </w:tc>
              <w:tc>
                <w:tcPr>
                  <w:tcW w:w="526" w:type="pct"/>
                  <w:vMerge w:val="continue"/>
                  <w:tcBorders>
                    <w:tl2br w:val="nil"/>
                    <w:tr2bl w:val="nil"/>
                  </w:tcBorders>
                  <w:noWrap w:val="0"/>
                  <w:vAlign w:val="center"/>
                </w:tcPr>
                <w:p w14:paraId="6B5AF4BB">
                  <w:pPr>
                    <w:keepNext w:val="0"/>
                    <w:keepLines w:val="0"/>
                    <w:pageBreakBefore w:val="0"/>
                    <w:widowControl w:val="0"/>
                    <w:kinsoku/>
                    <w:overflowPunct/>
                    <w:topLinePunct w:val="0"/>
                    <w:autoSpaceDE/>
                    <w:autoSpaceDN/>
                    <w:bidi w:val="0"/>
                    <w:jc w:val="center"/>
                    <w:textAlignment w:val="auto"/>
                    <w:rPr>
                      <w:rFonts w:hint="eastAsia" w:cs="Times New Roman"/>
                      <w:color w:val="000000"/>
                      <w:szCs w:val="21"/>
                      <w:lang w:val="en-US" w:eastAsia="zh-CN"/>
                    </w:rPr>
                  </w:pPr>
                </w:p>
              </w:tc>
              <w:tc>
                <w:tcPr>
                  <w:tcW w:w="3336" w:type="pct"/>
                  <w:vMerge w:val="continue"/>
                  <w:tcBorders>
                    <w:tl2br w:val="nil"/>
                    <w:tr2bl w:val="nil"/>
                  </w:tcBorders>
                  <w:noWrap w:val="0"/>
                  <w:vAlign w:val="center"/>
                </w:tcPr>
                <w:p w14:paraId="44C04D1F">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p>
              </w:tc>
            </w:tr>
            <w:tr w14:paraId="363DE9D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448" w:type="pct"/>
                  <w:vMerge w:val="continue"/>
                  <w:tcBorders>
                    <w:tl2br w:val="nil"/>
                    <w:tr2bl w:val="nil"/>
                  </w:tcBorders>
                  <w:noWrap w:val="0"/>
                  <w:vAlign w:val="center"/>
                </w:tcPr>
                <w:p w14:paraId="6A12F593">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57F2CB3A">
                  <w:pPr>
                    <w:keepNext w:val="0"/>
                    <w:keepLines w:val="0"/>
                    <w:pageBreakBefore w:val="0"/>
                    <w:widowControl w:val="0"/>
                    <w:kinsoku/>
                    <w:overflowPunct/>
                    <w:topLinePunct w:val="0"/>
                    <w:autoSpaceDE/>
                    <w:autoSpaceDN/>
                    <w:bidi w:val="0"/>
                    <w:jc w:val="center"/>
                    <w:textAlignment w:val="auto"/>
                    <w:rPr>
                      <w:rFonts w:hint="eastAsia" w:ascii="Times New Roman" w:hAnsi="Times New Roman" w:eastAsia="宋体" w:cs="Times New Roman"/>
                      <w:bCs/>
                      <w:color w:val="000000"/>
                      <w:szCs w:val="21"/>
                      <w:highlight w:val="none"/>
                      <w:lang w:eastAsia="zh-CN"/>
                    </w:rPr>
                  </w:pPr>
                  <w:r>
                    <w:rPr>
                      <w:rFonts w:hint="eastAsia" w:cs="Times New Roman"/>
                      <w:bCs/>
                      <w:color w:val="000000"/>
                      <w:szCs w:val="21"/>
                      <w:highlight w:val="none"/>
                      <w:lang w:val="en-US" w:eastAsia="zh-CN"/>
                    </w:rPr>
                    <w:t>设备清洗</w:t>
                  </w:r>
                  <w:r>
                    <w:rPr>
                      <w:rFonts w:hint="default" w:ascii="Times New Roman" w:hAnsi="Times New Roman" w:cs="Times New Roman"/>
                      <w:bCs/>
                      <w:color w:val="000000"/>
                      <w:szCs w:val="21"/>
                      <w:highlight w:val="none"/>
                    </w:rPr>
                    <w:t>废水</w:t>
                  </w:r>
                </w:p>
              </w:tc>
              <w:tc>
                <w:tcPr>
                  <w:tcW w:w="526" w:type="pct"/>
                  <w:vMerge w:val="continue"/>
                  <w:tcBorders>
                    <w:tl2br w:val="nil"/>
                    <w:tr2bl w:val="nil"/>
                  </w:tcBorders>
                  <w:noWrap w:val="0"/>
                  <w:vAlign w:val="center"/>
                </w:tcPr>
                <w:p w14:paraId="0AC1B4B5">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3336" w:type="pct"/>
                  <w:vMerge w:val="continue"/>
                  <w:tcBorders>
                    <w:tl2br w:val="nil"/>
                    <w:tr2bl w:val="nil"/>
                  </w:tcBorders>
                  <w:noWrap w:val="0"/>
                  <w:vAlign w:val="center"/>
                </w:tcPr>
                <w:p w14:paraId="5C91753A">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r>
            <w:tr w14:paraId="2FADED5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1" w:hRule="atLeast"/>
                <w:jc w:val="center"/>
              </w:trPr>
              <w:tc>
                <w:tcPr>
                  <w:tcW w:w="448" w:type="pct"/>
                  <w:vMerge w:val="continue"/>
                  <w:tcBorders>
                    <w:tl2br w:val="nil"/>
                    <w:tr2bl w:val="nil"/>
                  </w:tcBorders>
                  <w:noWrap w:val="0"/>
                  <w:vAlign w:val="center"/>
                </w:tcPr>
                <w:p w14:paraId="7219BF39">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1B7BB663">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地面清洗废水</w:t>
                  </w:r>
                </w:p>
              </w:tc>
              <w:tc>
                <w:tcPr>
                  <w:tcW w:w="526" w:type="pct"/>
                  <w:vMerge w:val="continue"/>
                  <w:tcBorders>
                    <w:tl2br w:val="nil"/>
                    <w:tr2bl w:val="nil"/>
                  </w:tcBorders>
                  <w:noWrap w:val="0"/>
                  <w:vAlign w:val="center"/>
                </w:tcPr>
                <w:p w14:paraId="4A4FDD3F">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3336" w:type="pct"/>
                  <w:vMerge w:val="continue"/>
                  <w:tcBorders>
                    <w:tl2br w:val="nil"/>
                    <w:tr2bl w:val="nil"/>
                  </w:tcBorders>
                  <w:noWrap w:val="0"/>
                  <w:vAlign w:val="center"/>
                </w:tcPr>
                <w:p w14:paraId="13F74A55">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p>
              </w:tc>
            </w:tr>
            <w:tr w14:paraId="0788E9A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1" w:hRule="atLeast"/>
                <w:jc w:val="center"/>
              </w:trPr>
              <w:tc>
                <w:tcPr>
                  <w:tcW w:w="448" w:type="pct"/>
                  <w:vMerge w:val="continue"/>
                  <w:tcBorders>
                    <w:tl2br w:val="nil"/>
                    <w:tr2bl w:val="nil"/>
                  </w:tcBorders>
                  <w:noWrap w:val="0"/>
                  <w:vAlign w:val="center"/>
                </w:tcPr>
                <w:p w14:paraId="2F542F0A">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highlight w:val="none"/>
                    </w:rPr>
                  </w:pPr>
                </w:p>
              </w:tc>
              <w:tc>
                <w:tcPr>
                  <w:tcW w:w="689" w:type="pct"/>
                  <w:tcBorders>
                    <w:tl2br w:val="nil"/>
                    <w:tr2bl w:val="nil"/>
                  </w:tcBorders>
                  <w:noWrap w:val="0"/>
                  <w:vAlign w:val="center"/>
                </w:tcPr>
                <w:p w14:paraId="6CFF0786">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生活污水</w:t>
                  </w:r>
                </w:p>
              </w:tc>
              <w:tc>
                <w:tcPr>
                  <w:tcW w:w="526" w:type="pct"/>
                  <w:vMerge w:val="continue"/>
                  <w:tcBorders>
                    <w:tl2br w:val="nil"/>
                    <w:tr2bl w:val="nil"/>
                  </w:tcBorders>
                  <w:noWrap w:val="0"/>
                  <w:vAlign w:val="center"/>
                </w:tcPr>
                <w:p w14:paraId="0EC5E930">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3336" w:type="pct"/>
                  <w:tcBorders>
                    <w:tl2br w:val="nil"/>
                    <w:tr2bl w:val="nil"/>
                  </w:tcBorders>
                  <w:noWrap w:val="0"/>
                  <w:vAlign w:val="center"/>
                </w:tcPr>
                <w:p w14:paraId="2AFDE02A">
                  <w:pPr>
                    <w:keepNext w:val="0"/>
                    <w:keepLines w:val="0"/>
                    <w:pageBreakBefore w:val="0"/>
                    <w:widowControl w:val="0"/>
                    <w:kinsoku/>
                    <w:overflowPunct/>
                    <w:topLinePunct w:val="0"/>
                    <w:autoSpaceDE/>
                    <w:autoSpaceDN/>
                    <w:bidi w:val="0"/>
                    <w:jc w:val="center"/>
                    <w:textAlignment w:val="auto"/>
                    <w:rPr>
                      <w:rFonts w:hint="eastAsia" w:cs="Times New Roman"/>
                      <w:highlight w:val="none"/>
                      <w:lang w:val="en-US" w:eastAsia="zh-CN"/>
                    </w:rPr>
                  </w:pPr>
                  <w:r>
                    <w:rPr>
                      <w:rFonts w:hint="eastAsia" w:cs="Times New Roman"/>
                      <w:color w:val="000000"/>
                      <w:szCs w:val="21"/>
                      <w:highlight w:val="none"/>
                      <w:lang w:val="en-US" w:eastAsia="zh-CN"/>
                    </w:rPr>
                    <w:t>生活污水</w:t>
                  </w:r>
                  <w:r>
                    <w:rPr>
                      <w:rFonts w:hint="default" w:ascii="Times New Roman" w:hAnsi="Times New Roman" w:cs="Times New Roman"/>
                      <w:color w:val="000000"/>
                      <w:szCs w:val="21"/>
                      <w:highlight w:val="none"/>
                    </w:rPr>
                    <w:t>经化粪池</w:t>
                  </w:r>
                  <w:r>
                    <w:rPr>
                      <w:rFonts w:hint="eastAsia" w:cs="Times New Roman"/>
                      <w:color w:val="000000"/>
                      <w:szCs w:val="21"/>
                      <w:highlight w:val="none"/>
                      <w:lang w:val="en-US" w:eastAsia="zh-CN"/>
                    </w:rPr>
                    <w:t>（5m</w:t>
                  </w:r>
                  <w:r>
                    <w:rPr>
                      <w:rFonts w:hint="eastAsia" w:cs="Times New Roman"/>
                      <w:color w:val="000000"/>
                      <w:szCs w:val="21"/>
                      <w:highlight w:val="none"/>
                      <w:vertAlign w:val="superscript"/>
                      <w:lang w:val="en-US" w:eastAsia="zh-CN"/>
                    </w:rPr>
                    <w:t>3</w:t>
                  </w:r>
                  <w:r>
                    <w:rPr>
                      <w:rFonts w:hint="eastAsia" w:cs="Times New Roman"/>
                      <w:color w:val="000000"/>
                      <w:szCs w:val="21"/>
                      <w:highlight w:val="none"/>
                      <w:lang w:val="en-US" w:eastAsia="zh-CN"/>
                    </w:rPr>
                    <w:t>）</w:t>
                  </w:r>
                  <w:r>
                    <w:rPr>
                      <w:rFonts w:hint="default" w:ascii="Times New Roman" w:hAnsi="Times New Roman" w:cs="Times New Roman"/>
                      <w:color w:val="000000"/>
                      <w:szCs w:val="21"/>
                      <w:highlight w:val="none"/>
                    </w:rPr>
                    <w:t>处理后</w:t>
                  </w:r>
                  <w:r>
                    <w:rPr>
                      <w:rFonts w:hint="eastAsia" w:cs="Times New Roman"/>
                      <w:highlight w:val="none"/>
                      <w:lang w:val="en-US" w:eastAsia="zh-CN"/>
                    </w:rPr>
                    <w:t>外排到污水管网</w:t>
                  </w:r>
                </w:p>
                <w:p w14:paraId="597C4D26">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highlight w:val="none"/>
                      <w:lang w:val="en-US" w:eastAsia="zh-CN"/>
                    </w:rPr>
                    <w:t>最终排入</w:t>
                  </w:r>
                  <w:r>
                    <w:rPr>
                      <w:rFonts w:hint="eastAsia"/>
                      <w:b w:val="0"/>
                      <w:bCs w:val="0"/>
                      <w:color w:val="auto"/>
                      <w:sz w:val="21"/>
                      <w:szCs w:val="21"/>
                      <w:highlight w:val="none"/>
                      <w:u w:val="none"/>
                      <w:lang w:val="en-US" w:eastAsia="zh-CN"/>
                    </w:rPr>
                    <w:t>叶县廉村镇污水处理站</w:t>
                  </w:r>
                </w:p>
              </w:tc>
            </w:tr>
            <w:tr w14:paraId="36C4DA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448" w:type="pct"/>
                  <w:vMerge w:val="restart"/>
                  <w:tcBorders>
                    <w:tl2br w:val="nil"/>
                    <w:tr2bl w:val="nil"/>
                  </w:tcBorders>
                  <w:noWrap w:val="0"/>
                  <w:vAlign w:val="center"/>
                </w:tcPr>
                <w:p w14:paraId="0B181C37">
                  <w:pPr>
                    <w:keepNext w:val="0"/>
                    <w:keepLines w:val="0"/>
                    <w:pageBreakBefore w:val="0"/>
                    <w:widowControl w:val="0"/>
                    <w:kinsoku/>
                    <w:overflowPunct/>
                    <w:topLinePunct w:val="0"/>
                    <w:autoSpaceDE/>
                    <w:autoSpaceDN/>
                    <w:bidi w:val="0"/>
                    <w:jc w:val="center"/>
                    <w:textAlignment w:val="auto"/>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固废</w:t>
                  </w:r>
                </w:p>
              </w:tc>
              <w:tc>
                <w:tcPr>
                  <w:tcW w:w="689" w:type="pct"/>
                  <w:tcBorders>
                    <w:tl2br w:val="nil"/>
                    <w:tr2bl w:val="nil"/>
                  </w:tcBorders>
                  <w:noWrap w:val="0"/>
                  <w:vAlign w:val="center"/>
                </w:tcPr>
                <w:p w14:paraId="5A7774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szCs w:val="21"/>
                      <w:lang w:val="en-US" w:eastAsia="zh-CN"/>
                    </w:rPr>
                  </w:pPr>
                  <w:r>
                    <w:rPr>
                      <w:rFonts w:hint="eastAsia" w:cs="Times New Roman"/>
                      <w:color w:val="000000"/>
                      <w:szCs w:val="21"/>
                      <w:lang w:val="en-US" w:eastAsia="zh-CN"/>
                    </w:rPr>
                    <w:t>牛骨粉碎工序</w:t>
                  </w:r>
                </w:p>
              </w:tc>
              <w:tc>
                <w:tcPr>
                  <w:tcW w:w="526" w:type="pct"/>
                  <w:tcBorders>
                    <w:tl2br w:val="nil"/>
                    <w:tr2bl w:val="nil"/>
                  </w:tcBorders>
                  <w:shd w:val="clear" w:color="auto" w:fill="auto"/>
                  <w:noWrap w:val="0"/>
                  <w:vAlign w:val="center"/>
                </w:tcPr>
                <w:p w14:paraId="322ED7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牛骨</w:t>
                  </w:r>
                </w:p>
                <w:p w14:paraId="6EED0F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残渣</w:t>
                  </w:r>
                </w:p>
              </w:tc>
              <w:tc>
                <w:tcPr>
                  <w:tcW w:w="3336" w:type="pct"/>
                  <w:tcBorders>
                    <w:tl2br w:val="nil"/>
                    <w:tr2bl w:val="nil"/>
                  </w:tcBorders>
                  <w:noWrap w:val="0"/>
                  <w:vAlign w:val="center"/>
                </w:tcPr>
                <w:p w14:paraId="6B216D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s="宋体"/>
                      <w:color w:val="auto"/>
                      <w:kern w:val="2"/>
                      <w:sz w:val="21"/>
                      <w:szCs w:val="21"/>
                      <w:lang w:val="en-US" w:eastAsia="zh-CN" w:bidi="ar-SA"/>
                    </w:rPr>
                    <w:t>无法利用的牛骨残渣收集起来后由环卫部门集中清运或由附近养殖户利用</w:t>
                  </w:r>
                </w:p>
              </w:tc>
            </w:tr>
            <w:tr w14:paraId="7217157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448" w:type="pct"/>
                  <w:vMerge w:val="continue"/>
                  <w:tcBorders>
                    <w:tl2br w:val="nil"/>
                    <w:tr2bl w:val="nil"/>
                  </w:tcBorders>
                  <w:noWrap w:val="0"/>
                  <w:vAlign w:val="center"/>
                </w:tcPr>
                <w:p w14:paraId="21812106">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6FFF2B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szCs w:val="21"/>
                      <w:lang w:val="en-US" w:eastAsia="zh-CN"/>
                    </w:rPr>
                  </w:pPr>
                  <w:r>
                    <w:rPr>
                      <w:rFonts w:hint="eastAsia" w:cs="Times New Roman"/>
                      <w:color w:val="000000"/>
                      <w:szCs w:val="21"/>
                      <w:lang w:val="en-US" w:eastAsia="zh-CN"/>
                    </w:rPr>
                    <w:t>辣椒去把工序</w:t>
                  </w:r>
                </w:p>
              </w:tc>
              <w:tc>
                <w:tcPr>
                  <w:tcW w:w="526" w:type="pct"/>
                  <w:tcBorders>
                    <w:tl2br w:val="nil"/>
                    <w:tr2bl w:val="nil"/>
                  </w:tcBorders>
                  <w:shd w:val="clear" w:color="auto" w:fill="auto"/>
                  <w:noWrap w:val="0"/>
                  <w:vAlign w:val="center"/>
                </w:tcPr>
                <w:p w14:paraId="554A47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辣椒把和辣椒叶</w:t>
                  </w:r>
                </w:p>
              </w:tc>
              <w:tc>
                <w:tcPr>
                  <w:tcW w:w="3336" w:type="pct"/>
                  <w:tcBorders>
                    <w:tl2br w:val="nil"/>
                    <w:tr2bl w:val="nil"/>
                  </w:tcBorders>
                  <w:noWrap w:val="0"/>
                  <w:vAlign w:val="center"/>
                </w:tcPr>
                <w:p w14:paraId="567BA7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s="宋体"/>
                      <w:color w:val="auto"/>
                      <w:kern w:val="2"/>
                      <w:sz w:val="21"/>
                      <w:szCs w:val="21"/>
                      <w:lang w:val="en-US" w:eastAsia="zh-CN" w:bidi="ar-SA"/>
                    </w:rPr>
                    <w:t>挑选出来的</w:t>
                  </w:r>
                  <w:r>
                    <w:rPr>
                      <w:rFonts w:hint="eastAsia" w:cs="Times New Roman"/>
                      <w:color w:val="000000"/>
                      <w:szCs w:val="21"/>
                      <w:lang w:val="en-US" w:eastAsia="zh-CN"/>
                    </w:rPr>
                    <w:t>辣椒把和辣椒叶</w:t>
                  </w:r>
                  <w:r>
                    <w:rPr>
                      <w:rFonts w:hint="eastAsia" w:cs="宋体"/>
                      <w:color w:val="auto"/>
                      <w:kern w:val="2"/>
                      <w:sz w:val="21"/>
                      <w:szCs w:val="21"/>
                      <w:lang w:val="en-US" w:eastAsia="zh-CN" w:bidi="ar-SA"/>
                    </w:rPr>
                    <w:t>收集起来后由环卫部门集中清运</w:t>
                  </w:r>
                </w:p>
              </w:tc>
            </w:tr>
            <w:tr w14:paraId="1DC47C4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448" w:type="pct"/>
                  <w:vMerge w:val="continue"/>
                  <w:tcBorders>
                    <w:tl2br w:val="nil"/>
                    <w:tr2bl w:val="nil"/>
                  </w:tcBorders>
                  <w:noWrap w:val="0"/>
                  <w:vAlign w:val="center"/>
                </w:tcPr>
                <w:p w14:paraId="1CE2FC53">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04B90A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szCs w:val="21"/>
                      <w:lang w:val="en-US" w:eastAsia="zh-CN"/>
                    </w:rPr>
                  </w:pPr>
                  <w:r>
                    <w:rPr>
                      <w:rFonts w:hint="eastAsia" w:cs="Times New Roman"/>
                      <w:color w:val="000000"/>
                      <w:szCs w:val="21"/>
                      <w:lang w:val="en-US" w:eastAsia="zh-CN"/>
                    </w:rPr>
                    <w:t>检验工序</w:t>
                  </w:r>
                </w:p>
              </w:tc>
              <w:tc>
                <w:tcPr>
                  <w:tcW w:w="526" w:type="pct"/>
                  <w:tcBorders>
                    <w:tl2br w:val="nil"/>
                    <w:tr2bl w:val="nil"/>
                  </w:tcBorders>
                  <w:shd w:val="clear" w:color="auto" w:fill="auto"/>
                  <w:noWrap w:val="0"/>
                  <w:vAlign w:val="center"/>
                </w:tcPr>
                <w:p w14:paraId="76CBEE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不合</w:t>
                  </w:r>
                </w:p>
                <w:p w14:paraId="6319CD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格品</w:t>
                  </w:r>
                </w:p>
              </w:tc>
              <w:tc>
                <w:tcPr>
                  <w:tcW w:w="3336" w:type="pct"/>
                  <w:tcBorders>
                    <w:tl2br w:val="nil"/>
                    <w:tr2bl w:val="nil"/>
                  </w:tcBorders>
                  <w:noWrap w:val="0"/>
                  <w:vAlign w:val="center"/>
                </w:tcPr>
                <w:p w14:paraId="079FA6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s="宋体"/>
                      <w:color w:val="auto"/>
                      <w:kern w:val="2"/>
                      <w:sz w:val="21"/>
                      <w:szCs w:val="21"/>
                      <w:lang w:val="en-US" w:eastAsia="zh-CN" w:bidi="ar-SA"/>
                    </w:rPr>
                    <w:t>企业将不合格产品收集暂存在一般固废间（5m</w:t>
                  </w:r>
                  <w:r>
                    <w:rPr>
                      <w:rFonts w:hint="eastAsia" w:cs="宋体"/>
                      <w:color w:val="auto"/>
                      <w:kern w:val="2"/>
                      <w:sz w:val="21"/>
                      <w:szCs w:val="21"/>
                      <w:vertAlign w:val="superscript"/>
                      <w:lang w:val="en-US" w:eastAsia="zh-CN" w:bidi="ar-SA"/>
                    </w:rPr>
                    <w:t>2</w:t>
                  </w:r>
                  <w:r>
                    <w:rPr>
                      <w:rFonts w:hint="eastAsia" w:cs="宋体"/>
                      <w:color w:val="auto"/>
                      <w:kern w:val="2"/>
                      <w:sz w:val="21"/>
                      <w:szCs w:val="21"/>
                      <w:lang w:val="en-US" w:eastAsia="zh-CN" w:bidi="ar-SA"/>
                    </w:rPr>
                    <w:t>）</w:t>
                  </w:r>
                </w:p>
                <w:p w14:paraId="28EC5D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由环卫部门集中清运</w:t>
                  </w:r>
                  <w:r>
                    <w:rPr>
                      <w:rFonts w:hint="eastAsia" w:cs="宋体"/>
                      <w:color w:val="auto"/>
                      <w:kern w:val="2"/>
                      <w:sz w:val="21"/>
                      <w:szCs w:val="21"/>
                      <w:lang w:val="en-US" w:eastAsia="zh-CN" w:bidi="ar-SA"/>
                    </w:rPr>
                    <w:t>处理</w:t>
                  </w:r>
                </w:p>
              </w:tc>
            </w:tr>
            <w:tr w14:paraId="5BD4FAE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448" w:type="pct"/>
                  <w:vMerge w:val="continue"/>
                  <w:tcBorders>
                    <w:tl2br w:val="nil"/>
                    <w:tr2bl w:val="nil"/>
                  </w:tcBorders>
                  <w:noWrap w:val="0"/>
                  <w:vAlign w:val="center"/>
                </w:tcPr>
                <w:p w14:paraId="7F9D8B21">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534AA8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szCs w:val="21"/>
                      <w:lang w:val="en-US" w:eastAsia="zh-CN"/>
                    </w:rPr>
                  </w:pPr>
                  <w:r>
                    <w:rPr>
                      <w:rFonts w:hint="eastAsia" w:cs="Times New Roman"/>
                      <w:color w:val="000000"/>
                      <w:szCs w:val="21"/>
                      <w:lang w:val="en-US" w:eastAsia="zh-CN"/>
                    </w:rPr>
                    <w:t>挑选工序</w:t>
                  </w:r>
                </w:p>
              </w:tc>
              <w:tc>
                <w:tcPr>
                  <w:tcW w:w="526" w:type="pct"/>
                  <w:tcBorders>
                    <w:tl2br w:val="nil"/>
                    <w:tr2bl w:val="nil"/>
                  </w:tcBorders>
                  <w:shd w:val="clear" w:color="auto" w:fill="auto"/>
                  <w:noWrap w:val="0"/>
                  <w:vAlign w:val="center"/>
                </w:tcPr>
                <w:p w14:paraId="78A5D7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辣椒</w:t>
                  </w:r>
                </w:p>
                <w:p w14:paraId="43F0EE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残渣</w:t>
                  </w:r>
                </w:p>
              </w:tc>
              <w:tc>
                <w:tcPr>
                  <w:tcW w:w="3336" w:type="pct"/>
                  <w:tcBorders>
                    <w:tl2br w:val="nil"/>
                    <w:tr2bl w:val="nil"/>
                  </w:tcBorders>
                  <w:noWrap w:val="0"/>
                  <w:vAlign w:val="center"/>
                </w:tcPr>
                <w:p w14:paraId="628F8B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s="宋体"/>
                      <w:color w:val="auto"/>
                      <w:kern w:val="2"/>
                      <w:sz w:val="21"/>
                      <w:szCs w:val="21"/>
                      <w:lang w:val="en-US" w:eastAsia="zh-CN" w:bidi="ar-SA"/>
                    </w:rPr>
                    <w:t>挑选出来的废原料、废叶杆统一分类收集起来后由环卫部门集中清运或由附近养殖户利用</w:t>
                  </w:r>
                </w:p>
              </w:tc>
            </w:tr>
            <w:tr w14:paraId="591DAF9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448" w:type="pct"/>
                  <w:vMerge w:val="continue"/>
                  <w:tcBorders>
                    <w:tl2br w:val="nil"/>
                    <w:tr2bl w:val="nil"/>
                  </w:tcBorders>
                  <w:noWrap w:val="0"/>
                  <w:vAlign w:val="center"/>
                </w:tcPr>
                <w:p w14:paraId="078B85E8">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bookmarkStart w:id="5" w:name="OLE_LINK6" w:colFirst="1" w:colLast="3"/>
                </w:p>
              </w:tc>
              <w:tc>
                <w:tcPr>
                  <w:tcW w:w="689" w:type="pct"/>
                  <w:tcBorders>
                    <w:tl2br w:val="nil"/>
                    <w:tr2bl w:val="nil"/>
                  </w:tcBorders>
                  <w:noWrap w:val="0"/>
                  <w:vAlign w:val="center"/>
                </w:tcPr>
                <w:p w14:paraId="727BFA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废水处理</w:t>
                  </w:r>
                </w:p>
              </w:tc>
              <w:tc>
                <w:tcPr>
                  <w:tcW w:w="526" w:type="pct"/>
                  <w:tcBorders>
                    <w:tl2br w:val="nil"/>
                    <w:tr2bl w:val="nil"/>
                  </w:tcBorders>
                  <w:noWrap w:val="0"/>
                  <w:vAlign w:val="center"/>
                </w:tcPr>
                <w:p w14:paraId="527C33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沉淀</w:t>
                  </w:r>
                </w:p>
                <w:p w14:paraId="4EAB06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污泥</w:t>
                  </w:r>
                </w:p>
              </w:tc>
              <w:tc>
                <w:tcPr>
                  <w:tcW w:w="3336" w:type="pct"/>
                  <w:tcBorders>
                    <w:tl2br w:val="nil"/>
                    <w:tr2bl w:val="nil"/>
                  </w:tcBorders>
                  <w:noWrap w:val="0"/>
                  <w:vAlign w:val="center"/>
                </w:tcPr>
                <w:p w14:paraId="3270D6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szCs w:val="21"/>
                      <w:lang w:val="en-US" w:eastAsia="zh-CN"/>
                    </w:rPr>
                  </w:pPr>
                  <w:r>
                    <w:rPr>
                      <w:rFonts w:hint="eastAsia" w:cs="宋体"/>
                      <w:color w:val="auto"/>
                      <w:kern w:val="2"/>
                      <w:sz w:val="21"/>
                      <w:szCs w:val="21"/>
                      <w:lang w:val="en-US" w:eastAsia="zh-CN" w:bidi="ar-SA"/>
                    </w:rPr>
                    <w:t>沉淀下来的杂质或者污泥，企业分类收集处理</w:t>
                  </w:r>
                  <w:r>
                    <w:rPr>
                      <w:rFonts w:hint="eastAsia" w:ascii="Times New Roman" w:hAnsi="Times New Roman" w:eastAsia="宋体" w:cs="宋体"/>
                      <w:color w:val="auto"/>
                      <w:kern w:val="2"/>
                      <w:sz w:val="21"/>
                      <w:szCs w:val="21"/>
                      <w:lang w:val="en-US" w:eastAsia="zh-CN" w:bidi="ar-SA"/>
                    </w:rPr>
                    <w:t>由</w:t>
                  </w:r>
                  <w:r>
                    <w:rPr>
                      <w:rFonts w:hint="eastAsia" w:cs="宋体"/>
                      <w:color w:val="auto"/>
                      <w:kern w:val="2"/>
                      <w:sz w:val="21"/>
                      <w:szCs w:val="21"/>
                      <w:lang w:val="en-US" w:eastAsia="zh-CN" w:bidi="ar-SA"/>
                    </w:rPr>
                    <w:t>抽吸车拉走至</w:t>
                  </w:r>
                  <w:r>
                    <w:rPr>
                      <w:rFonts w:hint="eastAsia" w:ascii="Times New Roman" w:hAnsi="Times New Roman" w:eastAsia="宋体" w:cs="宋体"/>
                      <w:color w:val="auto"/>
                      <w:kern w:val="2"/>
                      <w:sz w:val="21"/>
                      <w:szCs w:val="21"/>
                      <w:lang w:val="en-US" w:eastAsia="zh-CN" w:bidi="ar-SA"/>
                    </w:rPr>
                    <w:t>环卫部门集中清运</w:t>
                  </w:r>
                </w:p>
              </w:tc>
            </w:tr>
            <w:tr w14:paraId="546A4F6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448" w:type="pct"/>
                  <w:vMerge w:val="continue"/>
                  <w:tcBorders>
                    <w:tl2br w:val="nil"/>
                    <w:tr2bl w:val="nil"/>
                  </w:tcBorders>
                  <w:noWrap w:val="0"/>
                  <w:vAlign w:val="center"/>
                </w:tcPr>
                <w:p w14:paraId="6C2B740A">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1F4BD4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szCs w:val="21"/>
                      <w:lang w:val="en-US" w:eastAsia="zh-CN"/>
                    </w:rPr>
                  </w:pPr>
                  <w:r>
                    <w:rPr>
                      <w:rFonts w:hint="eastAsia" w:cs="Times New Roman"/>
                      <w:color w:val="000000"/>
                      <w:szCs w:val="21"/>
                      <w:lang w:val="en-US" w:eastAsia="zh-CN"/>
                    </w:rPr>
                    <w:t>打/拆包</w:t>
                  </w:r>
                </w:p>
                <w:p w14:paraId="4665F4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工序</w:t>
                  </w:r>
                </w:p>
              </w:tc>
              <w:tc>
                <w:tcPr>
                  <w:tcW w:w="526" w:type="pct"/>
                  <w:tcBorders>
                    <w:tl2br w:val="nil"/>
                    <w:tr2bl w:val="nil"/>
                  </w:tcBorders>
                  <w:noWrap w:val="0"/>
                  <w:vAlign w:val="center"/>
                </w:tcPr>
                <w:p w14:paraId="403A34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废包装材料</w:t>
                  </w:r>
                </w:p>
              </w:tc>
              <w:tc>
                <w:tcPr>
                  <w:tcW w:w="3336" w:type="pct"/>
                  <w:tcBorders>
                    <w:tl2br w:val="nil"/>
                    <w:tr2bl w:val="nil"/>
                  </w:tcBorders>
                  <w:noWrap w:val="0"/>
                  <w:vAlign w:val="center"/>
                </w:tcPr>
                <w:p w14:paraId="6E204C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拆下来的内包装和成品打包有的废包装材料统一收集起来</w:t>
                  </w:r>
                  <w:r>
                    <w:rPr>
                      <w:rFonts w:hint="eastAsia" w:ascii="Times New Roman" w:hAnsi="Times New Roman" w:eastAsia="宋体" w:cs="宋体"/>
                      <w:color w:val="auto"/>
                      <w:kern w:val="2"/>
                      <w:sz w:val="21"/>
                      <w:szCs w:val="21"/>
                      <w:lang w:val="en-US" w:eastAsia="zh-CN" w:bidi="ar-SA"/>
                    </w:rPr>
                    <w:t>由环卫部门集中清运</w:t>
                  </w:r>
                  <w:r>
                    <w:rPr>
                      <w:rFonts w:hint="eastAsia" w:cs="宋体"/>
                      <w:color w:val="auto"/>
                      <w:kern w:val="2"/>
                      <w:sz w:val="21"/>
                      <w:szCs w:val="21"/>
                      <w:lang w:val="en-US" w:eastAsia="zh-CN" w:bidi="ar-SA"/>
                    </w:rPr>
                    <w:t>处理</w:t>
                  </w:r>
                </w:p>
              </w:tc>
            </w:tr>
            <w:tr w14:paraId="093AFB1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448" w:type="pct"/>
                  <w:vMerge w:val="continue"/>
                  <w:tcBorders>
                    <w:tl2br w:val="nil"/>
                    <w:tr2bl w:val="nil"/>
                  </w:tcBorders>
                  <w:noWrap w:val="0"/>
                  <w:vAlign w:val="center"/>
                </w:tcPr>
                <w:p w14:paraId="320E66F1">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6C152A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zh-CN"/>
                    </w:rPr>
                    <w:t>职工</w:t>
                  </w:r>
                  <w:r>
                    <w:rPr>
                      <w:rFonts w:hint="eastAsia" w:cs="Times New Roman"/>
                      <w:bCs/>
                      <w:color w:val="000000"/>
                      <w:szCs w:val="21"/>
                      <w:lang w:val="en-US" w:eastAsia="zh-CN"/>
                    </w:rPr>
                    <w:t>生活</w:t>
                  </w:r>
                </w:p>
              </w:tc>
              <w:tc>
                <w:tcPr>
                  <w:tcW w:w="526" w:type="pct"/>
                  <w:tcBorders>
                    <w:tl2br w:val="nil"/>
                    <w:tr2bl w:val="nil"/>
                  </w:tcBorders>
                  <w:noWrap w:val="0"/>
                  <w:vAlign w:val="center"/>
                </w:tcPr>
                <w:p w14:paraId="15F618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lang w:val="zh-CN"/>
                    </w:rPr>
                  </w:pPr>
                  <w:r>
                    <w:rPr>
                      <w:rFonts w:hint="default" w:ascii="Times New Roman" w:hAnsi="Times New Roman" w:cs="Times New Roman"/>
                      <w:color w:val="000000"/>
                      <w:kern w:val="0"/>
                      <w:szCs w:val="21"/>
                      <w:lang w:val="zh-CN"/>
                    </w:rPr>
                    <w:t>生活</w:t>
                  </w:r>
                </w:p>
                <w:p w14:paraId="015D05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szCs w:val="21"/>
                      <w:lang w:val="zh-CN"/>
                    </w:rPr>
                  </w:pPr>
                  <w:r>
                    <w:rPr>
                      <w:rFonts w:hint="default" w:ascii="Times New Roman" w:hAnsi="Times New Roman" w:cs="Times New Roman"/>
                      <w:color w:val="000000"/>
                      <w:kern w:val="0"/>
                      <w:szCs w:val="21"/>
                      <w:lang w:val="zh-CN"/>
                    </w:rPr>
                    <w:t>垃圾</w:t>
                  </w:r>
                </w:p>
              </w:tc>
              <w:tc>
                <w:tcPr>
                  <w:tcW w:w="3336" w:type="pct"/>
                  <w:tcBorders>
                    <w:tl2br w:val="nil"/>
                    <w:tr2bl w:val="nil"/>
                  </w:tcBorders>
                  <w:noWrap w:val="0"/>
                  <w:vAlign w:val="center"/>
                </w:tcPr>
                <w:p w14:paraId="3A37A1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szCs w:val="21"/>
                      <w:lang w:val="zh-CN"/>
                    </w:rPr>
                  </w:pPr>
                  <w:r>
                    <w:rPr>
                      <w:rFonts w:hint="eastAsia" w:cs="宋体"/>
                      <w:color w:val="auto"/>
                      <w:kern w:val="2"/>
                      <w:sz w:val="21"/>
                      <w:szCs w:val="21"/>
                      <w:lang w:val="en-US" w:eastAsia="zh-CN" w:bidi="ar-SA"/>
                    </w:rPr>
                    <w:t>企业将生活垃圾分类收集处理</w:t>
                  </w:r>
                  <w:r>
                    <w:rPr>
                      <w:rFonts w:hint="eastAsia" w:ascii="Times New Roman" w:hAnsi="Times New Roman" w:eastAsia="宋体" w:cs="宋体"/>
                      <w:color w:val="auto"/>
                      <w:kern w:val="2"/>
                      <w:sz w:val="21"/>
                      <w:szCs w:val="21"/>
                      <w:lang w:val="en-US" w:eastAsia="zh-CN" w:bidi="ar-SA"/>
                    </w:rPr>
                    <w:t>，由环卫部门集中清运</w:t>
                  </w:r>
                </w:p>
              </w:tc>
            </w:tr>
            <w:tr w14:paraId="2AB0EB6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36" w:hRule="atLeast"/>
                <w:jc w:val="center"/>
              </w:trPr>
              <w:tc>
                <w:tcPr>
                  <w:tcW w:w="448" w:type="pct"/>
                  <w:vMerge w:val="continue"/>
                  <w:tcBorders>
                    <w:tl2br w:val="nil"/>
                    <w:tr2bl w:val="nil"/>
                  </w:tcBorders>
                  <w:noWrap w:val="0"/>
                  <w:vAlign w:val="center"/>
                </w:tcPr>
                <w:p w14:paraId="5707F376">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p>
              </w:tc>
              <w:tc>
                <w:tcPr>
                  <w:tcW w:w="689" w:type="pct"/>
                  <w:tcBorders>
                    <w:tl2br w:val="nil"/>
                    <w:tr2bl w:val="nil"/>
                  </w:tcBorders>
                  <w:noWrap w:val="0"/>
                  <w:vAlign w:val="center"/>
                </w:tcPr>
                <w:p w14:paraId="4A0109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废气处理</w:t>
                  </w:r>
                </w:p>
              </w:tc>
              <w:tc>
                <w:tcPr>
                  <w:tcW w:w="526" w:type="pct"/>
                  <w:tcBorders>
                    <w:tl2br w:val="nil"/>
                    <w:tr2bl w:val="nil"/>
                  </w:tcBorders>
                  <w:noWrap w:val="0"/>
                  <w:vAlign w:val="center"/>
                </w:tcPr>
                <w:p w14:paraId="24ECA6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kern w:val="0"/>
                      <w:szCs w:val="21"/>
                      <w:lang w:val="en-US" w:eastAsia="zh-CN"/>
                    </w:rPr>
                  </w:pPr>
                  <w:r>
                    <w:rPr>
                      <w:rFonts w:hint="eastAsia" w:cs="Times New Roman"/>
                      <w:color w:val="000000"/>
                      <w:kern w:val="0"/>
                      <w:szCs w:val="21"/>
                      <w:lang w:val="en-US" w:eastAsia="zh-CN"/>
                    </w:rPr>
                    <w:t>废活</w:t>
                  </w:r>
                </w:p>
                <w:p w14:paraId="4A50F6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性炭</w:t>
                  </w:r>
                </w:p>
              </w:tc>
              <w:tc>
                <w:tcPr>
                  <w:tcW w:w="3336" w:type="pct"/>
                  <w:tcBorders>
                    <w:tl2br w:val="nil"/>
                    <w:tr2bl w:val="nil"/>
                  </w:tcBorders>
                  <w:noWrap w:val="0"/>
                  <w:vAlign w:val="center"/>
                </w:tcPr>
                <w:p w14:paraId="5886EF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s="Times New Roman"/>
                      <w:highlight w:val="none"/>
                      <w:vertAlign w:val="baseline"/>
                      <w:lang w:val="en-US" w:eastAsia="zh-CN"/>
                    </w:rPr>
                    <w:t>危险废物暂存在危废间由有资质单位安全处理</w:t>
                  </w:r>
                </w:p>
              </w:tc>
            </w:tr>
            <w:bookmarkEnd w:id="5"/>
            <w:tr w14:paraId="7246A8F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3" w:hRule="atLeast"/>
                <w:jc w:val="center"/>
              </w:trPr>
              <w:tc>
                <w:tcPr>
                  <w:tcW w:w="448" w:type="pct"/>
                  <w:tcBorders>
                    <w:tl2br w:val="nil"/>
                    <w:tr2bl w:val="nil"/>
                  </w:tcBorders>
                  <w:noWrap w:val="0"/>
                  <w:vAlign w:val="center"/>
                </w:tcPr>
                <w:p w14:paraId="162C47CF">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689" w:type="pct"/>
                  <w:tcBorders>
                    <w:tl2br w:val="nil"/>
                    <w:tr2bl w:val="nil"/>
                  </w:tcBorders>
                  <w:noWrap w:val="0"/>
                  <w:vAlign w:val="center"/>
                </w:tcPr>
                <w:p w14:paraId="607425F2">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生产设备</w:t>
                  </w:r>
                </w:p>
              </w:tc>
              <w:tc>
                <w:tcPr>
                  <w:tcW w:w="526" w:type="pct"/>
                  <w:tcBorders>
                    <w:tl2br w:val="nil"/>
                    <w:tr2bl w:val="nil"/>
                  </w:tcBorders>
                  <w:noWrap w:val="0"/>
                  <w:vAlign w:val="center"/>
                </w:tcPr>
                <w:p w14:paraId="42BED73C">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3336" w:type="pct"/>
                  <w:tcBorders>
                    <w:tl2br w:val="nil"/>
                    <w:tr2bl w:val="nil"/>
                  </w:tcBorders>
                  <w:noWrap w:val="0"/>
                  <w:vAlign w:val="center"/>
                </w:tcPr>
                <w:p w14:paraId="3F1AE9D8">
                  <w:pPr>
                    <w:keepNext w:val="0"/>
                    <w:keepLines w:val="0"/>
                    <w:pageBreakBefore w:val="0"/>
                    <w:widowControl w:val="0"/>
                    <w:kinsoku/>
                    <w:overflowPunct/>
                    <w:topLinePunct w:val="0"/>
                    <w:autoSpaceDE/>
                    <w:autoSpaceDN/>
                    <w:bidi w:val="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基础减振、厂房隔声等</w:t>
                  </w:r>
                </w:p>
              </w:tc>
            </w:tr>
          </w:tbl>
          <w:p w14:paraId="38BE3C75">
            <w:pPr>
              <w:pStyle w:val="27"/>
              <w:ind w:firstLine="0"/>
              <w:rPr>
                <w:rFonts w:hint="default" w:ascii="Times New Roman" w:hAnsi="Times New Roman" w:cs="Times New Roman"/>
                <w:bCs/>
              </w:rPr>
            </w:pPr>
          </w:p>
        </w:tc>
      </w:tr>
      <w:tr w14:paraId="5E9C9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9" w:hRule="atLeast"/>
          <w:jc w:val="center"/>
        </w:trPr>
        <w:tc>
          <w:tcPr>
            <w:tcW w:w="817" w:type="dxa"/>
            <w:noWrap w:val="0"/>
            <w:vAlign w:val="center"/>
          </w:tcPr>
          <w:p w14:paraId="5EDA5026">
            <w:pPr>
              <w:pStyle w:val="17"/>
              <w:adjustRightInd w:val="0"/>
              <w:snapToGrid w:val="0"/>
              <w:spacing w:before="0" w:beforeAutospacing="0" w:after="0" w:afterAutospacing="0"/>
              <w:jc w:val="center"/>
              <w:rPr>
                <w:rFonts w:hint="default" w:ascii="Times New Roman" w:hAnsi="Times New Roman" w:cs="Times New Roman"/>
                <w:b/>
                <w:szCs w:val="24"/>
                <w:lang w:val="en-US" w:eastAsia="zh-CN"/>
              </w:rPr>
            </w:pPr>
            <w:r>
              <w:rPr>
                <w:rFonts w:hint="default" w:ascii="Times New Roman" w:hAnsi="Times New Roman" w:cs="Times New Roman"/>
                <w:b/>
                <w:bCs/>
                <w:kern w:val="2"/>
                <w:szCs w:val="24"/>
                <w:lang w:val="en-US" w:eastAsia="zh-CN"/>
              </w:rPr>
              <w:t>与项目有关的原有环境污染问题</w:t>
            </w:r>
          </w:p>
        </w:tc>
        <w:tc>
          <w:tcPr>
            <w:tcW w:w="8243" w:type="dxa"/>
            <w:noWrap w:val="0"/>
            <w:vAlign w:val="top"/>
          </w:tcPr>
          <w:p w14:paraId="5C45AE0B">
            <w:pPr>
              <w:pStyle w:val="27"/>
              <w:rPr>
                <w:rFonts w:hint="default" w:ascii="Times New Roman" w:hAnsi="Times New Roman" w:cs="Times New Roman"/>
                <w:bCs/>
              </w:rPr>
            </w:pPr>
          </w:p>
          <w:p w14:paraId="24DAF0E4">
            <w:pPr>
              <w:pStyle w:val="27"/>
              <w:rPr>
                <w:rFonts w:hint="default" w:ascii="Times New Roman" w:hAnsi="Times New Roman" w:cs="Times New Roman"/>
                <w:bCs/>
              </w:rPr>
            </w:pPr>
            <w:r>
              <w:rPr>
                <w:rFonts w:hint="default" w:ascii="Times New Roman" w:hAnsi="Times New Roman" w:cs="Times New Roman"/>
                <w:bCs/>
              </w:rPr>
              <w:t>本项目选址位于</w:t>
            </w:r>
            <w:r>
              <w:rPr>
                <w:rFonts w:hint="default" w:ascii="Times New Roman" w:hAnsi="Times New Roman" w:cs="Times New Roman"/>
                <w:bCs/>
                <w:lang w:eastAsia="zh-CN"/>
              </w:rPr>
              <w:t>平顶山</w:t>
            </w:r>
            <w:r>
              <w:rPr>
                <w:rFonts w:hint="default" w:ascii="Times New Roman" w:hAnsi="Times New Roman" w:cs="Times New Roman"/>
                <w:bCs/>
                <w:lang w:val="en-US" w:eastAsia="zh-CN"/>
              </w:rPr>
              <w:t>市叶县廉村镇</w:t>
            </w:r>
            <w:r>
              <w:rPr>
                <w:rFonts w:hint="eastAsia" w:hAnsi="Times New Roman" w:cs="Times New Roman"/>
                <w:bCs/>
                <w:lang w:val="en-US" w:eastAsia="zh-CN"/>
              </w:rPr>
              <w:t>沙渡口</w:t>
            </w:r>
            <w:r>
              <w:rPr>
                <w:rFonts w:hint="default" w:ascii="Times New Roman" w:hAnsi="Times New Roman" w:cs="Times New Roman"/>
                <w:bCs/>
                <w:lang w:val="en-US" w:eastAsia="zh-CN"/>
              </w:rPr>
              <w:t>村</w:t>
            </w:r>
            <w:r>
              <w:rPr>
                <w:rFonts w:hint="eastAsia" w:hAnsi="Times New Roman" w:cs="Times New Roman"/>
                <w:bCs/>
                <w:lang w:val="en-US" w:eastAsia="zh-CN"/>
              </w:rPr>
              <w:t>二组1号</w:t>
            </w:r>
            <w:r>
              <w:rPr>
                <w:rFonts w:hint="default" w:ascii="Times New Roman" w:hAnsi="Times New Roman" w:cs="Times New Roman"/>
                <w:bCs/>
                <w:lang w:val="en-US" w:eastAsia="zh-CN"/>
              </w:rPr>
              <w:t>建设该项目</w:t>
            </w:r>
            <w:r>
              <w:rPr>
                <w:rFonts w:hint="default" w:ascii="Times New Roman" w:hAnsi="Times New Roman" w:cs="Times New Roman"/>
                <w:bCs/>
                <w:lang w:eastAsia="zh-CN"/>
              </w:rPr>
              <w:t>，</w:t>
            </w:r>
            <w:r>
              <w:rPr>
                <w:rFonts w:hint="default" w:ascii="Times New Roman" w:hAnsi="Times New Roman" w:cs="Times New Roman"/>
                <w:bCs/>
                <w:lang w:val="en-US" w:eastAsia="zh-CN"/>
              </w:rPr>
              <w:t>经现场勘查，该选址</w:t>
            </w:r>
            <w:r>
              <w:rPr>
                <w:rFonts w:hint="default" w:ascii="Times New Roman" w:hAnsi="Times New Roman" w:cs="Times New Roman"/>
                <w:bCs/>
                <w:lang w:eastAsia="zh-CN"/>
              </w:rPr>
              <w:t>现状为空地，</w:t>
            </w:r>
            <w:r>
              <w:rPr>
                <w:rFonts w:hint="default" w:ascii="Times New Roman" w:hAnsi="Times New Roman" w:cs="Times New Roman"/>
                <w:bCs/>
                <w:lang w:val="en-US" w:eastAsia="zh-CN"/>
              </w:rPr>
              <w:t>本</w:t>
            </w:r>
            <w:r>
              <w:rPr>
                <w:rFonts w:hint="default" w:ascii="Times New Roman" w:hAnsi="Times New Roman" w:cs="Times New Roman"/>
                <w:bCs/>
                <w:lang w:eastAsia="zh-CN"/>
              </w:rPr>
              <w:t>项目为新建，</w:t>
            </w:r>
            <w:r>
              <w:rPr>
                <w:rFonts w:hint="default" w:ascii="Times New Roman" w:hAnsi="Times New Roman" w:cs="Times New Roman"/>
                <w:bCs/>
                <w:lang w:val="en-US" w:eastAsia="zh-CN"/>
              </w:rPr>
              <w:t>因此，</w:t>
            </w:r>
            <w:r>
              <w:rPr>
                <w:rFonts w:hint="default" w:ascii="Times New Roman" w:hAnsi="Times New Roman" w:cs="Times New Roman"/>
                <w:bCs/>
                <w:lang w:eastAsia="zh-CN"/>
              </w:rPr>
              <w:t>不存在原有环境污染问题。</w:t>
            </w:r>
          </w:p>
        </w:tc>
      </w:tr>
    </w:tbl>
    <w:p w14:paraId="71EF54BA">
      <w:pPr>
        <w:pStyle w:val="17"/>
        <w:jc w:val="center"/>
        <w:rPr>
          <w:rFonts w:ascii="黑体" w:hAnsi="黑体" w:eastAsia="黑体"/>
          <w:snapToGrid w:val="0"/>
          <w:sz w:val="36"/>
          <w:szCs w:val="36"/>
        </w:rPr>
        <w:sectPr>
          <w:footerReference r:id="rId3"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5D82152A">
      <w:pPr>
        <w:pStyle w:val="17"/>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353"/>
      </w:tblGrid>
      <w:tr w14:paraId="4D9C0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66" w:hRule="atLeast"/>
          <w:jc w:val="center"/>
        </w:trPr>
        <w:tc>
          <w:tcPr>
            <w:tcW w:w="637" w:type="dxa"/>
            <w:noWrap w:val="0"/>
            <w:vAlign w:val="center"/>
          </w:tcPr>
          <w:p w14:paraId="4518A0FE">
            <w:pPr>
              <w:adjustRightInd w:val="0"/>
              <w:snapToGrid w:val="0"/>
              <w:jc w:val="center"/>
              <w:rPr>
                <w:rFonts w:hint="eastAsia" w:ascii="宋体" w:hAnsi="宋体" w:cs="宋体"/>
                <w:b/>
                <w:kern w:val="0"/>
                <w:sz w:val="24"/>
              </w:rPr>
            </w:pPr>
            <w:r>
              <w:rPr>
                <w:rFonts w:hint="eastAsia" w:ascii="宋体" w:hAnsi="宋体" w:cs="宋体"/>
                <w:b/>
                <w:kern w:val="0"/>
                <w:sz w:val="24"/>
              </w:rPr>
              <w:t>区域</w:t>
            </w:r>
          </w:p>
          <w:p w14:paraId="2A8F5691">
            <w:pPr>
              <w:adjustRightInd w:val="0"/>
              <w:snapToGrid w:val="0"/>
              <w:jc w:val="center"/>
              <w:rPr>
                <w:rFonts w:hint="eastAsia" w:ascii="宋体" w:hAnsi="宋体" w:cs="宋体"/>
                <w:b/>
                <w:kern w:val="0"/>
                <w:sz w:val="24"/>
              </w:rPr>
            </w:pPr>
            <w:r>
              <w:rPr>
                <w:rFonts w:hint="eastAsia" w:ascii="宋体" w:hAnsi="宋体" w:cs="宋体"/>
                <w:b/>
                <w:kern w:val="0"/>
                <w:sz w:val="24"/>
              </w:rPr>
              <w:t>环境</w:t>
            </w:r>
          </w:p>
          <w:p w14:paraId="74CE31F5">
            <w:pPr>
              <w:adjustRightInd w:val="0"/>
              <w:snapToGrid w:val="0"/>
              <w:jc w:val="center"/>
              <w:rPr>
                <w:rFonts w:hint="eastAsia" w:ascii="宋体" w:hAnsi="宋体" w:cs="宋体"/>
                <w:b/>
                <w:kern w:val="0"/>
                <w:sz w:val="24"/>
              </w:rPr>
            </w:pPr>
            <w:r>
              <w:rPr>
                <w:rFonts w:hint="eastAsia" w:ascii="宋体" w:hAnsi="宋体" w:cs="宋体"/>
                <w:b/>
                <w:kern w:val="0"/>
                <w:sz w:val="24"/>
              </w:rPr>
              <w:t>质量</w:t>
            </w:r>
          </w:p>
          <w:p w14:paraId="612E6912">
            <w:pPr>
              <w:adjustRightInd w:val="0"/>
              <w:snapToGrid w:val="0"/>
              <w:jc w:val="center"/>
              <w:rPr>
                <w:rFonts w:ascii="宋体" w:hAnsi="宋体" w:cs="宋体"/>
                <w:kern w:val="0"/>
              </w:rPr>
            </w:pPr>
            <w:r>
              <w:rPr>
                <w:rFonts w:hint="eastAsia" w:ascii="宋体" w:hAnsi="宋体" w:cs="宋体"/>
                <w:b/>
                <w:kern w:val="0"/>
                <w:sz w:val="24"/>
              </w:rPr>
              <w:t>现状</w:t>
            </w:r>
          </w:p>
        </w:tc>
        <w:tc>
          <w:tcPr>
            <w:tcW w:w="8353" w:type="dxa"/>
            <w:noWrap w:val="0"/>
            <w:vAlign w:val="center"/>
          </w:tcPr>
          <w:p w14:paraId="46CA3FFE">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eastAsia="宋体" w:cs="Times New Roman"/>
                <w:b/>
                <w:lang w:val="en-US" w:eastAsia="zh-CN"/>
              </w:rPr>
            </w:pPr>
            <w:r>
              <w:rPr>
                <w:rFonts w:hint="default" w:ascii="Times New Roman" w:hAnsi="Times New Roman" w:cs="Times New Roman"/>
                <w:b/>
              </w:rPr>
              <w:t>1、大气环境</w:t>
            </w:r>
            <w:r>
              <w:rPr>
                <w:rFonts w:hint="eastAsia" w:hAnsi="Times New Roman" w:cs="Times New Roman"/>
                <w:b/>
                <w:lang w:val="en-US" w:eastAsia="zh-CN"/>
              </w:rPr>
              <w:t>质量现状</w:t>
            </w:r>
          </w:p>
          <w:p w14:paraId="222E45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本项目选址位于</w:t>
            </w:r>
            <w:r>
              <w:rPr>
                <w:rFonts w:hint="default" w:ascii="Times New Roman" w:hAnsi="Times New Roman" w:cs="Times New Roman"/>
                <w:bCs/>
                <w:sz w:val="24"/>
                <w:szCs w:val="24"/>
                <w:lang w:eastAsia="zh-CN"/>
              </w:rPr>
              <w:t>平顶山</w:t>
            </w:r>
            <w:r>
              <w:rPr>
                <w:rFonts w:hint="default" w:ascii="Times New Roman" w:hAnsi="Times New Roman" w:cs="Times New Roman"/>
                <w:bCs/>
                <w:sz w:val="24"/>
                <w:szCs w:val="24"/>
                <w:lang w:val="en-US" w:eastAsia="zh-CN"/>
              </w:rPr>
              <w:t>市叶县廉村镇</w:t>
            </w:r>
            <w:r>
              <w:rPr>
                <w:rFonts w:hint="eastAsia" w:hAnsi="Times New Roman" w:cs="Times New Roman"/>
                <w:bCs/>
                <w:sz w:val="24"/>
                <w:szCs w:val="24"/>
                <w:lang w:val="en-US" w:eastAsia="zh-CN"/>
              </w:rPr>
              <w:t>沙渡口</w:t>
            </w:r>
            <w:r>
              <w:rPr>
                <w:rFonts w:hint="default" w:ascii="Times New Roman" w:hAnsi="Times New Roman" w:cs="Times New Roman"/>
                <w:bCs/>
                <w:sz w:val="24"/>
                <w:szCs w:val="24"/>
                <w:lang w:val="en-US" w:eastAsia="zh-CN"/>
              </w:rPr>
              <w:t>村</w:t>
            </w:r>
            <w:r>
              <w:rPr>
                <w:rFonts w:hint="eastAsia" w:hAnsi="Times New Roman" w:cs="Times New Roman"/>
                <w:bCs/>
                <w:sz w:val="24"/>
                <w:szCs w:val="24"/>
                <w:lang w:val="en-US" w:eastAsia="zh-CN"/>
              </w:rPr>
              <w:t>二组1号</w:t>
            </w:r>
            <w:r>
              <w:rPr>
                <w:rFonts w:hint="default" w:ascii="Times New Roman" w:hAnsi="Times New Roman" w:cs="Times New Roman"/>
                <w:bCs/>
                <w:sz w:val="24"/>
                <w:szCs w:val="24"/>
                <w:lang w:val="en-US" w:eastAsia="zh-CN"/>
              </w:rPr>
              <w:t>，根据当地环境功能区划，该区域执行《环境空气质量标准》（GB3095-2012）二级标准。根据202</w:t>
            </w:r>
            <w:r>
              <w:rPr>
                <w:rFonts w:hint="eastAsia" w:cs="Times New Roman"/>
                <w:bCs/>
                <w:sz w:val="24"/>
                <w:szCs w:val="24"/>
                <w:lang w:val="en-US" w:eastAsia="zh-CN"/>
              </w:rPr>
              <w:t>3</w:t>
            </w:r>
            <w:r>
              <w:rPr>
                <w:rFonts w:hint="default" w:ascii="Times New Roman" w:hAnsi="Times New Roman" w:cs="Times New Roman"/>
                <w:bCs/>
                <w:sz w:val="24"/>
                <w:szCs w:val="24"/>
                <w:lang w:val="en-US" w:eastAsia="zh-CN"/>
              </w:rPr>
              <w:t>年度叶县环境空气质量监测网中评价基准年的监测数据，分析区域环境空气质量达标情况，</w:t>
            </w:r>
            <w:r>
              <w:rPr>
                <w:rFonts w:hint="default" w:ascii="Times New Roman" w:hAnsi="Times New Roman" w:cs="Times New Roman"/>
                <w:sz w:val="24"/>
                <w:szCs w:val="24"/>
              </w:rPr>
              <w:t>监测因子为SO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、CO、O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共6项，监测结果见下表。</w:t>
            </w:r>
          </w:p>
          <w:p w14:paraId="47BD2B23">
            <w:pPr>
              <w:keepNext w:val="0"/>
              <w:keepLines w:val="0"/>
              <w:pageBreakBefore w:val="0"/>
              <w:widowControl w:val="0"/>
              <w:kinsoku/>
              <w:wordWrap/>
              <w:overflowPunct/>
              <w:topLinePunct w:val="0"/>
              <w:autoSpaceDE/>
              <w:autoSpaceDN/>
              <w:bidi w:val="0"/>
              <w:spacing w:line="500" w:lineRule="exact"/>
              <w:jc w:val="center"/>
              <w:textAlignment w:val="auto"/>
              <w:rPr>
                <w:rFonts w:ascii="Calibri" w:hAnsi="Calibri" w:eastAsia="黑体" w:cs="Calibri"/>
                <w:bCs/>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3-1</w:t>
            </w:r>
            <w:r>
              <w:rPr>
                <w:rFonts w:hint="default" w:ascii="Times New Roman" w:hAnsi="Times New Roman" w:eastAsia="黑体" w:cs="Times New Roman"/>
                <w:sz w:val="24"/>
              </w:rPr>
              <w:t xml:space="preserve"> </w:t>
            </w:r>
            <w:r>
              <w:rPr>
                <w:rFonts w:hint="default" w:ascii="Times New Roman" w:hAnsi="Times New Roman" w:eastAsia="黑体" w:cs="Times New Roman"/>
                <w:bCs/>
                <w:sz w:val="24"/>
              </w:rPr>
              <w:t>叶县环境</w:t>
            </w:r>
            <w:r>
              <w:rPr>
                <w:rFonts w:ascii="Calibri" w:eastAsia="黑体" w:cs="Calibri"/>
                <w:bCs/>
                <w:sz w:val="24"/>
              </w:rPr>
              <w:t>空气质量达标情况一览表</w:t>
            </w:r>
          </w:p>
          <w:tbl>
            <w:tblPr>
              <w:tblStyle w:val="21"/>
              <w:tblW w:w="8174"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39"/>
              <w:gridCol w:w="854"/>
              <w:gridCol w:w="1536"/>
              <w:gridCol w:w="839"/>
              <w:gridCol w:w="792"/>
              <w:gridCol w:w="828"/>
              <w:gridCol w:w="742"/>
              <w:gridCol w:w="744"/>
            </w:tblGrid>
            <w:tr w14:paraId="14977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tcBorders>
                    <w:tl2br w:val="nil"/>
                    <w:tr2bl w:val="nil"/>
                  </w:tcBorders>
                  <w:noWrap w:val="0"/>
                  <w:vAlign w:val="center"/>
                </w:tcPr>
                <w:p w14:paraId="792C5511">
                  <w:pPr>
                    <w:jc w:val="center"/>
                    <w:rPr>
                      <w:rFonts w:hint="default" w:ascii="Times New Roman" w:hAnsi="Times New Roman" w:cs="Times New Roman"/>
                    </w:rPr>
                  </w:pPr>
                  <w:r>
                    <w:rPr>
                      <w:rFonts w:hint="default" w:ascii="Times New Roman" w:hAnsi="Times New Roman" w:cs="Times New Roman"/>
                    </w:rPr>
                    <w:t>监测点位</w:t>
                  </w:r>
                </w:p>
              </w:tc>
              <w:tc>
                <w:tcPr>
                  <w:tcW w:w="522" w:type="pct"/>
                  <w:tcBorders>
                    <w:tl2br w:val="nil"/>
                    <w:tr2bl w:val="nil"/>
                  </w:tcBorders>
                  <w:noWrap w:val="0"/>
                  <w:vAlign w:val="center"/>
                </w:tcPr>
                <w:p w14:paraId="03F19D45">
                  <w:pPr>
                    <w:jc w:val="center"/>
                    <w:rPr>
                      <w:rFonts w:hint="default" w:ascii="Times New Roman" w:hAnsi="Times New Roman" w:cs="Times New Roman"/>
                    </w:rPr>
                  </w:pPr>
                  <w:r>
                    <w:rPr>
                      <w:rFonts w:hint="default" w:ascii="Times New Roman" w:hAnsi="Times New Roman" w:cs="Times New Roman"/>
                    </w:rPr>
                    <w:t>污染物</w:t>
                  </w:r>
                </w:p>
              </w:tc>
              <w:tc>
                <w:tcPr>
                  <w:tcW w:w="939" w:type="pct"/>
                  <w:tcBorders>
                    <w:tl2br w:val="nil"/>
                    <w:tr2bl w:val="nil"/>
                  </w:tcBorders>
                  <w:noWrap w:val="0"/>
                  <w:vAlign w:val="center"/>
                </w:tcPr>
                <w:p w14:paraId="53D0D224">
                  <w:pPr>
                    <w:jc w:val="center"/>
                    <w:rPr>
                      <w:rFonts w:hint="default" w:ascii="Times New Roman" w:hAnsi="Times New Roman" w:cs="Times New Roman"/>
                    </w:rPr>
                  </w:pPr>
                  <w:r>
                    <w:rPr>
                      <w:rFonts w:hint="default" w:ascii="Times New Roman" w:hAnsi="Times New Roman" w:cs="Times New Roman"/>
                    </w:rPr>
                    <w:t>年评价指标</w:t>
                  </w:r>
                </w:p>
              </w:tc>
              <w:tc>
                <w:tcPr>
                  <w:tcW w:w="513" w:type="pct"/>
                  <w:tcBorders>
                    <w:tl2br w:val="nil"/>
                    <w:tr2bl w:val="nil"/>
                  </w:tcBorders>
                  <w:noWrap w:val="0"/>
                  <w:vAlign w:val="center"/>
                </w:tcPr>
                <w:p w14:paraId="616775AF">
                  <w:pPr>
                    <w:jc w:val="center"/>
                    <w:rPr>
                      <w:rFonts w:hint="default" w:ascii="Times New Roman" w:hAnsi="Times New Roman" w:cs="Times New Roman"/>
                    </w:rPr>
                  </w:pPr>
                  <w:r>
                    <w:rPr>
                      <w:rFonts w:hint="default" w:ascii="Times New Roman" w:hAnsi="Times New Roman" w:cs="Times New Roman"/>
                    </w:rPr>
                    <w:t>现状浓度</w:t>
                  </w:r>
                </w:p>
              </w:tc>
              <w:tc>
                <w:tcPr>
                  <w:tcW w:w="484" w:type="pct"/>
                  <w:tcBorders>
                    <w:tl2br w:val="nil"/>
                    <w:tr2bl w:val="nil"/>
                  </w:tcBorders>
                  <w:noWrap w:val="0"/>
                  <w:vAlign w:val="center"/>
                </w:tcPr>
                <w:p w14:paraId="22BD25C8">
                  <w:pPr>
                    <w:jc w:val="center"/>
                    <w:rPr>
                      <w:rFonts w:hint="default" w:ascii="Times New Roman" w:hAnsi="Times New Roman" w:cs="Times New Roman"/>
                    </w:rPr>
                  </w:pPr>
                  <w:r>
                    <w:rPr>
                      <w:rFonts w:hint="default" w:ascii="Times New Roman" w:hAnsi="Times New Roman" w:cs="Times New Roman"/>
                    </w:rPr>
                    <w:t>标准值</w:t>
                  </w:r>
                </w:p>
              </w:tc>
              <w:tc>
                <w:tcPr>
                  <w:tcW w:w="506" w:type="pct"/>
                  <w:tcBorders>
                    <w:tl2br w:val="nil"/>
                    <w:tr2bl w:val="nil"/>
                  </w:tcBorders>
                  <w:noWrap w:val="0"/>
                  <w:vAlign w:val="center"/>
                </w:tcPr>
                <w:p w14:paraId="1A66E2C3">
                  <w:pPr>
                    <w:jc w:val="center"/>
                    <w:rPr>
                      <w:rFonts w:hint="default" w:ascii="Times New Roman" w:hAnsi="Times New Roman" w:cs="Times New Roman"/>
                    </w:rPr>
                  </w:pPr>
                  <w:r>
                    <w:rPr>
                      <w:rFonts w:hint="default" w:ascii="Times New Roman" w:hAnsi="Times New Roman" w:cs="Times New Roman"/>
                    </w:rPr>
                    <w:t>单位</w:t>
                  </w:r>
                </w:p>
              </w:tc>
              <w:tc>
                <w:tcPr>
                  <w:tcW w:w="453" w:type="pct"/>
                  <w:tcBorders>
                    <w:tl2br w:val="nil"/>
                    <w:tr2bl w:val="nil"/>
                  </w:tcBorders>
                  <w:noWrap w:val="0"/>
                  <w:vAlign w:val="center"/>
                </w:tcPr>
                <w:p w14:paraId="6985AEE6">
                  <w:pPr>
                    <w:jc w:val="center"/>
                    <w:rPr>
                      <w:rFonts w:hint="default" w:ascii="Times New Roman" w:hAnsi="Times New Roman" w:eastAsia="宋体" w:cs="Times New Roman"/>
                      <w:lang w:eastAsia="zh-CN"/>
                    </w:rPr>
                  </w:pPr>
                  <w:r>
                    <w:rPr>
                      <w:rFonts w:hint="default" w:ascii="Times New Roman" w:hAnsi="Times New Roman" w:cs="Times New Roman"/>
                      <w:lang w:eastAsia="zh-CN"/>
                    </w:rPr>
                    <w:t>占标率</w:t>
                  </w:r>
                </w:p>
              </w:tc>
              <w:tc>
                <w:tcPr>
                  <w:tcW w:w="455" w:type="pct"/>
                  <w:tcBorders>
                    <w:tl2br w:val="nil"/>
                    <w:tr2bl w:val="nil"/>
                  </w:tcBorders>
                  <w:noWrap w:val="0"/>
                  <w:vAlign w:val="center"/>
                </w:tcPr>
                <w:p w14:paraId="338C3199">
                  <w:pPr>
                    <w:jc w:val="center"/>
                    <w:rPr>
                      <w:rFonts w:hint="default" w:ascii="Times New Roman" w:hAnsi="Times New Roman" w:cs="Times New Roman"/>
                    </w:rPr>
                  </w:pPr>
                  <w:r>
                    <w:rPr>
                      <w:rFonts w:hint="default" w:ascii="Times New Roman" w:hAnsi="Times New Roman" w:cs="Times New Roman"/>
                    </w:rPr>
                    <w:t>达标</w:t>
                  </w:r>
                </w:p>
                <w:p w14:paraId="2B397D7C">
                  <w:pPr>
                    <w:jc w:val="center"/>
                    <w:rPr>
                      <w:rFonts w:hint="default" w:ascii="Times New Roman" w:hAnsi="Times New Roman" w:cs="Times New Roman"/>
                    </w:rPr>
                  </w:pPr>
                  <w:r>
                    <w:rPr>
                      <w:rFonts w:hint="default" w:ascii="Times New Roman" w:hAnsi="Times New Roman" w:cs="Times New Roman"/>
                    </w:rPr>
                    <w:t>情况</w:t>
                  </w:r>
                </w:p>
              </w:tc>
            </w:tr>
            <w:tr w14:paraId="335A6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vMerge w:val="restart"/>
                  <w:tcBorders>
                    <w:tl2br w:val="nil"/>
                    <w:tr2bl w:val="nil"/>
                  </w:tcBorders>
                  <w:noWrap w:val="0"/>
                  <w:vAlign w:val="center"/>
                </w:tcPr>
                <w:p w14:paraId="666EE362">
                  <w:pPr>
                    <w:jc w:val="center"/>
                    <w:rPr>
                      <w:rFonts w:hint="default" w:ascii="Times New Roman" w:hAnsi="Times New Roman" w:cs="Times New Roman"/>
                    </w:rPr>
                  </w:pPr>
                  <w:r>
                    <w:rPr>
                      <w:rFonts w:hint="default" w:ascii="Times New Roman" w:hAnsi="Times New Roman" w:cs="Times New Roman"/>
                    </w:rPr>
                    <w:t>叶县（E113.</w:t>
                  </w:r>
                  <w:r>
                    <w:rPr>
                      <w:rFonts w:hint="default" w:ascii="Times New Roman" w:hAnsi="Times New Roman" w:cs="Times New Roman"/>
                      <w:lang w:val="en-US" w:eastAsia="zh-CN"/>
                    </w:rPr>
                    <w:t>373201°</w:t>
                  </w:r>
                  <w:r>
                    <w:rPr>
                      <w:rFonts w:hint="default" w:ascii="Times New Roman" w:hAnsi="Times New Roman" w:cs="Times New Roman"/>
                    </w:rPr>
                    <w:t>，N33.</w:t>
                  </w:r>
                  <w:r>
                    <w:rPr>
                      <w:rFonts w:hint="default" w:ascii="Times New Roman" w:hAnsi="Times New Roman" w:cs="Times New Roman"/>
                      <w:lang w:val="en-US" w:eastAsia="zh-CN"/>
                    </w:rPr>
                    <w:t>624001°</w:t>
                  </w:r>
                  <w:r>
                    <w:rPr>
                      <w:rFonts w:hint="default" w:ascii="Times New Roman" w:hAnsi="Times New Roman" w:cs="Times New Roman"/>
                    </w:rPr>
                    <w:t>）</w:t>
                  </w:r>
                </w:p>
              </w:tc>
              <w:tc>
                <w:tcPr>
                  <w:tcW w:w="522" w:type="pct"/>
                  <w:tcBorders>
                    <w:tl2br w:val="nil"/>
                    <w:tr2bl w:val="nil"/>
                  </w:tcBorders>
                  <w:noWrap w:val="0"/>
                  <w:vAlign w:val="center"/>
                </w:tcPr>
                <w:p w14:paraId="18B45030">
                  <w:pPr>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939" w:type="pct"/>
                  <w:tcBorders>
                    <w:tl2br w:val="nil"/>
                    <w:tr2bl w:val="nil"/>
                  </w:tcBorders>
                  <w:noWrap w:val="0"/>
                  <w:vAlign w:val="center"/>
                </w:tcPr>
                <w:p w14:paraId="48E201E6">
                  <w:pPr>
                    <w:jc w:val="center"/>
                    <w:rPr>
                      <w:rFonts w:hint="default" w:ascii="Times New Roman" w:hAnsi="Times New Roman" w:cs="Times New Roman"/>
                    </w:rPr>
                  </w:pPr>
                  <w:r>
                    <w:rPr>
                      <w:rFonts w:hint="default" w:ascii="Times New Roman" w:hAnsi="Times New Roman" w:cs="Times New Roman"/>
                    </w:rPr>
                    <w:t>年均值</w:t>
                  </w:r>
                </w:p>
              </w:tc>
              <w:tc>
                <w:tcPr>
                  <w:tcW w:w="513" w:type="pct"/>
                  <w:tcBorders>
                    <w:tl2br w:val="nil"/>
                    <w:tr2bl w:val="nil"/>
                  </w:tcBorders>
                  <w:noWrap w:val="0"/>
                  <w:vAlign w:val="center"/>
                </w:tcPr>
                <w:p w14:paraId="1A86426E">
                  <w:pPr>
                    <w:jc w:val="center"/>
                    <w:rPr>
                      <w:rFonts w:hint="default" w:ascii="Times New Roman" w:hAnsi="Times New Roman" w:eastAsia="宋体" w:cs="Times New Roman"/>
                      <w:lang w:val="en-US" w:eastAsia="zh-CN"/>
                    </w:rPr>
                  </w:pPr>
                  <w:r>
                    <w:rPr>
                      <w:rFonts w:hint="eastAsia" w:cs="Times New Roman"/>
                      <w:lang w:val="en-US" w:eastAsia="zh-CN"/>
                    </w:rPr>
                    <w:t>35</w:t>
                  </w:r>
                </w:p>
              </w:tc>
              <w:tc>
                <w:tcPr>
                  <w:tcW w:w="484" w:type="pct"/>
                  <w:tcBorders>
                    <w:tl2br w:val="nil"/>
                    <w:tr2bl w:val="nil"/>
                  </w:tcBorders>
                  <w:noWrap w:val="0"/>
                  <w:vAlign w:val="center"/>
                </w:tcPr>
                <w:p w14:paraId="68C57D45">
                  <w:pPr>
                    <w:jc w:val="center"/>
                    <w:rPr>
                      <w:rFonts w:hint="default" w:ascii="Times New Roman" w:hAnsi="Times New Roman" w:cs="Times New Roman"/>
                    </w:rPr>
                  </w:pPr>
                  <w:r>
                    <w:rPr>
                      <w:rFonts w:hint="default" w:ascii="Times New Roman" w:hAnsi="Times New Roman" w:cs="Times New Roman"/>
                    </w:rPr>
                    <w:t>35</w:t>
                  </w:r>
                </w:p>
              </w:tc>
              <w:tc>
                <w:tcPr>
                  <w:tcW w:w="506" w:type="pct"/>
                  <w:tcBorders>
                    <w:tl2br w:val="nil"/>
                    <w:tr2bl w:val="nil"/>
                  </w:tcBorders>
                  <w:noWrap w:val="0"/>
                  <w:vAlign w:val="center"/>
                </w:tcPr>
                <w:p w14:paraId="3CA71882">
                  <w:pPr>
                    <w:jc w:val="center"/>
                    <w:rPr>
                      <w:rFonts w:hint="default" w:ascii="Times New Roman" w:hAnsi="Times New Roman" w:cs="Times New Roman"/>
                    </w:rPr>
                  </w:pPr>
                  <w:r>
                    <w:rPr>
                      <w:rFonts w:hint="default" w:ascii="Times New Roman" w:hAnsi="Times New Roman" w:cs="Times New Roman"/>
                    </w:rPr>
                    <w:t>μg/m³</w:t>
                  </w:r>
                </w:p>
              </w:tc>
              <w:tc>
                <w:tcPr>
                  <w:tcW w:w="453" w:type="pct"/>
                  <w:tcBorders>
                    <w:tl2br w:val="nil"/>
                    <w:tr2bl w:val="nil"/>
                  </w:tcBorders>
                  <w:noWrap w:val="0"/>
                  <w:vAlign w:val="center"/>
                </w:tcPr>
                <w:p w14:paraId="160B8CD7">
                  <w:pPr>
                    <w:jc w:val="center"/>
                    <w:rPr>
                      <w:rFonts w:hint="default" w:ascii="Times New Roman" w:hAnsi="Times New Roman" w:eastAsia="宋体" w:cs="Times New Roman"/>
                      <w:lang w:val="en-US" w:eastAsia="zh-CN"/>
                    </w:rPr>
                  </w:pPr>
                  <w:r>
                    <w:rPr>
                      <w:rFonts w:hint="eastAsia" w:cs="Times New Roman"/>
                      <w:color w:val="auto"/>
                      <w:szCs w:val="21"/>
                      <w:lang w:val="en-US" w:eastAsia="zh-CN"/>
                    </w:rPr>
                    <w:t>100%</w:t>
                  </w:r>
                </w:p>
              </w:tc>
              <w:tc>
                <w:tcPr>
                  <w:tcW w:w="455" w:type="pct"/>
                  <w:tcBorders>
                    <w:tl2br w:val="nil"/>
                    <w:tr2bl w:val="nil"/>
                  </w:tcBorders>
                  <w:noWrap w:val="0"/>
                  <w:vAlign w:val="center"/>
                </w:tcPr>
                <w:p w14:paraId="398CF16A">
                  <w:pPr>
                    <w:jc w:val="center"/>
                    <w:rPr>
                      <w:rFonts w:hint="default" w:ascii="Times New Roman" w:hAnsi="Times New Roman" w:cs="Times New Roman"/>
                    </w:rPr>
                  </w:pPr>
                  <w:r>
                    <w:rPr>
                      <w:rFonts w:hint="eastAsia" w:cs="Times New Roman"/>
                      <w:lang w:val="en-US" w:eastAsia="zh-CN"/>
                    </w:rPr>
                    <w:t>达</w:t>
                  </w:r>
                  <w:r>
                    <w:rPr>
                      <w:rFonts w:hint="default" w:ascii="Times New Roman" w:hAnsi="Times New Roman" w:cs="Times New Roman"/>
                    </w:rPr>
                    <w:t>标</w:t>
                  </w:r>
                </w:p>
              </w:tc>
            </w:tr>
            <w:tr w14:paraId="0797D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vMerge w:val="continue"/>
                  <w:tcBorders>
                    <w:tl2br w:val="nil"/>
                    <w:tr2bl w:val="nil"/>
                  </w:tcBorders>
                  <w:noWrap w:val="0"/>
                  <w:vAlign w:val="center"/>
                </w:tcPr>
                <w:p w14:paraId="5F090D27">
                  <w:pPr>
                    <w:jc w:val="center"/>
                    <w:rPr>
                      <w:rFonts w:hint="default" w:ascii="Times New Roman" w:hAnsi="Times New Roman" w:cs="Times New Roman"/>
                    </w:rPr>
                  </w:pPr>
                </w:p>
              </w:tc>
              <w:tc>
                <w:tcPr>
                  <w:tcW w:w="522" w:type="pct"/>
                  <w:tcBorders>
                    <w:tl2br w:val="nil"/>
                    <w:tr2bl w:val="nil"/>
                  </w:tcBorders>
                  <w:noWrap w:val="0"/>
                  <w:vAlign w:val="center"/>
                </w:tcPr>
                <w:p w14:paraId="1B309EE9">
                  <w:pPr>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939" w:type="pct"/>
                  <w:tcBorders>
                    <w:tl2br w:val="nil"/>
                    <w:tr2bl w:val="nil"/>
                  </w:tcBorders>
                  <w:noWrap w:val="0"/>
                  <w:vAlign w:val="center"/>
                </w:tcPr>
                <w:p w14:paraId="10D0D096">
                  <w:pPr>
                    <w:jc w:val="center"/>
                    <w:rPr>
                      <w:rFonts w:hint="default" w:ascii="Times New Roman" w:hAnsi="Times New Roman" w:cs="Times New Roman"/>
                    </w:rPr>
                  </w:pPr>
                  <w:r>
                    <w:rPr>
                      <w:rFonts w:hint="default" w:ascii="Times New Roman" w:hAnsi="Times New Roman" w:cs="Times New Roman"/>
                    </w:rPr>
                    <w:t>年均值</w:t>
                  </w:r>
                </w:p>
              </w:tc>
              <w:tc>
                <w:tcPr>
                  <w:tcW w:w="513" w:type="pct"/>
                  <w:tcBorders>
                    <w:tl2br w:val="nil"/>
                    <w:tr2bl w:val="nil"/>
                  </w:tcBorders>
                  <w:noWrap w:val="0"/>
                  <w:vAlign w:val="center"/>
                </w:tcPr>
                <w:p w14:paraId="4F792148">
                  <w:pPr>
                    <w:jc w:val="center"/>
                    <w:rPr>
                      <w:rFonts w:hint="default" w:ascii="Times New Roman" w:hAnsi="Times New Roman" w:eastAsia="宋体" w:cs="Times New Roman"/>
                      <w:lang w:val="en-US" w:eastAsia="zh-CN"/>
                    </w:rPr>
                  </w:pPr>
                  <w:r>
                    <w:rPr>
                      <w:rFonts w:hint="eastAsia" w:cs="Times New Roman"/>
                      <w:lang w:val="en-US" w:eastAsia="zh-CN"/>
                    </w:rPr>
                    <w:t>70</w:t>
                  </w:r>
                </w:p>
              </w:tc>
              <w:tc>
                <w:tcPr>
                  <w:tcW w:w="484" w:type="pct"/>
                  <w:tcBorders>
                    <w:tl2br w:val="nil"/>
                    <w:tr2bl w:val="nil"/>
                  </w:tcBorders>
                  <w:noWrap w:val="0"/>
                  <w:vAlign w:val="center"/>
                </w:tcPr>
                <w:p w14:paraId="2878D1EE">
                  <w:pPr>
                    <w:jc w:val="center"/>
                    <w:rPr>
                      <w:rFonts w:hint="default" w:ascii="Times New Roman" w:hAnsi="Times New Roman" w:cs="Times New Roman"/>
                    </w:rPr>
                  </w:pPr>
                  <w:r>
                    <w:rPr>
                      <w:rFonts w:hint="default" w:ascii="Times New Roman" w:hAnsi="Times New Roman" w:cs="Times New Roman"/>
                    </w:rPr>
                    <w:t>70</w:t>
                  </w:r>
                </w:p>
              </w:tc>
              <w:tc>
                <w:tcPr>
                  <w:tcW w:w="506" w:type="pct"/>
                  <w:tcBorders>
                    <w:tl2br w:val="nil"/>
                    <w:tr2bl w:val="nil"/>
                  </w:tcBorders>
                  <w:noWrap w:val="0"/>
                  <w:vAlign w:val="center"/>
                </w:tcPr>
                <w:p w14:paraId="2B3F84B2">
                  <w:pPr>
                    <w:jc w:val="center"/>
                    <w:rPr>
                      <w:rFonts w:hint="default" w:ascii="Times New Roman" w:hAnsi="Times New Roman" w:cs="Times New Roman"/>
                    </w:rPr>
                  </w:pPr>
                  <w:r>
                    <w:rPr>
                      <w:rFonts w:hint="default" w:ascii="Times New Roman" w:hAnsi="Times New Roman" w:cs="Times New Roman"/>
                    </w:rPr>
                    <w:t>μg/m³</w:t>
                  </w:r>
                </w:p>
              </w:tc>
              <w:tc>
                <w:tcPr>
                  <w:tcW w:w="453" w:type="pct"/>
                  <w:tcBorders>
                    <w:tl2br w:val="nil"/>
                    <w:tr2bl w:val="nil"/>
                  </w:tcBorders>
                  <w:noWrap w:val="0"/>
                  <w:vAlign w:val="center"/>
                </w:tcPr>
                <w:p w14:paraId="0A6E28D1">
                  <w:pPr>
                    <w:jc w:val="center"/>
                    <w:rPr>
                      <w:rFonts w:hint="default" w:ascii="Times New Roman" w:hAnsi="Times New Roman" w:eastAsia="宋体" w:cs="Times New Roman"/>
                      <w:lang w:val="en-US" w:eastAsia="zh-CN"/>
                    </w:rPr>
                  </w:pPr>
                  <w:r>
                    <w:rPr>
                      <w:rFonts w:hint="eastAsia" w:cs="Times New Roman"/>
                      <w:color w:val="auto"/>
                      <w:szCs w:val="21"/>
                      <w:lang w:val="en-US" w:eastAsia="zh-CN"/>
                    </w:rPr>
                    <w:t>100%</w:t>
                  </w:r>
                </w:p>
              </w:tc>
              <w:tc>
                <w:tcPr>
                  <w:tcW w:w="455" w:type="pct"/>
                  <w:tcBorders>
                    <w:tl2br w:val="nil"/>
                    <w:tr2bl w:val="nil"/>
                  </w:tcBorders>
                  <w:noWrap w:val="0"/>
                  <w:vAlign w:val="center"/>
                </w:tcPr>
                <w:p w14:paraId="7BEBD56D">
                  <w:pPr>
                    <w:jc w:val="center"/>
                    <w:rPr>
                      <w:rFonts w:hint="default" w:ascii="Times New Roman" w:hAnsi="Times New Roman" w:cs="Times New Roman"/>
                    </w:rPr>
                  </w:pPr>
                  <w:r>
                    <w:rPr>
                      <w:rFonts w:hint="eastAsia" w:cs="Times New Roman"/>
                      <w:lang w:val="en-US" w:eastAsia="zh-CN"/>
                    </w:rPr>
                    <w:t>达</w:t>
                  </w:r>
                  <w:r>
                    <w:rPr>
                      <w:rFonts w:hint="default" w:ascii="Times New Roman" w:hAnsi="Times New Roman" w:cs="Times New Roman"/>
                    </w:rPr>
                    <w:t>标</w:t>
                  </w:r>
                </w:p>
              </w:tc>
            </w:tr>
            <w:tr w14:paraId="6C552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vMerge w:val="continue"/>
                  <w:tcBorders>
                    <w:tl2br w:val="nil"/>
                    <w:tr2bl w:val="nil"/>
                  </w:tcBorders>
                  <w:noWrap w:val="0"/>
                  <w:vAlign w:val="center"/>
                </w:tcPr>
                <w:p w14:paraId="39CA43D6">
                  <w:pPr>
                    <w:jc w:val="center"/>
                    <w:rPr>
                      <w:rFonts w:hint="default" w:ascii="Times New Roman" w:hAnsi="Times New Roman" w:cs="Times New Roman"/>
                    </w:rPr>
                  </w:pPr>
                </w:p>
              </w:tc>
              <w:tc>
                <w:tcPr>
                  <w:tcW w:w="522" w:type="pct"/>
                  <w:tcBorders>
                    <w:tl2br w:val="nil"/>
                    <w:tr2bl w:val="nil"/>
                  </w:tcBorders>
                  <w:noWrap w:val="0"/>
                  <w:vAlign w:val="center"/>
                </w:tcPr>
                <w:p w14:paraId="76D42D3B">
                  <w:pPr>
                    <w:jc w:val="center"/>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939" w:type="pct"/>
                  <w:tcBorders>
                    <w:tl2br w:val="nil"/>
                    <w:tr2bl w:val="nil"/>
                  </w:tcBorders>
                  <w:noWrap w:val="0"/>
                  <w:vAlign w:val="center"/>
                </w:tcPr>
                <w:p w14:paraId="6A888DA0">
                  <w:pPr>
                    <w:jc w:val="center"/>
                    <w:rPr>
                      <w:rFonts w:hint="default" w:ascii="Times New Roman" w:hAnsi="Times New Roman" w:cs="Times New Roman"/>
                    </w:rPr>
                  </w:pPr>
                  <w:r>
                    <w:rPr>
                      <w:rFonts w:hint="default" w:ascii="Times New Roman" w:hAnsi="Times New Roman" w:cs="Times New Roman"/>
                    </w:rPr>
                    <w:t>年均值</w:t>
                  </w:r>
                </w:p>
              </w:tc>
              <w:tc>
                <w:tcPr>
                  <w:tcW w:w="513" w:type="pct"/>
                  <w:tcBorders>
                    <w:tl2br w:val="nil"/>
                    <w:tr2bl w:val="nil"/>
                  </w:tcBorders>
                  <w:noWrap w:val="0"/>
                  <w:vAlign w:val="center"/>
                </w:tcPr>
                <w:p w14:paraId="6148D0FD">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484" w:type="pct"/>
                  <w:tcBorders>
                    <w:tl2br w:val="nil"/>
                    <w:tr2bl w:val="nil"/>
                  </w:tcBorders>
                  <w:noWrap w:val="0"/>
                  <w:vAlign w:val="center"/>
                </w:tcPr>
                <w:p w14:paraId="05A4A310">
                  <w:pPr>
                    <w:jc w:val="center"/>
                    <w:rPr>
                      <w:rFonts w:hint="default" w:ascii="Times New Roman" w:hAnsi="Times New Roman" w:cs="Times New Roman"/>
                    </w:rPr>
                  </w:pPr>
                  <w:r>
                    <w:rPr>
                      <w:rFonts w:hint="default" w:ascii="Times New Roman" w:hAnsi="Times New Roman" w:cs="Times New Roman"/>
                    </w:rPr>
                    <w:t>60</w:t>
                  </w:r>
                </w:p>
              </w:tc>
              <w:tc>
                <w:tcPr>
                  <w:tcW w:w="506" w:type="pct"/>
                  <w:tcBorders>
                    <w:tl2br w:val="nil"/>
                    <w:tr2bl w:val="nil"/>
                  </w:tcBorders>
                  <w:noWrap w:val="0"/>
                  <w:vAlign w:val="center"/>
                </w:tcPr>
                <w:p w14:paraId="07192C0F">
                  <w:pPr>
                    <w:jc w:val="center"/>
                    <w:rPr>
                      <w:rFonts w:hint="default" w:ascii="Times New Roman" w:hAnsi="Times New Roman" w:cs="Times New Roman"/>
                    </w:rPr>
                  </w:pPr>
                  <w:r>
                    <w:rPr>
                      <w:rFonts w:hint="default" w:ascii="Times New Roman" w:hAnsi="Times New Roman" w:cs="Times New Roman"/>
                    </w:rPr>
                    <w:t>μg/m³</w:t>
                  </w:r>
                </w:p>
              </w:tc>
              <w:tc>
                <w:tcPr>
                  <w:tcW w:w="453" w:type="pct"/>
                  <w:tcBorders>
                    <w:tl2br w:val="nil"/>
                    <w:tr2bl w:val="nil"/>
                  </w:tcBorders>
                  <w:noWrap w:val="0"/>
                  <w:vAlign w:val="center"/>
                </w:tcPr>
                <w:p w14:paraId="6157A379">
                  <w:pPr>
                    <w:jc w:val="center"/>
                    <w:rPr>
                      <w:rFonts w:hint="default" w:ascii="Times New Roman" w:hAnsi="Times New Roman" w:cs="Times New Roman"/>
                    </w:rPr>
                  </w:pPr>
                  <w:r>
                    <w:rPr>
                      <w:rFonts w:hint="eastAsia" w:cs="Times New Roman"/>
                      <w:color w:val="auto"/>
                      <w:szCs w:val="21"/>
                      <w:lang w:val="en-US" w:eastAsia="zh-CN"/>
                    </w:rPr>
                    <w:t>17%</w:t>
                  </w:r>
                </w:p>
              </w:tc>
              <w:tc>
                <w:tcPr>
                  <w:tcW w:w="455" w:type="pct"/>
                  <w:tcBorders>
                    <w:tl2br w:val="nil"/>
                    <w:tr2bl w:val="nil"/>
                  </w:tcBorders>
                  <w:noWrap w:val="0"/>
                  <w:vAlign w:val="center"/>
                </w:tcPr>
                <w:p w14:paraId="61F59630">
                  <w:pPr>
                    <w:jc w:val="center"/>
                    <w:rPr>
                      <w:rFonts w:hint="default" w:ascii="Times New Roman" w:hAnsi="Times New Roman" w:cs="Times New Roman"/>
                    </w:rPr>
                  </w:pPr>
                  <w:r>
                    <w:rPr>
                      <w:rFonts w:hint="default" w:ascii="Times New Roman" w:hAnsi="Times New Roman" w:cs="Times New Roman"/>
                    </w:rPr>
                    <w:t>达标</w:t>
                  </w:r>
                </w:p>
              </w:tc>
            </w:tr>
            <w:tr w14:paraId="36FEE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vMerge w:val="continue"/>
                  <w:tcBorders>
                    <w:tl2br w:val="nil"/>
                    <w:tr2bl w:val="nil"/>
                  </w:tcBorders>
                  <w:noWrap w:val="0"/>
                  <w:vAlign w:val="center"/>
                </w:tcPr>
                <w:p w14:paraId="2573BAA7">
                  <w:pPr>
                    <w:jc w:val="center"/>
                    <w:rPr>
                      <w:rFonts w:hint="default" w:ascii="Times New Roman" w:hAnsi="Times New Roman" w:cs="Times New Roman"/>
                    </w:rPr>
                  </w:pPr>
                </w:p>
              </w:tc>
              <w:tc>
                <w:tcPr>
                  <w:tcW w:w="522" w:type="pct"/>
                  <w:tcBorders>
                    <w:tl2br w:val="nil"/>
                    <w:tr2bl w:val="nil"/>
                  </w:tcBorders>
                  <w:noWrap w:val="0"/>
                  <w:vAlign w:val="center"/>
                </w:tcPr>
                <w:p w14:paraId="462AD7B5">
                  <w:pPr>
                    <w:jc w:val="center"/>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939" w:type="pct"/>
                  <w:tcBorders>
                    <w:tl2br w:val="nil"/>
                    <w:tr2bl w:val="nil"/>
                  </w:tcBorders>
                  <w:noWrap w:val="0"/>
                  <w:vAlign w:val="center"/>
                </w:tcPr>
                <w:p w14:paraId="3CF8126F">
                  <w:pPr>
                    <w:jc w:val="center"/>
                    <w:rPr>
                      <w:rFonts w:hint="default" w:ascii="Times New Roman" w:hAnsi="Times New Roman" w:cs="Times New Roman"/>
                    </w:rPr>
                  </w:pPr>
                  <w:r>
                    <w:rPr>
                      <w:rFonts w:hint="default" w:ascii="Times New Roman" w:hAnsi="Times New Roman" w:cs="Times New Roman"/>
                    </w:rPr>
                    <w:t>年均值</w:t>
                  </w:r>
                </w:p>
              </w:tc>
              <w:tc>
                <w:tcPr>
                  <w:tcW w:w="513" w:type="pct"/>
                  <w:tcBorders>
                    <w:tl2br w:val="nil"/>
                    <w:tr2bl w:val="nil"/>
                  </w:tcBorders>
                  <w:noWrap w:val="0"/>
                  <w:vAlign w:val="center"/>
                </w:tcPr>
                <w:p w14:paraId="0E817C51">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24</w:t>
                  </w:r>
                </w:p>
              </w:tc>
              <w:tc>
                <w:tcPr>
                  <w:tcW w:w="484" w:type="pct"/>
                  <w:tcBorders>
                    <w:tl2br w:val="nil"/>
                    <w:tr2bl w:val="nil"/>
                  </w:tcBorders>
                  <w:noWrap w:val="0"/>
                  <w:vAlign w:val="center"/>
                </w:tcPr>
                <w:p w14:paraId="23E2D045">
                  <w:pPr>
                    <w:jc w:val="center"/>
                    <w:rPr>
                      <w:rFonts w:hint="default" w:ascii="Times New Roman" w:hAnsi="Times New Roman" w:cs="Times New Roman"/>
                    </w:rPr>
                  </w:pPr>
                  <w:r>
                    <w:rPr>
                      <w:rFonts w:hint="default" w:ascii="Times New Roman" w:hAnsi="Times New Roman" w:cs="Times New Roman"/>
                    </w:rPr>
                    <w:t>4</w:t>
                  </w:r>
                </w:p>
              </w:tc>
              <w:tc>
                <w:tcPr>
                  <w:tcW w:w="506" w:type="pct"/>
                  <w:tcBorders>
                    <w:tl2br w:val="nil"/>
                    <w:tr2bl w:val="nil"/>
                  </w:tcBorders>
                  <w:noWrap w:val="0"/>
                  <w:vAlign w:val="center"/>
                </w:tcPr>
                <w:p w14:paraId="28F82372">
                  <w:pPr>
                    <w:jc w:val="center"/>
                    <w:rPr>
                      <w:rFonts w:hint="default" w:ascii="Times New Roman" w:hAnsi="Times New Roman" w:cs="Times New Roman"/>
                    </w:rPr>
                  </w:pPr>
                  <w:r>
                    <w:rPr>
                      <w:rFonts w:hint="default" w:ascii="Times New Roman" w:hAnsi="Times New Roman" w:cs="Times New Roman"/>
                    </w:rPr>
                    <w:t>μg/m³</w:t>
                  </w:r>
                </w:p>
              </w:tc>
              <w:tc>
                <w:tcPr>
                  <w:tcW w:w="453" w:type="pct"/>
                  <w:tcBorders>
                    <w:tl2br w:val="nil"/>
                    <w:tr2bl w:val="nil"/>
                  </w:tcBorders>
                  <w:noWrap w:val="0"/>
                  <w:vAlign w:val="center"/>
                </w:tcPr>
                <w:p w14:paraId="20C1878D">
                  <w:pPr>
                    <w:jc w:val="center"/>
                    <w:rPr>
                      <w:rFonts w:hint="default" w:ascii="Times New Roman" w:hAnsi="Times New Roman" w:eastAsia="宋体" w:cs="Times New Roman"/>
                      <w:lang w:eastAsia="zh-CN"/>
                    </w:rPr>
                  </w:pPr>
                  <w:r>
                    <w:rPr>
                      <w:rFonts w:hint="eastAsia" w:cs="Times New Roman"/>
                      <w:color w:val="auto"/>
                      <w:szCs w:val="21"/>
                      <w:lang w:val="en-US" w:eastAsia="zh-CN"/>
                    </w:rPr>
                    <w:t>60%</w:t>
                  </w:r>
                </w:p>
              </w:tc>
              <w:tc>
                <w:tcPr>
                  <w:tcW w:w="455" w:type="pct"/>
                  <w:tcBorders>
                    <w:tl2br w:val="nil"/>
                    <w:tr2bl w:val="nil"/>
                  </w:tcBorders>
                  <w:noWrap w:val="0"/>
                  <w:vAlign w:val="center"/>
                </w:tcPr>
                <w:p w14:paraId="3E78ADED">
                  <w:pPr>
                    <w:jc w:val="center"/>
                    <w:rPr>
                      <w:rFonts w:hint="default" w:ascii="Times New Roman" w:hAnsi="Times New Roman" w:cs="Times New Roman"/>
                    </w:rPr>
                  </w:pPr>
                  <w:r>
                    <w:rPr>
                      <w:rFonts w:hint="default" w:ascii="Times New Roman" w:hAnsi="Times New Roman" w:cs="Times New Roman"/>
                    </w:rPr>
                    <w:t>达标</w:t>
                  </w:r>
                </w:p>
              </w:tc>
            </w:tr>
            <w:tr w14:paraId="49922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1124" w:type="pct"/>
                  <w:vMerge w:val="continue"/>
                  <w:tcBorders>
                    <w:tl2br w:val="nil"/>
                    <w:tr2bl w:val="nil"/>
                  </w:tcBorders>
                  <w:noWrap w:val="0"/>
                  <w:vAlign w:val="center"/>
                </w:tcPr>
                <w:p w14:paraId="54ABFB93">
                  <w:pPr>
                    <w:jc w:val="center"/>
                    <w:rPr>
                      <w:rFonts w:hint="default" w:ascii="Times New Roman" w:hAnsi="Times New Roman" w:cs="Times New Roman"/>
                    </w:rPr>
                  </w:pPr>
                </w:p>
              </w:tc>
              <w:tc>
                <w:tcPr>
                  <w:tcW w:w="522" w:type="pct"/>
                  <w:tcBorders>
                    <w:tl2br w:val="nil"/>
                    <w:tr2bl w:val="nil"/>
                  </w:tcBorders>
                  <w:noWrap w:val="0"/>
                  <w:vAlign w:val="center"/>
                </w:tcPr>
                <w:p w14:paraId="13183BB3">
                  <w:pPr>
                    <w:jc w:val="center"/>
                    <w:rPr>
                      <w:rFonts w:hint="default" w:ascii="Times New Roman" w:hAnsi="Times New Roman" w:cs="Times New Roman"/>
                    </w:rPr>
                  </w:pPr>
                  <w:r>
                    <w:rPr>
                      <w:rFonts w:hint="default" w:ascii="Times New Roman" w:hAnsi="Times New Roman" w:cs="Times New Roman"/>
                    </w:rPr>
                    <w:t>CO</w:t>
                  </w:r>
                </w:p>
              </w:tc>
              <w:tc>
                <w:tcPr>
                  <w:tcW w:w="939" w:type="pct"/>
                  <w:tcBorders>
                    <w:tl2br w:val="nil"/>
                    <w:tr2bl w:val="nil"/>
                  </w:tcBorders>
                  <w:noWrap w:val="0"/>
                  <w:vAlign w:val="center"/>
                </w:tcPr>
                <w:p w14:paraId="4C812009">
                  <w:pPr>
                    <w:jc w:val="center"/>
                    <w:rPr>
                      <w:rFonts w:hint="default" w:ascii="Times New Roman" w:hAnsi="Times New Roman" w:cs="Times New Roman"/>
                    </w:rPr>
                  </w:pPr>
                  <w:r>
                    <w:rPr>
                      <w:rFonts w:hint="default" w:ascii="Times New Roman" w:hAnsi="Times New Roman" w:cs="Times New Roman"/>
                    </w:rPr>
                    <w:t>24小时平均第95%百分位数</w:t>
                  </w:r>
                </w:p>
              </w:tc>
              <w:tc>
                <w:tcPr>
                  <w:tcW w:w="513" w:type="pct"/>
                  <w:tcBorders>
                    <w:tl2br w:val="nil"/>
                    <w:tr2bl w:val="nil"/>
                  </w:tcBorders>
                  <w:noWrap w:val="0"/>
                  <w:vAlign w:val="center"/>
                </w:tcPr>
                <w:p w14:paraId="3364A197">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484" w:type="pct"/>
                  <w:tcBorders>
                    <w:tl2br w:val="nil"/>
                    <w:tr2bl w:val="nil"/>
                  </w:tcBorders>
                  <w:noWrap w:val="0"/>
                  <w:vAlign w:val="center"/>
                </w:tcPr>
                <w:p w14:paraId="6918706B">
                  <w:pPr>
                    <w:jc w:val="center"/>
                    <w:rPr>
                      <w:rFonts w:hint="default" w:ascii="Times New Roman" w:hAnsi="Times New Roman" w:cs="Times New Roman"/>
                    </w:rPr>
                  </w:pPr>
                  <w:r>
                    <w:rPr>
                      <w:rFonts w:hint="default" w:ascii="Times New Roman" w:hAnsi="Times New Roman" w:cs="Times New Roman"/>
                    </w:rPr>
                    <w:t>4</w:t>
                  </w:r>
                </w:p>
              </w:tc>
              <w:tc>
                <w:tcPr>
                  <w:tcW w:w="506" w:type="pct"/>
                  <w:tcBorders>
                    <w:tl2br w:val="nil"/>
                    <w:tr2bl w:val="nil"/>
                  </w:tcBorders>
                  <w:noWrap w:val="0"/>
                  <w:vAlign w:val="center"/>
                </w:tcPr>
                <w:p w14:paraId="373326EB">
                  <w:pPr>
                    <w:jc w:val="center"/>
                    <w:rPr>
                      <w:rFonts w:hint="default" w:ascii="Times New Roman" w:hAnsi="Times New Roman" w:cs="Times New Roman"/>
                    </w:rPr>
                  </w:pPr>
                  <w:r>
                    <w:rPr>
                      <w:rFonts w:hint="default" w:ascii="Times New Roman" w:hAnsi="Times New Roman" w:cs="Times New Roman"/>
                    </w:rPr>
                    <w:t>mg/m³</w:t>
                  </w:r>
                </w:p>
              </w:tc>
              <w:tc>
                <w:tcPr>
                  <w:tcW w:w="453" w:type="pct"/>
                  <w:tcBorders>
                    <w:tl2br w:val="nil"/>
                    <w:tr2bl w:val="nil"/>
                  </w:tcBorders>
                  <w:noWrap w:val="0"/>
                  <w:vAlign w:val="center"/>
                </w:tcPr>
                <w:p w14:paraId="6ED6EAA6">
                  <w:pPr>
                    <w:jc w:val="center"/>
                    <w:rPr>
                      <w:rFonts w:hint="default" w:ascii="Times New Roman" w:hAnsi="Times New Roman" w:cs="Times New Roman"/>
                    </w:rPr>
                  </w:pPr>
                  <w:r>
                    <w:rPr>
                      <w:rFonts w:hint="eastAsia" w:cs="Times New Roman"/>
                      <w:color w:val="auto"/>
                      <w:szCs w:val="21"/>
                      <w:lang w:val="en-US" w:eastAsia="zh-CN"/>
                    </w:rPr>
                    <w:t>25%</w:t>
                  </w:r>
                </w:p>
              </w:tc>
              <w:tc>
                <w:tcPr>
                  <w:tcW w:w="455" w:type="pct"/>
                  <w:tcBorders>
                    <w:tl2br w:val="nil"/>
                    <w:tr2bl w:val="nil"/>
                  </w:tcBorders>
                  <w:noWrap w:val="0"/>
                  <w:vAlign w:val="center"/>
                </w:tcPr>
                <w:p w14:paraId="01511F2D">
                  <w:pPr>
                    <w:jc w:val="center"/>
                    <w:rPr>
                      <w:rFonts w:hint="default" w:ascii="Times New Roman" w:hAnsi="Times New Roman" w:cs="Times New Roman"/>
                    </w:rPr>
                  </w:pPr>
                  <w:r>
                    <w:rPr>
                      <w:rFonts w:hint="default" w:ascii="Times New Roman" w:hAnsi="Times New Roman" w:cs="Times New Roman"/>
                    </w:rPr>
                    <w:t>达标</w:t>
                  </w:r>
                </w:p>
              </w:tc>
            </w:tr>
            <w:tr w14:paraId="23C6C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8" w:hRule="atLeast"/>
              </w:trPr>
              <w:tc>
                <w:tcPr>
                  <w:tcW w:w="1124" w:type="pct"/>
                  <w:vMerge w:val="continue"/>
                  <w:tcBorders>
                    <w:tl2br w:val="nil"/>
                    <w:tr2bl w:val="nil"/>
                  </w:tcBorders>
                  <w:noWrap w:val="0"/>
                  <w:vAlign w:val="center"/>
                </w:tcPr>
                <w:p w14:paraId="0DCABBF2">
                  <w:pPr>
                    <w:jc w:val="center"/>
                    <w:rPr>
                      <w:rFonts w:hint="default" w:ascii="Times New Roman" w:hAnsi="Times New Roman" w:cs="Times New Roman"/>
                    </w:rPr>
                  </w:pPr>
                </w:p>
              </w:tc>
              <w:tc>
                <w:tcPr>
                  <w:tcW w:w="522" w:type="pct"/>
                  <w:tcBorders>
                    <w:tl2br w:val="nil"/>
                    <w:tr2bl w:val="nil"/>
                  </w:tcBorders>
                  <w:noWrap w:val="0"/>
                  <w:vAlign w:val="center"/>
                </w:tcPr>
                <w:p w14:paraId="4D24E298">
                  <w:pPr>
                    <w:jc w:val="center"/>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939" w:type="pct"/>
                  <w:tcBorders>
                    <w:tl2br w:val="nil"/>
                    <w:tr2bl w:val="nil"/>
                  </w:tcBorders>
                  <w:noWrap w:val="0"/>
                  <w:vAlign w:val="center"/>
                </w:tcPr>
                <w:p w14:paraId="419FFDB1">
                  <w:pPr>
                    <w:jc w:val="center"/>
                    <w:rPr>
                      <w:rFonts w:hint="default" w:ascii="Times New Roman" w:hAnsi="Times New Roman" w:cs="Times New Roman"/>
                    </w:rPr>
                  </w:pPr>
                  <w:r>
                    <w:rPr>
                      <w:rFonts w:hint="default" w:ascii="Times New Roman" w:hAnsi="Times New Roman" w:cs="Times New Roman"/>
                    </w:rPr>
                    <w:t>8小时平均第90%百分位数</w:t>
                  </w:r>
                </w:p>
              </w:tc>
              <w:tc>
                <w:tcPr>
                  <w:tcW w:w="513" w:type="pct"/>
                  <w:tcBorders>
                    <w:tl2br w:val="nil"/>
                    <w:tr2bl w:val="nil"/>
                  </w:tcBorders>
                  <w:noWrap w:val="0"/>
                  <w:vAlign w:val="center"/>
                </w:tcPr>
                <w:p w14:paraId="734047D4">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eastAsia" w:cs="Times New Roman"/>
                      <w:lang w:val="en-US" w:eastAsia="zh-CN"/>
                    </w:rPr>
                    <w:t>56</w:t>
                  </w:r>
                </w:p>
              </w:tc>
              <w:tc>
                <w:tcPr>
                  <w:tcW w:w="484" w:type="pct"/>
                  <w:tcBorders>
                    <w:tl2br w:val="nil"/>
                    <w:tr2bl w:val="nil"/>
                  </w:tcBorders>
                  <w:noWrap w:val="0"/>
                  <w:vAlign w:val="center"/>
                </w:tcPr>
                <w:p w14:paraId="0E2D1738">
                  <w:pPr>
                    <w:jc w:val="center"/>
                    <w:rPr>
                      <w:rFonts w:hint="default" w:ascii="Times New Roman" w:hAnsi="Times New Roman" w:cs="Times New Roman"/>
                    </w:rPr>
                  </w:pPr>
                  <w:r>
                    <w:rPr>
                      <w:rFonts w:hint="default" w:ascii="Times New Roman" w:hAnsi="Times New Roman" w:cs="Times New Roman"/>
                    </w:rPr>
                    <w:t>160</w:t>
                  </w:r>
                </w:p>
              </w:tc>
              <w:tc>
                <w:tcPr>
                  <w:tcW w:w="506" w:type="pct"/>
                  <w:tcBorders>
                    <w:tl2br w:val="nil"/>
                    <w:tr2bl w:val="nil"/>
                  </w:tcBorders>
                  <w:noWrap w:val="0"/>
                  <w:vAlign w:val="center"/>
                </w:tcPr>
                <w:p w14:paraId="1400CB53">
                  <w:pPr>
                    <w:jc w:val="center"/>
                    <w:rPr>
                      <w:rFonts w:hint="default" w:ascii="Times New Roman" w:hAnsi="Times New Roman" w:cs="Times New Roman"/>
                    </w:rPr>
                  </w:pPr>
                  <w:r>
                    <w:rPr>
                      <w:rFonts w:hint="default" w:ascii="Times New Roman" w:hAnsi="Times New Roman" w:cs="Times New Roman"/>
                    </w:rPr>
                    <w:t>μg/m³</w:t>
                  </w:r>
                </w:p>
              </w:tc>
              <w:tc>
                <w:tcPr>
                  <w:tcW w:w="453" w:type="pct"/>
                  <w:tcBorders>
                    <w:tl2br w:val="nil"/>
                    <w:tr2bl w:val="nil"/>
                  </w:tcBorders>
                  <w:noWrap w:val="0"/>
                  <w:vAlign w:val="center"/>
                </w:tcPr>
                <w:p w14:paraId="5D3AFEC3">
                  <w:pPr>
                    <w:jc w:val="center"/>
                    <w:rPr>
                      <w:rFonts w:hint="default" w:ascii="Times New Roman" w:hAnsi="Times New Roman" w:eastAsia="宋体" w:cs="Times New Roman"/>
                      <w:lang w:val="en-US" w:eastAsia="zh-CN"/>
                    </w:rPr>
                  </w:pPr>
                  <w:r>
                    <w:rPr>
                      <w:rFonts w:hint="eastAsia" w:cs="Times New Roman"/>
                      <w:color w:val="auto"/>
                      <w:szCs w:val="21"/>
                      <w:lang w:val="en-US" w:eastAsia="zh-CN"/>
                    </w:rPr>
                    <w:t>98%</w:t>
                  </w:r>
                </w:p>
              </w:tc>
              <w:tc>
                <w:tcPr>
                  <w:tcW w:w="455" w:type="pct"/>
                  <w:tcBorders>
                    <w:tl2br w:val="nil"/>
                    <w:tr2bl w:val="nil"/>
                  </w:tcBorders>
                  <w:noWrap w:val="0"/>
                  <w:vAlign w:val="center"/>
                </w:tcPr>
                <w:p w14:paraId="57F219E2">
                  <w:pPr>
                    <w:jc w:val="center"/>
                    <w:rPr>
                      <w:rFonts w:hint="default" w:ascii="Times New Roman" w:hAnsi="Times New Roman" w:cs="Times New Roman"/>
                    </w:rPr>
                  </w:pPr>
                  <w:r>
                    <w:rPr>
                      <w:rFonts w:hint="eastAsia" w:cs="Times New Roman"/>
                      <w:lang w:val="en-US" w:eastAsia="zh-CN"/>
                    </w:rPr>
                    <w:t>达</w:t>
                  </w:r>
                  <w:r>
                    <w:rPr>
                      <w:rFonts w:hint="eastAsia" w:ascii="Times New Roman" w:hAnsi="Times New Roman" w:cs="Times New Roman"/>
                      <w:lang w:val="en-US" w:eastAsia="zh-CN"/>
                    </w:rPr>
                    <w:t>标</w:t>
                  </w:r>
                </w:p>
              </w:tc>
            </w:tr>
          </w:tbl>
          <w:p w14:paraId="69B24362">
            <w:pPr>
              <w:pStyle w:val="27"/>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cs="Times New Roman"/>
              </w:rPr>
            </w:pPr>
            <w:r>
              <w:rPr>
                <w:rFonts w:hint="default" w:ascii="Times New Roman" w:hAnsi="Times New Roman" w:cs="Times New Roman"/>
              </w:rPr>
              <w:t>由上表可知，项目区域环境空气质量SO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、CO和O</w:t>
            </w:r>
            <w:r>
              <w:rPr>
                <w:rFonts w:hint="default" w:ascii="Times New Roman" w:hAnsi="Times New Roman" w:cs="Times New Roman"/>
                <w:vertAlign w:val="subscript"/>
              </w:rPr>
              <w:t>3</w:t>
            </w:r>
            <w:r>
              <w:rPr>
                <w:rFonts w:hint="default" w:ascii="Times New Roman" w:hAnsi="Times New Roman" w:cs="Times New Roman"/>
              </w:rPr>
              <w:t>各监测因子均满足《环境空气质量标准》（GB3095-2012）二级标准</w:t>
            </w:r>
            <w:r>
              <w:rPr>
                <w:rFonts w:hint="eastAsia" w:hAnsi="Times New Roman" w:cs="Times New Roman"/>
                <w:lang w:val="en-US" w:eastAsia="zh-CN"/>
              </w:rPr>
              <w:t>的</w:t>
            </w:r>
            <w:r>
              <w:rPr>
                <w:rFonts w:hint="default" w:ascii="Times New Roman" w:hAnsi="Times New Roman" w:cs="Times New Roman"/>
                <w:lang w:val="en-US" w:eastAsia="zh-CN"/>
              </w:rPr>
              <w:t>要求。</w:t>
            </w:r>
            <w:r>
              <w:rPr>
                <w:rFonts w:hint="default" w:ascii="Times New Roman" w:hAnsi="Times New Roman" w:cs="Times New Roman"/>
              </w:rPr>
              <w:t>根据《环境影响评价技术导则 大气环境》（HJ2.2-2018），城市环境空气质量达标情况评价指标为SO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、CO和O</w:t>
            </w:r>
            <w:r>
              <w:rPr>
                <w:rFonts w:hint="default" w:ascii="Times New Roman" w:hAnsi="Times New Roman" w:cs="Times New Roman"/>
                <w:vertAlign w:val="subscript"/>
              </w:rPr>
              <w:t>3</w:t>
            </w:r>
            <w:r>
              <w:rPr>
                <w:rFonts w:hint="default" w:ascii="Times New Roman" w:hAnsi="Times New Roman" w:cs="Times New Roman"/>
              </w:rPr>
              <w:t>，六项污染物全部达标即为城市环境空气质量达标。由此可知，项目所本项目大气环境质量属于达标区域。</w:t>
            </w:r>
          </w:p>
          <w:p w14:paraId="008947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snapToGrid w:val="0"/>
                <w:color w:val="auto"/>
                <w:kern w:val="0"/>
                <w:sz w:val="24"/>
              </w:rPr>
            </w:pPr>
            <w:r>
              <w:rPr>
                <w:rFonts w:hint="eastAsia" w:ascii="Times New Roman" w:hAnsi="Times New Roman" w:cs="Times New Roman"/>
                <w:color w:val="auto"/>
                <w:sz w:val="24"/>
                <w:highlight w:val="none"/>
              </w:rPr>
              <w:t>为了深入推进大气污染防治工作，有效降低污染物浓度，持续改善空气质量，</w:t>
            </w:r>
            <w:r>
              <w:rPr>
                <w:rFonts w:hint="eastAsia"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rPr>
              <w:t>平顶山市生态环境保护委员会办公室关于印发《平顶山市202</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rPr>
              <w:t>年蓝天保卫战实施方案》，以习近平新时代中国特色社会主义思想为指导，深入贯彻党的二十大精神，全面落实习近平生态文明思想，统筹生态环境保护与经济社会发展，突出精准治污、科学治污、依法治污，聚焦重污染天气消除、臭氧污染防治、柴油货车污染治理攻坚战，加快推进产业、能源、交通运输结构优化调整，强化重点区域、重点领域、重点行业和重点污染源治理，着力推进大气多污染物协同减排，精准有效应对重污染天气，完成上级下达我市的年度空气质量改善和主要大气污染物总量减排目标任务，助力经济高质量发展。</w:t>
            </w:r>
          </w:p>
          <w:p w14:paraId="2176ED88">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b/>
                <w:lang w:val="en-US" w:eastAsia="zh-CN"/>
              </w:rPr>
            </w:pPr>
            <w:r>
              <w:rPr>
                <w:rFonts w:hint="default" w:ascii="Times New Roman" w:hAnsi="Times New Roman" w:cs="Times New Roman"/>
                <w:b/>
              </w:rPr>
              <w:t>2、地表水环境</w:t>
            </w:r>
            <w:r>
              <w:rPr>
                <w:rFonts w:hint="default" w:ascii="Times New Roman" w:hAnsi="Times New Roman" w:cs="Times New Roman"/>
                <w:b/>
                <w:lang w:val="en-US" w:eastAsia="zh-CN"/>
              </w:rPr>
              <w:t>质量现状</w:t>
            </w:r>
          </w:p>
          <w:p w14:paraId="286FD9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本项目</w:t>
            </w:r>
            <w:r>
              <w:rPr>
                <w:rFonts w:hint="default" w:ascii="Times New Roman" w:hAnsi="Times New Roman" w:cs="Times New Roman"/>
                <w:sz w:val="24"/>
                <w:szCs w:val="24"/>
                <w:lang w:eastAsia="zh-CN"/>
              </w:rPr>
              <w:t>生产废水</w:t>
            </w:r>
            <w:r>
              <w:rPr>
                <w:rFonts w:hint="eastAsia" w:cs="Times New Roman"/>
                <w:sz w:val="24"/>
                <w:szCs w:val="24"/>
                <w:highlight w:val="none"/>
                <w:lang w:val="en-US" w:eastAsia="zh-CN"/>
              </w:rPr>
              <w:t>经过</w:t>
            </w:r>
            <w:r>
              <w:rPr>
                <w:rFonts w:hint="eastAsia" w:ascii="Times New Roman" w:hAnsi="Times New Roman" w:eastAsia="宋体"/>
                <w:b w:val="0"/>
                <w:bCs w:val="0"/>
                <w:color w:val="auto"/>
                <w:sz w:val="24"/>
                <w:szCs w:val="24"/>
                <w:highlight w:val="none"/>
                <w:u w:val="none"/>
                <w:lang w:eastAsia="zh-CN"/>
              </w:rPr>
              <w:t>车间外</w:t>
            </w:r>
            <w:r>
              <w:rPr>
                <w:rFonts w:hint="eastAsia"/>
                <w:b w:val="0"/>
                <w:bCs w:val="0"/>
                <w:color w:val="auto"/>
                <w:sz w:val="24"/>
                <w:szCs w:val="24"/>
                <w:highlight w:val="none"/>
                <w:u w:val="none"/>
                <w:lang w:val="en-US" w:eastAsia="zh-CN"/>
              </w:rPr>
              <w:t>隔油</w:t>
            </w:r>
            <w:r>
              <w:rPr>
                <w:rFonts w:hint="eastAsia" w:ascii="Times New Roman" w:hAnsi="Times New Roman" w:eastAsia="宋体"/>
                <w:b w:val="0"/>
                <w:bCs w:val="0"/>
                <w:color w:val="auto"/>
                <w:sz w:val="24"/>
                <w:szCs w:val="24"/>
                <w:highlight w:val="none"/>
                <w:u w:val="none"/>
                <w:lang w:eastAsia="zh-CN"/>
              </w:rPr>
              <w:t>池</w:t>
            </w:r>
            <w:r>
              <w:rPr>
                <w:rFonts w:hint="eastAsia"/>
                <w:b w:val="0"/>
                <w:bCs w:val="0"/>
                <w:color w:val="auto"/>
                <w:sz w:val="24"/>
                <w:szCs w:val="24"/>
                <w:highlight w:val="none"/>
                <w:u w:val="none"/>
                <w:lang w:val="en-US" w:eastAsia="zh-CN"/>
              </w:rPr>
              <w:t>再进入污水处理设施处理</w:t>
            </w:r>
            <w:r>
              <w:rPr>
                <w:rFonts w:hint="eastAsia"/>
                <w:b w:val="0"/>
                <w:bCs w:val="0"/>
                <w:color w:val="auto"/>
                <w:sz w:val="24"/>
                <w:szCs w:val="24"/>
                <w:highlight w:val="none"/>
                <w:u w:val="none"/>
                <w:lang w:eastAsia="zh-CN"/>
              </w:rPr>
              <w:t>，</w:t>
            </w:r>
            <w:r>
              <w:rPr>
                <w:rFonts w:hint="eastAsia" w:ascii="Times New Roman" w:hAnsi="Times New Roman" w:eastAsia="宋体"/>
                <w:b w:val="0"/>
                <w:bCs w:val="0"/>
                <w:color w:val="auto"/>
                <w:sz w:val="24"/>
                <w:szCs w:val="24"/>
                <w:highlight w:val="none"/>
                <w:u w:val="none"/>
                <w:lang w:val="en-US" w:eastAsia="zh-CN"/>
              </w:rPr>
              <w:t>再</w:t>
            </w:r>
            <w:r>
              <w:rPr>
                <w:rFonts w:hint="eastAsia"/>
                <w:b w:val="0"/>
                <w:bCs w:val="0"/>
                <w:color w:val="auto"/>
                <w:sz w:val="24"/>
                <w:szCs w:val="24"/>
                <w:highlight w:val="none"/>
                <w:u w:val="none"/>
                <w:lang w:val="en-US" w:eastAsia="zh-CN"/>
              </w:rPr>
              <w:t>外排</w:t>
            </w:r>
            <w:r>
              <w:rPr>
                <w:rFonts w:hint="eastAsia" w:ascii="Times New Roman" w:hAnsi="Times New Roman" w:eastAsia="宋体"/>
                <w:b w:val="0"/>
                <w:bCs w:val="0"/>
                <w:color w:val="auto"/>
                <w:sz w:val="24"/>
                <w:szCs w:val="24"/>
                <w:highlight w:val="none"/>
                <w:u w:val="none"/>
                <w:lang w:eastAsia="zh-CN"/>
              </w:rPr>
              <w:t>进入</w:t>
            </w:r>
            <w:r>
              <w:rPr>
                <w:rFonts w:hint="eastAsia" w:eastAsia="宋体"/>
                <w:b w:val="0"/>
                <w:bCs w:val="0"/>
                <w:color w:val="auto"/>
                <w:sz w:val="24"/>
                <w:szCs w:val="24"/>
                <w:highlight w:val="none"/>
                <w:u w:val="none"/>
                <w:lang w:val="en-US" w:eastAsia="zh-CN"/>
              </w:rPr>
              <w:t>污水管网</w:t>
            </w:r>
            <w:r>
              <w:rPr>
                <w:rFonts w:hint="eastAsia"/>
                <w:b w:val="0"/>
                <w:bCs w:val="0"/>
                <w:color w:val="auto"/>
                <w:sz w:val="24"/>
                <w:szCs w:val="24"/>
                <w:highlight w:val="none"/>
                <w:u w:val="none"/>
                <w:lang w:val="en-US" w:eastAsia="zh-CN"/>
              </w:rPr>
              <w:t>最终流向叶县廉村镇污水处理站进行处理</w:t>
            </w:r>
            <w:r>
              <w:rPr>
                <w:rFonts w:hint="eastAsia" w:cs="Times New Roman"/>
                <w:sz w:val="24"/>
                <w:szCs w:val="24"/>
                <w:lang w:val="en-US" w:eastAsia="zh-CN"/>
              </w:rPr>
              <w:t>，</w:t>
            </w:r>
            <w:r>
              <w:rPr>
                <w:rFonts w:hint="default" w:ascii="Times New Roman" w:hAnsi="Times New Roman" w:cs="Times New Roman"/>
                <w:sz w:val="24"/>
                <w:szCs w:val="24"/>
                <w:lang w:eastAsia="zh-CN"/>
              </w:rPr>
              <w:t>生活污水</w:t>
            </w:r>
            <w:r>
              <w:rPr>
                <w:rFonts w:hint="eastAsia" w:ascii="Times New Roman" w:hAnsi="Times New Roman" w:cs="Times New Roman"/>
                <w:sz w:val="24"/>
                <w:szCs w:val="24"/>
                <w:lang w:val="en-US" w:eastAsia="zh-CN"/>
              </w:rPr>
              <w:t>经过化粪池的处理后</w:t>
            </w:r>
            <w:r>
              <w:rPr>
                <w:rFonts w:hint="eastAsia" w:cs="Times New Roman"/>
                <w:sz w:val="24"/>
                <w:szCs w:val="24"/>
                <w:lang w:val="en-US" w:eastAsia="zh-CN"/>
              </w:rPr>
              <w:t>，外排到市政污水管网最终进入</w:t>
            </w:r>
            <w:r>
              <w:rPr>
                <w:rFonts w:hint="eastAsia"/>
                <w:b w:val="0"/>
                <w:bCs w:val="0"/>
                <w:color w:val="auto"/>
                <w:sz w:val="24"/>
                <w:szCs w:val="24"/>
                <w:highlight w:val="none"/>
                <w:u w:val="none"/>
                <w:lang w:val="en-US" w:eastAsia="zh-CN"/>
              </w:rPr>
              <w:t>叶县廉村镇污水处理站</w:t>
            </w:r>
            <w:r>
              <w:rPr>
                <w:rFonts w:hint="default" w:ascii="Times New Roman" w:hAnsi="Times New Roman" w:cs="Times New Roman"/>
                <w:sz w:val="24"/>
                <w:szCs w:val="24"/>
                <w:highlight w:val="none"/>
              </w:rPr>
              <w:t>。经调</w:t>
            </w:r>
            <w:r>
              <w:rPr>
                <w:rFonts w:hint="default" w:ascii="Times New Roman" w:hAnsi="Times New Roman" w:cs="Times New Roman"/>
                <w:sz w:val="24"/>
                <w:highlight w:val="none"/>
              </w:rPr>
              <w:t>查，该区域纳污河流</w:t>
            </w:r>
            <w:r>
              <w:rPr>
                <w:rFonts w:hint="eastAsia" w:cs="Times New Roman"/>
                <w:sz w:val="24"/>
                <w:highlight w:val="none"/>
                <w:lang w:val="en-US" w:eastAsia="zh-CN"/>
              </w:rPr>
              <w:t>且直线距离最近为</w:t>
            </w:r>
            <w:r>
              <w:rPr>
                <w:rFonts w:hint="default" w:ascii="Times New Roman" w:hAnsi="Times New Roman" w:cs="Times New Roman"/>
                <w:sz w:val="24"/>
                <w:highlight w:val="none"/>
              </w:rPr>
              <w:t>灰河（本项目</w:t>
            </w:r>
            <w:r>
              <w:rPr>
                <w:rFonts w:hint="eastAsia" w:cs="Times New Roman"/>
                <w:sz w:val="24"/>
                <w:highlight w:val="none"/>
                <w:lang w:val="en-US" w:eastAsia="zh-CN"/>
              </w:rPr>
              <w:t>西</w:t>
            </w:r>
            <w:r>
              <w:rPr>
                <w:rFonts w:hint="default" w:ascii="Times New Roman" w:hAnsi="Times New Roman" w:cs="Times New Roman"/>
                <w:sz w:val="24"/>
                <w:highlight w:val="none"/>
                <w:lang w:val="en-US" w:eastAsia="zh-CN"/>
              </w:rPr>
              <w:t>北</w:t>
            </w:r>
            <w:r>
              <w:rPr>
                <w:rFonts w:hint="default" w:ascii="Times New Roman" w:hAnsi="Times New Roman" w:cs="Times New Roman"/>
                <w:sz w:val="24"/>
                <w:highlight w:val="none"/>
              </w:rPr>
              <w:t>侧</w:t>
            </w:r>
            <w:r>
              <w:rPr>
                <w:rFonts w:hint="default" w:ascii="Times New Roman" w:hAnsi="Times New Roman" w:cs="Times New Roman"/>
                <w:sz w:val="24"/>
                <w:highlight w:val="none"/>
                <w:lang w:val="en-US" w:eastAsia="zh-CN"/>
              </w:rPr>
              <w:t>直线距离</w:t>
            </w:r>
            <w:r>
              <w:rPr>
                <w:rFonts w:hint="eastAsia" w:cs="Times New Roman"/>
                <w:sz w:val="24"/>
                <w:highlight w:val="none"/>
                <w:lang w:val="en-US" w:eastAsia="zh-CN"/>
              </w:rPr>
              <w:t>738</w:t>
            </w:r>
            <w:r>
              <w:rPr>
                <w:rFonts w:hint="default" w:ascii="Times New Roman" w:hAnsi="Times New Roman" w:cs="Times New Roman"/>
                <w:sz w:val="24"/>
                <w:highlight w:val="none"/>
              </w:rPr>
              <w:t>m</w:t>
            </w:r>
            <w:r>
              <w:rPr>
                <w:rFonts w:hint="default" w:ascii="Times New Roman" w:hAnsi="Times New Roman" w:cs="Times New Roman"/>
                <w:sz w:val="24"/>
                <w:highlight w:val="none"/>
                <w:lang w:val="en-US" w:eastAsia="zh-CN"/>
              </w:rPr>
              <w:t>处</w:t>
            </w:r>
            <w:r>
              <w:rPr>
                <w:rFonts w:hint="default" w:ascii="Times New Roman" w:hAnsi="Times New Roman" w:cs="Times New Roman"/>
                <w:sz w:val="24"/>
                <w:highlight w:val="none"/>
              </w:rPr>
              <w:t>）执行</w:t>
            </w:r>
            <w:r>
              <w:rPr>
                <w:rFonts w:hint="default" w:ascii="Times New Roman" w:hAnsi="Times New Roman" w:cs="Times New Roman"/>
                <w:sz w:val="24"/>
              </w:rPr>
              <w:t>《地表水环境质量标准》（GB3838-2002）IV类标准。为了解该区域内灰河水质情况，</w:t>
            </w:r>
            <w:r>
              <w:rPr>
                <w:rFonts w:hint="default" w:ascii="Times New Roman" w:hAnsi="Times New Roman" w:cs="Times New Roman"/>
                <w:bCs/>
                <w:sz w:val="24"/>
              </w:rPr>
              <w:t>本次地表水现状</w:t>
            </w:r>
            <w:r>
              <w:rPr>
                <w:rFonts w:hint="default" w:ascii="Times New Roman" w:hAnsi="Times New Roman" w:cs="Times New Roman"/>
                <w:bCs/>
                <w:sz w:val="24"/>
                <w:highlight w:val="none"/>
              </w:rPr>
              <w:t>评价采用20</w:t>
            </w:r>
            <w:r>
              <w:rPr>
                <w:rFonts w:hint="default" w:ascii="Times New Roman" w:hAnsi="Times New Roman" w:cs="Times New Roman"/>
                <w:bCs/>
                <w:sz w:val="24"/>
                <w:highlight w:val="none"/>
                <w:lang w:val="en-US" w:eastAsia="zh-CN"/>
              </w:rPr>
              <w:t>22</w:t>
            </w:r>
            <w:r>
              <w:rPr>
                <w:rFonts w:hint="default" w:ascii="Times New Roman" w:hAnsi="Times New Roman" w:cs="Times New Roman"/>
                <w:bCs/>
                <w:sz w:val="24"/>
                <w:highlight w:val="none"/>
              </w:rPr>
              <w:t>年度灰河</w:t>
            </w:r>
            <w:r>
              <w:rPr>
                <w:rFonts w:hint="default" w:ascii="Times New Roman" w:hAnsi="Times New Roman" w:cs="Times New Roman"/>
                <w:bCs/>
                <w:sz w:val="24"/>
              </w:rPr>
              <w:t>叶县水寨屈庄断面的</w:t>
            </w:r>
            <w:r>
              <w:rPr>
                <w:rFonts w:hint="default" w:ascii="Times New Roman" w:hAnsi="Times New Roman" w:cs="Times New Roman"/>
                <w:bCs/>
                <w:sz w:val="24"/>
                <w:lang w:eastAsia="zh-CN"/>
              </w:rPr>
              <w:t>例行</w:t>
            </w:r>
            <w:r>
              <w:rPr>
                <w:rFonts w:hint="default" w:ascii="Times New Roman" w:hAnsi="Times New Roman" w:cs="Times New Roman"/>
                <w:bCs/>
                <w:sz w:val="24"/>
              </w:rPr>
              <w:t>监测数据，详见表</w:t>
            </w:r>
            <w:r>
              <w:rPr>
                <w:rFonts w:hint="default" w:ascii="Times New Roman" w:hAnsi="Times New Roman" w:cs="Times New Roman"/>
                <w:bCs/>
                <w:sz w:val="24"/>
                <w:lang w:val="en-US" w:eastAsia="zh-CN"/>
              </w:rPr>
              <w:t>3-2</w:t>
            </w:r>
            <w:r>
              <w:rPr>
                <w:rFonts w:hint="default" w:ascii="Times New Roman" w:hAnsi="Times New Roman" w:cs="Times New Roman"/>
                <w:bCs/>
                <w:sz w:val="24"/>
              </w:rPr>
              <w:t>。</w:t>
            </w:r>
          </w:p>
          <w:p w14:paraId="0A799861">
            <w:pPr>
              <w:keepNext w:val="0"/>
              <w:keepLines w:val="0"/>
              <w:pageBreakBefore w:val="0"/>
              <w:widowControl w:val="0"/>
              <w:kinsoku/>
              <w:wordWrap/>
              <w:overflowPunct/>
              <w:topLinePunct w:val="0"/>
              <w:autoSpaceDE/>
              <w:autoSpaceDN/>
              <w:bidi w:val="0"/>
              <w:adjustRightInd/>
              <w:snapToGrid/>
              <w:spacing w:line="500" w:lineRule="exact"/>
              <w:ind w:firstLine="720" w:firstLineChars="300"/>
              <w:jc w:val="center"/>
              <w:textAlignment w:val="auto"/>
              <w:rPr>
                <w:rFonts w:ascii="Calibri" w:cs="Calibri"/>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3</w:t>
            </w:r>
            <w:r>
              <w:rPr>
                <w:rFonts w:hint="eastAsia" w:eastAsia="黑体" w:cs="Times New Roman"/>
                <w:sz w:val="24"/>
                <w:lang w:val="en-US" w:eastAsia="zh-CN"/>
              </w:rPr>
              <w:t>-</w:t>
            </w:r>
            <w:r>
              <w:rPr>
                <w:rFonts w:hint="default" w:ascii="Times New Roman" w:hAnsi="Times New Roman" w:eastAsia="黑体" w:cs="Times New Roman"/>
                <w:sz w:val="24"/>
                <w:lang w:val="en-US" w:eastAsia="zh-CN"/>
              </w:rPr>
              <w:t>2</w:t>
            </w:r>
            <w:r>
              <w:rPr>
                <w:rFonts w:hint="default" w:ascii="Times New Roman" w:hAnsi="Times New Roman" w:eastAsia="黑体" w:cs="Times New Roman"/>
                <w:sz w:val="24"/>
              </w:rPr>
              <w:t xml:space="preserve"> 灰河现状监测结果统计</w:t>
            </w:r>
            <w:r>
              <w:rPr>
                <w:rFonts w:ascii="Calibri" w:eastAsia="黑体" w:cs="Calibri"/>
                <w:sz w:val="24"/>
              </w:rPr>
              <w:t>与评价</w:t>
            </w:r>
            <w:r>
              <w:rPr>
                <w:rFonts w:ascii="Calibri" w:hAnsi="Calibri" w:eastAsia="黑体" w:cs="Calibri"/>
                <w:sz w:val="24"/>
              </w:rPr>
              <w:t xml:space="preserve">   </w:t>
            </w:r>
            <w:r>
              <w:rPr>
                <w:rFonts w:hint="default" w:ascii="Times New Roman" w:hAnsi="Times New Roman" w:cs="Times New Roman"/>
              </w:rPr>
              <w:t>单位：mg/L（除pH外）</w:t>
            </w:r>
          </w:p>
          <w:tbl>
            <w:tblPr>
              <w:tblStyle w:val="21"/>
              <w:tblW w:w="4987"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8"/>
              <w:gridCol w:w="2194"/>
              <w:gridCol w:w="1310"/>
              <w:gridCol w:w="1575"/>
              <w:gridCol w:w="1025"/>
              <w:gridCol w:w="1025"/>
            </w:tblGrid>
            <w:tr w14:paraId="3A27DE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597" w:type="pct"/>
                  <w:tcBorders>
                    <w:tl2br w:val="nil"/>
                    <w:tr2bl w:val="nil"/>
                  </w:tcBorders>
                  <w:noWrap w:val="0"/>
                  <w:vAlign w:val="center"/>
                </w:tcPr>
                <w:p w14:paraId="75156CB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szCs w:val="21"/>
                    </w:rPr>
                  </w:pPr>
                  <w:r>
                    <w:rPr>
                      <w:rFonts w:hint="eastAsia"/>
                      <w:szCs w:val="21"/>
                    </w:rPr>
                    <w:t>检测断面</w:t>
                  </w:r>
                </w:p>
              </w:tc>
              <w:tc>
                <w:tcPr>
                  <w:tcW w:w="1354" w:type="pct"/>
                  <w:tcBorders>
                    <w:tl2br w:val="nil"/>
                    <w:tr2bl w:val="nil"/>
                  </w:tcBorders>
                  <w:noWrap w:val="0"/>
                  <w:vAlign w:val="center"/>
                </w:tcPr>
                <w:p w14:paraId="75D4933F">
                  <w:pPr>
                    <w:keepNext w:val="0"/>
                    <w:keepLines w:val="0"/>
                    <w:pageBreakBefore w:val="0"/>
                    <w:kinsoku/>
                    <w:wordWrap/>
                    <w:overflowPunct/>
                    <w:topLinePunct w:val="0"/>
                    <w:autoSpaceDE/>
                    <w:autoSpaceDN/>
                    <w:bidi w:val="0"/>
                    <w:adjustRightInd/>
                    <w:snapToGrid/>
                    <w:spacing w:line="240" w:lineRule="auto"/>
                    <w:ind w:left="0" w:right="0"/>
                    <w:jc w:val="center"/>
                    <w:textAlignment w:val="auto"/>
                    <w:rPr>
                      <w:szCs w:val="21"/>
                    </w:rPr>
                  </w:pPr>
                  <w:r>
                    <w:rPr>
                      <w:rFonts w:hint="eastAsia"/>
                      <w:szCs w:val="21"/>
                    </w:rPr>
                    <w:t>项目</w:t>
                  </w:r>
                </w:p>
              </w:tc>
              <w:tc>
                <w:tcPr>
                  <w:tcW w:w="808" w:type="pct"/>
                  <w:tcBorders>
                    <w:tl2br w:val="nil"/>
                    <w:tr2bl w:val="nil"/>
                  </w:tcBorders>
                  <w:noWrap w:val="0"/>
                  <w:vAlign w:val="center"/>
                </w:tcPr>
                <w:p w14:paraId="7F216DD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szCs w:val="21"/>
                    </w:rPr>
                  </w:pPr>
                  <w:r>
                    <w:rPr>
                      <w:rFonts w:hint="eastAsia"/>
                      <w:szCs w:val="21"/>
                      <w:lang w:val="en-US" w:eastAsia="zh-CN"/>
                    </w:rPr>
                    <w:t>平</w:t>
                  </w:r>
                  <w:r>
                    <w:rPr>
                      <w:rFonts w:hint="eastAsia"/>
                      <w:szCs w:val="21"/>
                    </w:rPr>
                    <w:t>均值</w:t>
                  </w:r>
                </w:p>
              </w:tc>
              <w:tc>
                <w:tcPr>
                  <w:tcW w:w="972" w:type="pct"/>
                  <w:tcBorders>
                    <w:tl2br w:val="nil"/>
                    <w:tr2bl w:val="nil"/>
                  </w:tcBorders>
                  <w:noWrap w:val="0"/>
                  <w:vAlign w:val="center"/>
                </w:tcPr>
                <w:p w14:paraId="017185E4">
                  <w:pPr>
                    <w:keepNext w:val="0"/>
                    <w:keepLines w:val="0"/>
                    <w:pageBreakBefore w:val="0"/>
                    <w:kinsoku/>
                    <w:wordWrap/>
                    <w:overflowPunct/>
                    <w:topLinePunct w:val="0"/>
                    <w:autoSpaceDE/>
                    <w:autoSpaceDN/>
                    <w:bidi w:val="0"/>
                    <w:adjustRightInd/>
                    <w:snapToGrid/>
                    <w:spacing w:line="240" w:lineRule="auto"/>
                    <w:ind w:left="0" w:right="0"/>
                    <w:jc w:val="center"/>
                    <w:textAlignment w:val="auto"/>
                    <w:rPr>
                      <w:szCs w:val="21"/>
                    </w:rPr>
                  </w:pPr>
                  <w:r>
                    <w:rPr>
                      <w:rFonts w:hint="eastAsia"/>
                      <w:szCs w:val="21"/>
                    </w:rPr>
                    <w:t>评价标准</w:t>
                  </w:r>
                </w:p>
              </w:tc>
              <w:tc>
                <w:tcPr>
                  <w:tcW w:w="632" w:type="pct"/>
                  <w:tcBorders>
                    <w:tl2br w:val="nil"/>
                    <w:tr2bl w:val="nil"/>
                  </w:tcBorders>
                  <w:noWrap w:val="0"/>
                  <w:vAlign w:val="center"/>
                </w:tcPr>
                <w:p w14:paraId="375950C4">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超标率</w:t>
                  </w:r>
                </w:p>
              </w:tc>
              <w:tc>
                <w:tcPr>
                  <w:tcW w:w="632" w:type="pct"/>
                  <w:tcBorders>
                    <w:tl2br w:val="nil"/>
                    <w:tr2bl w:val="nil"/>
                  </w:tcBorders>
                  <w:noWrap w:val="0"/>
                  <w:vAlign w:val="center"/>
                </w:tcPr>
                <w:p w14:paraId="1B99D0E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评价结果</w:t>
                  </w:r>
                </w:p>
              </w:tc>
            </w:tr>
            <w:tr w14:paraId="389EF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97" w:type="pct"/>
                  <w:vMerge w:val="restart"/>
                  <w:tcBorders>
                    <w:tl2br w:val="nil"/>
                    <w:tr2bl w:val="nil"/>
                  </w:tcBorders>
                  <w:noWrap w:val="0"/>
                  <w:vAlign w:val="center"/>
                </w:tcPr>
                <w:p w14:paraId="16B7D46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灰河</w:t>
                  </w:r>
                  <w:r>
                    <w:rPr>
                      <w:rFonts w:hint="eastAsia"/>
                      <w:lang w:val="en-US" w:eastAsia="zh-CN"/>
                    </w:rPr>
                    <w:t>叶县水寨</w:t>
                  </w:r>
                  <w:r>
                    <w:rPr>
                      <w:rFonts w:hint="eastAsia"/>
                    </w:rPr>
                    <w:t>屈庄断面</w:t>
                  </w:r>
                </w:p>
              </w:tc>
              <w:tc>
                <w:tcPr>
                  <w:tcW w:w="1354" w:type="pct"/>
                  <w:tcBorders>
                    <w:tl2br w:val="nil"/>
                    <w:tr2bl w:val="nil"/>
                  </w:tcBorders>
                  <w:noWrap w:val="0"/>
                  <w:vAlign w:val="center"/>
                </w:tcPr>
                <w:p w14:paraId="0BF33424">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pH</w:t>
                  </w:r>
                </w:p>
              </w:tc>
              <w:tc>
                <w:tcPr>
                  <w:tcW w:w="808" w:type="pct"/>
                  <w:tcBorders>
                    <w:tl2br w:val="nil"/>
                    <w:tr2bl w:val="nil"/>
                  </w:tcBorders>
                  <w:noWrap w:val="0"/>
                  <w:vAlign w:val="center"/>
                </w:tcPr>
                <w:p w14:paraId="182286E1">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7</w:t>
                  </w:r>
                </w:p>
              </w:tc>
              <w:tc>
                <w:tcPr>
                  <w:tcW w:w="972" w:type="pct"/>
                  <w:tcBorders>
                    <w:tl2br w:val="nil"/>
                    <w:tr2bl w:val="nil"/>
                  </w:tcBorders>
                  <w:noWrap w:val="0"/>
                  <w:vAlign w:val="center"/>
                </w:tcPr>
                <w:p w14:paraId="69C704D4">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6～9</w:t>
                  </w:r>
                </w:p>
              </w:tc>
              <w:tc>
                <w:tcPr>
                  <w:tcW w:w="632" w:type="pct"/>
                  <w:tcBorders>
                    <w:tl2br w:val="nil"/>
                    <w:tr2bl w:val="nil"/>
                  </w:tcBorders>
                  <w:noWrap w:val="0"/>
                  <w:vAlign w:val="center"/>
                </w:tcPr>
                <w:p w14:paraId="471EAE13">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lang w:val="en-US" w:eastAsia="zh-CN"/>
                    </w:rPr>
                  </w:pPr>
                  <w:r>
                    <w:rPr>
                      <w:rFonts w:hint="eastAsia"/>
                      <w:lang w:val="en-US" w:eastAsia="zh-CN"/>
                    </w:rPr>
                    <w:t>0</w:t>
                  </w:r>
                </w:p>
              </w:tc>
              <w:tc>
                <w:tcPr>
                  <w:tcW w:w="632" w:type="pct"/>
                  <w:tcBorders>
                    <w:tl2br w:val="nil"/>
                    <w:tr2bl w:val="nil"/>
                  </w:tcBorders>
                  <w:noWrap w:val="0"/>
                  <w:vAlign w:val="center"/>
                </w:tcPr>
                <w:p w14:paraId="2B0CDDFF">
                  <w:pPr>
                    <w:pStyle w:val="34"/>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Calibri" w:hAnsi="Calibri" w:eastAsia="宋体" w:cs="宋体"/>
                      <w:kern w:val="0"/>
                      <w:sz w:val="22"/>
                      <w:szCs w:val="22"/>
                      <w:lang w:val="en-US" w:eastAsia="zh-CN" w:bidi="ar-SA"/>
                    </w:rPr>
                  </w:pPr>
                  <w:r>
                    <w:rPr>
                      <w:rFonts w:hint="eastAsia"/>
                    </w:rPr>
                    <w:t>达标</w:t>
                  </w:r>
                </w:p>
              </w:tc>
            </w:tr>
            <w:tr w14:paraId="4B5AA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97" w:type="pct"/>
                  <w:vMerge w:val="continue"/>
                  <w:tcBorders>
                    <w:tl2br w:val="nil"/>
                    <w:tr2bl w:val="nil"/>
                  </w:tcBorders>
                  <w:noWrap w:val="0"/>
                  <w:vAlign w:val="center"/>
                </w:tcPr>
                <w:p w14:paraId="177A04AC">
                  <w:pPr>
                    <w:pStyle w:val="34"/>
                    <w:keepNext w:val="0"/>
                    <w:keepLines w:val="0"/>
                    <w:pageBreakBefore w:val="0"/>
                    <w:kinsoku/>
                    <w:wordWrap/>
                    <w:overflowPunct/>
                    <w:topLinePunct w:val="0"/>
                    <w:autoSpaceDE/>
                    <w:autoSpaceDN/>
                    <w:bidi w:val="0"/>
                    <w:adjustRightInd/>
                    <w:snapToGrid/>
                    <w:spacing w:line="240" w:lineRule="auto"/>
                    <w:ind w:left="0" w:right="0"/>
                    <w:textAlignment w:val="auto"/>
                  </w:pPr>
                </w:p>
              </w:tc>
              <w:tc>
                <w:tcPr>
                  <w:tcW w:w="1354" w:type="pct"/>
                  <w:tcBorders>
                    <w:tl2br w:val="nil"/>
                    <w:tr2bl w:val="nil"/>
                  </w:tcBorders>
                  <w:noWrap w:val="0"/>
                  <w:vAlign w:val="center"/>
                </w:tcPr>
                <w:p w14:paraId="3B147B6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highlight w:val="none"/>
                    </w:rPr>
                    <w:t>溶解氧</w:t>
                  </w:r>
                </w:p>
              </w:tc>
              <w:tc>
                <w:tcPr>
                  <w:tcW w:w="808" w:type="pct"/>
                  <w:tcBorders>
                    <w:tl2br w:val="nil"/>
                    <w:tr2bl w:val="nil"/>
                  </w:tcBorders>
                  <w:noWrap w:val="0"/>
                  <w:vAlign w:val="center"/>
                </w:tcPr>
                <w:p w14:paraId="54043515">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8.3</w:t>
                  </w:r>
                </w:p>
              </w:tc>
              <w:tc>
                <w:tcPr>
                  <w:tcW w:w="972" w:type="pct"/>
                  <w:tcBorders>
                    <w:tl2br w:val="nil"/>
                    <w:tr2bl w:val="nil"/>
                  </w:tcBorders>
                  <w:noWrap w:val="0"/>
                  <w:vAlign w:val="center"/>
                </w:tcPr>
                <w:p w14:paraId="41F69E8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3</w:t>
                  </w:r>
                </w:p>
              </w:tc>
              <w:tc>
                <w:tcPr>
                  <w:tcW w:w="632" w:type="pct"/>
                  <w:tcBorders>
                    <w:tl2br w:val="nil"/>
                    <w:tr2bl w:val="nil"/>
                  </w:tcBorders>
                  <w:noWrap w:val="0"/>
                  <w:vAlign w:val="center"/>
                </w:tcPr>
                <w:p w14:paraId="0549FE3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4AA16E1E">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0B66A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97" w:type="pct"/>
                  <w:vMerge w:val="continue"/>
                  <w:tcBorders>
                    <w:tl2br w:val="nil"/>
                    <w:tr2bl w:val="nil"/>
                  </w:tcBorders>
                  <w:noWrap w:val="0"/>
                  <w:vAlign w:val="center"/>
                </w:tcPr>
                <w:p w14:paraId="7E88F74F">
                  <w:pPr>
                    <w:pStyle w:val="34"/>
                    <w:keepNext w:val="0"/>
                    <w:keepLines w:val="0"/>
                    <w:pageBreakBefore w:val="0"/>
                    <w:kinsoku/>
                    <w:wordWrap/>
                    <w:overflowPunct/>
                    <w:topLinePunct w:val="0"/>
                    <w:autoSpaceDE/>
                    <w:autoSpaceDN/>
                    <w:bidi w:val="0"/>
                    <w:adjustRightInd/>
                    <w:snapToGrid/>
                    <w:spacing w:line="240" w:lineRule="auto"/>
                    <w:ind w:left="0" w:right="0"/>
                    <w:textAlignment w:val="auto"/>
                  </w:pPr>
                </w:p>
              </w:tc>
              <w:tc>
                <w:tcPr>
                  <w:tcW w:w="1354" w:type="pct"/>
                  <w:tcBorders>
                    <w:tl2br w:val="nil"/>
                    <w:tr2bl w:val="nil"/>
                  </w:tcBorders>
                  <w:noWrap w:val="0"/>
                  <w:vAlign w:val="center"/>
                </w:tcPr>
                <w:p w14:paraId="0A6FE101">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高锰酸盐指数</w:t>
                  </w:r>
                </w:p>
              </w:tc>
              <w:tc>
                <w:tcPr>
                  <w:tcW w:w="808" w:type="pct"/>
                  <w:tcBorders>
                    <w:tl2br w:val="nil"/>
                    <w:tr2bl w:val="nil"/>
                  </w:tcBorders>
                  <w:noWrap w:val="0"/>
                  <w:vAlign w:val="center"/>
                </w:tcPr>
                <w:p w14:paraId="7FDED714">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5.2</w:t>
                  </w:r>
                </w:p>
              </w:tc>
              <w:tc>
                <w:tcPr>
                  <w:tcW w:w="972" w:type="pct"/>
                  <w:tcBorders>
                    <w:tl2br w:val="nil"/>
                    <w:tr2bl w:val="nil"/>
                  </w:tcBorders>
                  <w:noWrap w:val="0"/>
                  <w:vAlign w:val="center"/>
                </w:tcPr>
                <w:p w14:paraId="595B4B77">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10</w:t>
                  </w:r>
                </w:p>
              </w:tc>
              <w:tc>
                <w:tcPr>
                  <w:tcW w:w="632" w:type="pct"/>
                  <w:tcBorders>
                    <w:tl2br w:val="nil"/>
                    <w:tr2bl w:val="nil"/>
                  </w:tcBorders>
                  <w:noWrap w:val="0"/>
                  <w:vAlign w:val="center"/>
                </w:tcPr>
                <w:p w14:paraId="198C32C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79CC354E">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2CD40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97" w:type="pct"/>
                  <w:vMerge w:val="continue"/>
                  <w:tcBorders>
                    <w:tl2br w:val="nil"/>
                    <w:tr2bl w:val="nil"/>
                  </w:tcBorders>
                  <w:noWrap w:val="0"/>
                  <w:vAlign w:val="center"/>
                </w:tcPr>
                <w:p w14:paraId="219867A6">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3B1BF93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COD</w:t>
                  </w:r>
                </w:p>
              </w:tc>
              <w:tc>
                <w:tcPr>
                  <w:tcW w:w="808" w:type="pct"/>
                  <w:tcBorders>
                    <w:tl2br w:val="nil"/>
                    <w:tr2bl w:val="nil"/>
                  </w:tcBorders>
                  <w:noWrap w:val="0"/>
                  <w:vAlign w:val="center"/>
                </w:tcPr>
                <w:p w14:paraId="5574AC17">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26</w:t>
                  </w:r>
                </w:p>
              </w:tc>
              <w:tc>
                <w:tcPr>
                  <w:tcW w:w="972" w:type="pct"/>
                  <w:tcBorders>
                    <w:tl2br w:val="nil"/>
                    <w:tr2bl w:val="nil"/>
                  </w:tcBorders>
                  <w:noWrap w:val="0"/>
                  <w:vAlign w:val="center"/>
                </w:tcPr>
                <w:p w14:paraId="6761FC37">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30</w:t>
                  </w:r>
                </w:p>
              </w:tc>
              <w:tc>
                <w:tcPr>
                  <w:tcW w:w="632" w:type="pct"/>
                  <w:tcBorders>
                    <w:tl2br w:val="nil"/>
                    <w:tr2bl w:val="nil"/>
                  </w:tcBorders>
                  <w:noWrap w:val="0"/>
                  <w:vAlign w:val="center"/>
                </w:tcPr>
                <w:p w14:paraId="20648FAA">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eastAsia="宋体"/>
                      <w:lang w:val="en-US" w:eastAsia="zh-CN"/>
                    </w:rPr>
                  </w:pPr>
                  <w:r>
                    <w:rPr>
                      <w:rFonts w:hint="eastAsia"/>
                      <w:lang w:val="en-US" w:eastAsia="zh-CN"/>
                    </w:rPr>
                    <w:t>0</w:t>
                  </w:r>
                </w:p>
              </w:tc>
              <w:tc>
                <w:tcPr>
                  <w:tcW w:w="632" w:type="pct"/>
                  <w:tcBorders>
                    <w:tl2br w:val="nil"/>
                    <w:tr2bl w:val="nil"/>
                  </w:tcBorders>
                  <w:noWrap w:val="0"/>
                  <w:vAlign w:val="center"/>
                </w:tcPr>
                <w:p w14:paraId="5A5AB66A">
                  <w:pPr>
                    <w:pStyle w:val="34"/>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Calibri" w:hAnsi="Calibri" w:eastAsia="宋体" w:cs="宋体"/>
                      <w:kern w:val="0"/>
                      <w:sz w:val="22"/>
                      <w:szCs w:val="22"/>
                      <w:lang w:val="en-US" w:eastAsia="zh-CN" w:bidi="ar-SA"/>
                    </w:rPr>
                  </w:pPr>
                  <w:r>
                    <w:rPr>
                      <w:rFonts w:hint="eastAsia"/>
                    </w:rPr>
                    <w:t>达标</w:t>
                  </w:r>
                </w:p>
              </w:tc>
            </w:tr>
            <w:tr w14:paraId="45795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64A0FBB9">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5EC0212D">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BOD</w:t>
                  </w:r>
                  <w:r>
                    <w:rPr>
                      <w:rFonts w:hint="eastAsia" w:ascii="Times New Roman" w:hAnsi="Times New Roman" w:cs="Times New Roman"/>
                      <w:szCs w:val="21"/>
                      <w:vertAlign w:val="subscript"/>
                    </w:rPr>
                    <w:t>5</w:t>
                  </w:r>
                </w:p>
              </w:tc>
              <w:tc>
                <w:tcPr>
                  <w:tcW w:w="808" w:type="pct"/>
                  <w:tcBorders>
                    <w:tl2br w:val="nil"/>
                    <w:tr2bl w:val="nil"/>
                  </w:tcBorders>
                  <w:noWrap w:val="0"/>
                  <w:vAlign w:val="center"/>
                </w:tcPr>
                <w:p w14:paraId="3ABE00A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3.0</w:t>
                  </w:r>
                </w:p>
              </w:tc>
              <w:tc>
                <w:tcPr>
                  <w:tcW w:w="972" w:type="pct"/>
                  <w:tcBorders>
                    <w:tl2br w:val="nil"/>
                    <w:tr2bl w:val="nil"/>
                  </w:tcBorders>
                  <w:noWrap w:val="0"/>
                  <w:vAlign w:val="center"/>
                </w:tcPr>
                <w:p w14:paraId="2D68F072">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6</w:t>
                  </w:r>
                </w:p>
              </w:tc>
              <w:tc>
                <w:tcPr>
                  <w:tcW w:w="632" w:type="pct"/>
                  <w:tcBorders>
                    <w:tl2br w:val="nil"/>
                    <w:tr2bl w:val="nil"/>
                  </w:tcBorders>
                  <w:noWrap w:val="0"/>
                  <w:vAlign w:val="center"/>
                </w:tcPr>
                <w:p w14:paraId="3D75AE0E">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eastAsia="宋体"/>
                      <w:lang w:val="en-US" w:eastAsia="zh-CN"/>
                    </w:rPr>
                  </w:pPr>
                  <w:r>
                    <w:rPr>
                      <w:rFonts w:hint="eastAsia"/>
                      <w:lang w:val="en-US" w:eastAsia="zh-CN"/>
                    </w:rPr>
                    <w:t>0</w:t>
                  </w:r>
                </w:p>
              </w:tc>
              <w:tc>
                <w:tcPr>
                  <w:tcW w:w="632" w:type="pct"/>
                  <w:tcBorders>
                    <w:tl2br w:val="nil"/>
                    <w:tr2bl w:val="nil"/>
                  </w:tcBorders>
                  <w:noWrap w:val="0"/>
                  <w:vAlign w:val="center"/>
                </w:tcPr>
                <w:p w14:paraId="319CBFEA">
                  <w:pPr>
                    <w:pStyle w:val="34"/>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Calibri" w:hAnsi="Calibri" w:eastAsia="宋体" w:cs="宋体"/>
                      <w:kern w:val="0"/>
                      <w:sz w:val="22"/>
                      <w:szCs w:val="22"/>
                      <w:lang w:val="en-US" w:eastAsia="zh-CN" w:bidi="ar-SA"/>
                    </w:rPr>
                  </w:pPr>
                  <w:r>
                    <w:rPr>
                      <w:rFonts w:hint="eastAsia"/>
                      <w:lang w:val="en-US" w:eastAsia="zh-CN"/>
                    </w:rPr>
                    <w:t>达</w:t>
                  </w:r>
                  <w:r>
                    <w:rPr>
                      <w:rFonts w:hint="eastAsia"/>
                    </w:rPr>
                    <w:t>标</w:t>
                  </w:r>
                </w:p>
              </w:tc>
            </w:tr>
            <w:tr w14:paraId="2866D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CF5C3BE">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63DD9C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氨氮</w:t>
                  </w:r>
                </w:p>
              </w:tc>
              <w:tc>
                <w:tcPr>
                  <w:tcW w:w="808" w:type="pct"/>
                  <w:tcBorders>
                    <w:tl2br w:val="nil"/>
                    <w:tr2bl w:val="nil"/>
                  </w:tcBorders>
                  <w:noWrap w:val="0"/>
                  <w:vAlign w:val="center"/>
                </w:tcPr>
                <w:p w14:paraId="5D8593E2">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0.47</w:t>
                  </w:r>
                </w:p>
              </w:tc>
              <w:tc>
                <w:tcPr>
                  <w:tcW w:w="972" w:type="pct"/>
                  <w:tcBorders>
                    <w:tl2br w:val="nil"/>
                    <w:tr2bl w:val="nil"/>
                  </w:tcBorders>
                  <w:noWrap w:val="0"/>
                  <w:vAlign w:val="center"/>
                </w:tcPr>
                <w:p w14:paraId="4E18A86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1.5</w:t>
                  </w:r>
                </w:p>
              </w:tc>
              <w:tc>
                <w:tcPr>
                  <w:tcW w:w="632" w:type="pct"/>
                  <w:tcBorders>
                    <w:tl2br w:val="nil"/>
                    <w:tr2bl w:val="nil"/>
                  </w:tcBorders>
                  <w:noWrap w:val="0"/>
                  <w:vAlign w:val="center"/>
                </w:tcPr>
                <w:p w14:paraId="7106627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eastAsia="宋体"/>
                      <w:lang w:val="en-US" w:eastAsia="zh-CN"/>
                    </w:rPr>
                  </w:pPr>
                  <w:r>
                    <w:rPr>
                      <w:rFonts w:hint="eastAsia"/>
                      <w:lang w:val="en-US" w:eastAsia="zh-CN"/>
                    </w:rPr>
                    <w:t>0</w:t>
                  </w:r>
                </w:p>
              </w:tc>
              <w:tc>
                <w:tcPr>
                  <w:tcW w:w="632" w:type="pct"/>
                  <w:tcBorders>
                    <w:tl2br w:val="nil"/>
                    <w:tr2bl w:val="nil"/>
                  </w:tcBorders>
                  <w:noWrap w:val="0"/>
                  <w:vAlign w:val="center"/>
                </w:tcPr>
                <w:p w14:paraId="49CBA5A9">
                  <w:pPr>
                    <w:pStyle w:val="34"/>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Calibri" w:hAnsi="Calibri" w:eastAsia="宋体" w:cs="宋体"/>
                      <w:kern w:val="0"/>
                      <w:sz w:val="22"/>
                      <w:szCs w:val="22"/>
                      <w:lang w:val="en-US" w:eastAsia="zh-CN" w:bidi="ar-SA"/>
                    </w:rPr>
                  </w:pPr>
                  <w:r>
                    <w:rPr>
                      <w:rFonts w:hint="eastAsia"/>
                    </w:rPr>
                    <w:t>达标</w:t>
                  </w:r>
                </w:p>
              </w:tc>
            </w:tr>
            <w:tr w14:paraId="179BC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97" w:type="pct"/>
                  <w:vMerge w:val="continue"/>
                  <w:tcBorders>
                    <w:tl2br w:val="nil"/>
                    <w:tr2bl w:val="nil"/>
                  </w:tcBorders>
                  <w:noWrap w:val="0"/>
                  <w:vAlign w:val="center"/>
                </w:tcPr>
                <w:p w14:paraId="697FAE08">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193D93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总磷</w:t>
                  </w:r>
                </w:p>
              </w:tc>
              <w:tc>
                <w:tcPr>
                  <w:tcW w:w="808" w:type="pct"/>
                  <w:tcBorders>
                    <w:tl2br w:val="nil"/>
                    <w:tr2bl w:val="nil"/>
                  </w:tcBorders>
                  <w:noWrap w:val="0"/>
                  <w:vAlign w:val="center"/>
                </w:tcPr>
                <w:p w14:paraId="0B2A1CE2">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0.132</w:t>
                  </w:r>
                </w:p>
              </w:tc>
              <w:tc>
                <w:tcPr>
                  <w:tcW w:w="972" w:type="pct"/>
                  <w:tcBorders>
                    <w:tl2br w:val="nil"/>
                    <w:tr2bl w:val="nil"/>
                  </w:tcBorders>
                  <w:noWrap w:val="0"/>
                  <w:vAlign w:val="center"/>
                </w:tcPr>
                <w:p w14:paraId="6DB87919">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0.3</w:t>
                  </w:r>
                </w:p>
              </w:tc>
              <w:tc>
                <w:tcPr>
                  <w:tcW w:w="632" w:type="pct"/>
                  <w:tcBorders>
                    <w:tl2br w:val="nil"/>
                    <w:tr2bl w:val="nil"/>
                  </w:tcBorders>
                  <w:noWrap w:val="0"/>
                  <w:vAlign w:val="center"/>
                </w:tcPr>
                <w:p w14:paraId="587313D4">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eastAsia="宋体"/>
                      <w:lang w:val="en-US" w:eastAsia="zh-CN"/>
                    </w:rPr>
                  </w:pPr>
                  <w:r>
                    <w:rPr>
                      <w:rFonts w:hint="eastAsia"/>
                      <w:lang w:val="en-US" w:eastAsia="zh-CN"/>
                    </w:rPr>
                    <w:t>0</w:t>
                  </w:r>
                </w:p>
              </w:tc>
              <w:tc>
                <w:tcPr>
                  <w:tcW w:w="632" w:type="pct"/>
                  <w:tcBorders>
                    <w:tl2br w:val="nil"/>
                    <w:tr2bl w:val="nil"/>
                  </w:tcBorders>
                  <w:noWrap w:val="0"/>
                  <w:vAlign w:val="center"/>
                </w:tcPr>
                <w:p w14:paraId="5745D9CB">
                  <w:pPr>
                    <w:pStyle w:val="34"/>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Calibri" w:hAnsi="Calibri" w:eastAsia="宋体" w:cs="宋体"/>
                      <w:kern w:val="0"/>
                      <w:sz w:val="22"/>
                      <w:szCs w:val="22"/>
                      <w:lang w:val="en-US" w:eastAsia="zh-CN" w:bidi="ar-SA"/>
                    </w:rPr>
                  </w:pPr>
                  <w:r>
                    <w:rPr>
                      <w:rFonts w:hint="eastAsia"/>
                    </w:rPr>
                    <w:t>达标</w:t>
                  </w:r>
                </w:p>
              </w:tc>
            </w:tr>
            <w:tr w14:paraId="60F45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97" w:type="pct"/>
                  <w:vMerge w:val="continue"/>
                  <w:tcBorders>
                    <w:tl2br w:val="nil"/>
                    <w:tr2bl w:val="nil"/>
                  </w:tcBorders>
                  <w:noWrap w:val="0"/>
                  <w:vAlign w:val="center"/>
                </w:tcPr>
                <w:p w14:paraId="225F1DC6">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2D1D28B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铜</w:t>
                  </w:r>
                </w:p>
              </w:tc>
              <w:tc>
                <w:tcPr>
                  <w:tcW w:w="808" w:type="pct"/>
                  <w:tcBorders>
                    <w:tl2br w:val="nil"/>
                    <w:tr2bl w:val="nil"/>
                  </w:tcBorders>
                  <w:noWrap w:val="0"/>
                  <w:vAlign w:val="center"/>
                </w:tcPr>
                <w:p w14:paraId="5D1A5F13">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0.003</w:t>
                  </w:r>
                </w:p>
              </w:tc>
              <w:tc>
                <w:tcPr>
                  <w:tcW w:w="972" w:type="pct"/>
                  <w:tcBorders>
                    <w:tl2br w:val="nil"/>
                    <w:tr2bl w:val="nil"/>
                  </w:tcBorders>
                  <w:noWrap w:val="0"/>
                  <w:vAlign w:val="center"/>
                </w:tcPr>
                <w:p w14:paraId="3F329115">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1</w:t>
                  </w:r>
                </w:p>
              </w:tc>
              <w:tc>
                <w:tcPr>
                  <w:tcW w:w="632" w:type="pct"/>
                  <w:tcBorders>
                    <w:tl2br w:val="nil"/>
                    <w:tr2bl w:val="nil"/>
                  </w:tcBorders>
                  <w:noWrap w:val="0"/>
                  <w:vAlign w:val="center"/>
                </w:tcPr>
                <w:p w14:paraId="288454D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271B0D5F">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25A37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7D3C1245">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65755A70">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锌</w:t>
                  </w:r>
                </w:p>
              </w:tc>
              <w:tc>
                <w:tcPr>
                  <w:tcW w:w="808" w:type="pct"/>
                  <w:tcBorders>
                    <w:tl2br w:val="nil"/>
                    <w:tr2bl w:val="nil"/>
                  </w:tcBorders>
                  <w:noWrap w:val="0"/>
                  <w:vAlign w:val="center"/>
                </w:tcPr>
                <w:p w14:paraId="3464CDE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0.004</w:t>
                  </w:r>
                </w:p>
              </w:tc>
              <w:tc>
                <w:tcPr>
                  <w:tcW w:w="972" w:type="pct"/>
                  <w:tcBorders>
                    <w:tl2br w:val="nil"/>
                    <w:tr2bl w:val="nil"/>
                  </w:tcBorders>
                  <w:noWrap w:val="0"/>
                  <w:vAlign w:val="center"/>
                </w:tcPr>
                <w:p w14:paraId="5C92361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2</w:t>
                  </w:r>
                </w:p>
              </w:tc>
              <w:tc>
                <w:tcPr>
                  <w:tcW w:w="632" w:type="pct"/>
                  <w:tcBorders>
                    <w:tl2br w:val="nil"/>
                    <w:tr2bl w:val="nil"/>
                  </w:tcBorders>
                  <w:noWrap w:val="0"/>
                  <w:vAlign w:val="center"/>
                </w:tcPr>
                <w:p w14:paraId="01E8AF17">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6173EF14">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3D35F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31E0AEFE">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3803E5D">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硒</w:t>
                  </w:r>
                </w:p>
              </w:tc>
              <w:tc>
                <w:tcPr>
                  <w:tcW w:w="808" w:type="pct"/>
                  <w:tcBorders>
                    <w:tl2br w:val="nil"/>
                    <w:tr2bl w:val="nil"/>
                  </w:tcBorders>
                  <w:noWrap w:val="0"/>
                  <w:vAlign w:val="center"/>
                </w:tcPr>
                <w:p w14:paraId="16194EDB">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0.0003</w:t>
                  </w:r>
                </w:p>
              </w:tc>
              <w:tc>
                <w:tcPr>
                  <w:tcW w:w="972" w:type="pct"/>
                  <w:tcBorders>
                    <w:tl2br w:val="nil"/>
                    <w:tr2bl w:val="nil"/>
                  </w:tcBorders>
                  <w:noWrap w:val="0"/>
                  <w:vAlign w:val="center"/>
                </w:tcPr>
                <w:p w14:paraId="278EE027">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0.02</w:t>
                  </w:r>
                </w:p>
              </w:tc>
              <w:tc>
                <w:tcPr>
                  <w:tcW w:w="632" w:type="pct"/>
                  <w:tcBorders>
                    <w:tl2br w:val="nil"/>
                    <w:tr2bl w:val="nil"/>
                  </w:tcBorders>
                  <w:noWrap w:val="0"/>
                  <w:vAlign w:val="center"/>
                </w:tcPr>
                <w:p w14:paraId="32165AF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0DF564FA">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61C4C2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7921FFD9">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1880EC95">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汞</w:t>
                  </w:r>
                </w:p>
              </w:tc>
              <w:tc>
                <w:tcPr>
                  <w:tcW w:w="808" w:type="pct"/>
                  <w:tcBorders>
                    <w:tl2br w:val="nil"/>
                    <w:tr2bl w:val="nil"/>
                  </w:tcBorders>
                  <w:noWrap w:val="0"/>
                  <w:vAlign w:val="center"/>
                </w:tcPr>
                <w:p w14:paraId="0E7F84A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0.00002</w:t>
                  </w:r>
                </w:p>
              </w:tc>
              <w:tc>
                <w:tcPr>
                  <w:tcW w:w="972" w:type="pct"/>
                  <w:tcBorders>
                    <w:tl2br w:val="nil"/>
                    <w:tr2bl w:val="nil"/>
                  </w:tcBorders>
                  <w:noWrap w:val="0"/>
                  <w:vAlign w:val="center"/>
                </w:tcPr>
                <w:p w14:paraId="56A8E353">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0.001</w:t>
                  </w:r>
                </w:p>
              </w:tc>
              <w:tc>
                <w:tcPr>
                  <w:tcW w:w="632" w:type="pct"/>
                  <w:tcBorders>
                    <w:tl2br w:val="nil"/>
                    <w:tr2bl w:val="nil"/>
                  </w:tcBorders>
                  <w:noWrap w:val="0"/>
                  <w:vAlign w:val="center"/>
                </w:tcPr>
                <w:p w14:paraId="2C8244B4">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2F6DDD6E">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5E231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75482D7A">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31D0D780">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砷</w:t>
                  </w:r>
                </w:p>
              </w:tc>
              <w:tc>
                <w:tcPr>
                  <w:tcW w:w="808" w:type="pct"/>
                  <w:tcBorders>
                    <w:tl2br w:val="nil"/>
                    <w:tr2bl w:val="nil"/>
                  </w:tcBorders>
                  <w:noWrap w:val="0"/>
                  <w:vAlign w:val="center"/>
                </w:tcPr>
                <w:p w14:paraId="03934D5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cs="Times New Roman"/>
                      <w:szCs w:val="21"/>
                    </w:rPr>
                    <w:t>0.000</w:t>
                  </w:r>
                  <w:r>
                    <w:rPr>
                      <w:rFonts w:hint="eastAsia" w:ascii="Times New Roman" w:hAnsi="Times New Roman" w:cs="Times New Roman"/>
                      <w:szCs w:val="21"/>
                      <w:lang w:val="en-US" w:eastAsia="zh-CN"/>
                    </w:rPr>
                    <w:t>9</w:t>
                  </w:r>
                </w:p>
              </w:tc>
              <w:tc>
                <w:tcPr>
                  <w:tcW w:w="972" w:type="pct"/>
                  <w:tcBorders>
                    <w:tl2br w:val="nil"/>
                    <w:tr2bl w:val="nil"/>
                  </w:tcBorders>
                  <w:noWrap w:val="0"/>
                  <w:vAlign w:val="center"/>
                </w:tcPr>
                <w:p w14:paraId="4EF6A86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0.05</w:t>
                  </w:r>
                </w:p>
              </w:tc>
              <w:tc>
                <w:tcPr>
                  <w:tcW w:w="632" w:type="pct"/>
                  <w:tcBorders>
                    <w:tl2br w:val="nil"/>
                    <w:tr2bl w:val="nil"/>
                  </w:tcBorders>
                  <w:noWrap w:val="0"/>
                  <w:vAlign w:val="center"/>
                </w:tcPr>
                <w:p w14:paraId="432A508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6A97C4D8">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416FC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0554A08">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487993A6">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镉</w:t>
                  </w:r>
                </w:p>
              </w:tc>
              <w:tc>
                <w:tcPr>
                  <w:tcW w:w="808" w:type="pct"/>
                  <w:tcBorders>
                    <w:tl2br w:val="nil"/>
                    <w:tr2bl w:val="nil"/>
                  </w:tcBorders>
                  <w:noWrap w:val="0"/>
                  <w:vAlign w:val="center"/>
                </w:tcPr>
                <w:p w14:paraId="5F2EDD26">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0.00005</w:t>
                  </w:r>
                </w:p>
              </w:tc>
              <w:tc>
                <w:tcPr>
                  <w:tcW w:w="972" w:type="pct"/>
                  <w:tcBorders>
                    <w:tl2br w:val="nil"/>
                    <w:tr2bl w:val="nil"/>
                  </w:tcBorders>
                  <w:noWrap w:val="0"/>
                  <w:vAlign w:val="center"/>
                </w:tcPr>
                <w:p w14:paraId="1DDC0E44">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0.005</w:t>
                  </w:r>
                </w:p>
              </w:tc>
              <w:tc>
                <w:tcPr>
                  <w:tcW w:w="632" w:type="pct"/>
                  <w:tcBorders>
                    <w:tl2br w:val="nil"/>
                    <w:tr2bl w:val="nil"/>
                  </w:tcBorders>
                  <w:noWrap w:val="0"/>
                  <w:vAlign w:val="center"/>
                </w:tcPr>
                <w:p w14:paraId="2A1A200F">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40EC7C9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5609D6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626EFD34">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0C9F42CD">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铅</w:t>
                  </w:r>
                </w:p>
              </w:tc>
              <w:tc>
                <w:tcPr>
                  <w:tcW w:w="808" w:type="pct"/>
                  <w:tcBorders>
                    <w:tl2br w:val="nil"/>
                    <w:tr2bl w:val="nil"/>
                  </w:tcBorders>
                  <w:noWrap w:val="0"/>
                  <w:vAlign w:val="center"/>
                </w:tcPr>
                <w:p w14:paraId="0C629EF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0.0009</w:t>
                  </w:r>
                </w:p>
              </w:tc>
              <w:tc>
                <w:tcPr>
                  <w:tcW w:w="972" w:type="pct"/>
                  <w:tcBorders>
                    <w:tl2br w:val="nil"/>
                    <w:tr2bl w:val="nil"/>
                  </w:tcBorders>
                  <w:noWrap w:val="0"/>
                  <w:vAlign w:val="center"/>
                </w:tcPr>
                <w:p w14:paraId="7B7D2532">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0.05</w:t>
                  </w:r>
                </w:p>
              </w:tc>
              <w:tc>
                <w:tcPr>
                  <w:tcW w:w="632" w:type="pct"/>
                  <w:tcBorders>
                    <w:tl2br w:val="nil"/>
                    <w:tr2bl w:val="nil"/>
                  </w:tcBorders>
                  <w:noWrap w:val="0"/>
                  <w:vAlign w:val="center"/>
                </w:tcPr>
                <w:p w14:paraId="0B358F1E">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448D0CE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491224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58E1B25">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r>
                    <w:rPr>
                      <w:rFonts w:hint="eastAsia"/>
                      <w:w w:val="99"/>
                    </w:rPr>
                    <w:t>六价铬</w:t>
                  </w:r>
                </w:p>
              </w:tc>
              <w:tc>
                <w:tcPr>
                  <w:tcW w:w="1354" w:type="pct"/>
                  <w:tcBorders>
                    <w:tl2br w:val="nil"/>
                    <w:tr2bl w:val="nil"/>
                  </w:tcBorders>
                  <w:noWrap w:val="0"/>
                  <w:vAlign w:val="center"/>
                </w:tcPr>
                <w:p w14:paraId="795DD25D">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六价铬</w:t>
                  </w:r>
                </w:p>
              </w:tc>
              <w:tc>
                <w:tcPr>
                  <w:tcW w:w="808" w:type="pct"/>
                  <w:tcBorders>
                    <w:tl2br w:val="nil"/>
                    <w:tr2bl w:val="nil"/>
                  </w:tcBorders>
                  <w:noWrap w:val="0"/>
                  <w:vAlign w:val="center"/>
                </w:tcPr>
                <w:p w14:paraId="2D7E831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0.002</w:t>
                  </w:r>
                </w:p>
              </w:tc>
              <w:tc>
                <w:tcPr>
                  <w:tcW w:w="972" w:type="pct"/>
                  <w:tcBorders>
                    <w:tl2br w:val="nil"/>
                    <w:tr2bl w:val="nil"/>
                  </w:tcBorders>
                  <w:noWrap w:val="0"/>
                  <w:vAlign w:val="center"/>
                </w:tcPr>
                <w:p w14:paraId="72F7E9BC">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0.05</w:t>
                  </w:r>
                </w:p>
              </w:tc>
              <w:tc>
                <w:tcPr>
                  <w:tcW w:w="632" w:type="pct"/>
                  <w:tcBorders>
                    <w:tl2br w:val="nil"/>
                    <w:tr2bl w:val="nil"/>
                  </w:tcBorders>
                  <w:noWrap w:val="0"/>
                  <w:vAlign w:val="center"/>
                </w:tcPr>
                <w:p w14:paraId="440581CE">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3A194756">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4C2A5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1A5D31AC">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41A4DBC1">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氰化物</w:t>
                  </w:r>
                </w:p>
              </w:tc>
              <w:tc>
                <w:tcPr>
                  <w:tcW w:w="808" w:type="pct"/>
                  <w:tcBorders>
                    <w:tl2br w:val="nil"/>
                    <w:tr2bl w:val="nil"/>
                  </w:tcBorders>
                  <w:noWrap w:val="0"/>
                  <w:vAlign w:val="center"/>
                </w:tcPr>
                <w:p w14:paraId="3E3F6E1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0.002</w:t>
                  </w:r>
                </w:p>
              </w:tc>
              <w:tc>
                <w:tcPr>
                  <w:tcW w:w="972" w:type="pct"/>
                  <w:tcBorders>
                    <w:tl2br w:val="nil"/>
                    <w:tr2bl w:val="nil"/>
                  </w:tcBorders>
                  <w:noWrap w:val="0"/>
                  <w:vAlign w:val="center"/>
                </w:tcPr>
                <w:p w14:paraId="6922EF0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0.2</w:t>
                  </w:r>
                </w:p>
              </w:tc>
              <w:tc>
                <w:tcPr>
                  <w:tcW w:w="632" w:type="pct"/>
                  <w:tcBorders>
                    <w:tl2br w:val="nil"/>
                    <w:tr2bl w:val="nil"/>
                  </w:tcBorders>
                  <w:noWrap w:val="0"/>
                  <w:vAlign w:val="center"/>
                </w:tcPr>
                <w:p w14:paraId="0901525D">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5C3BC657">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20B7D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2FBCF006">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9728FC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氟化物</w:t>
                  </w:r>
                </w:p>
              </w:tc>
              <w:tc>
                <w:tcPr>
                  <w:tcW w:w="808" w:type="pct"/>
                  <w:tcBorders>
                    <w:tl2br w:val="nil"/>
                    <w:tr2bl w:val="nil"/>
                  </w:tcBorders>
                  <w:noWrap w:val="0"/>
                  <w:vAlign w:val="center"/>
                </w:tcPr>
                <w:p w14:paraId="6789405E">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0.622</w:t>
                  </w:r>
                </w:p>
              </w:tc>
              <w:tc>
                <w:tcPr>
                  <w:tcW w:w="972" w:type="pct"/>
                  <w:tcBorders>
                    <w:tl2br w:val="nil"/>
                    <w:tr2bl w:val="nil"/>
                  </w:tcBorders>
                  <w:noWrap w:val="0"/>
                  <w:vAlign w:val="center"/>
                </w:tcPr>
                <w:p w14:paraId="52DC90B5">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1.5</w:t>
                  </w:r>
                </w:p>
              </w:tc>
              <w:tc>
                <w:tcPr>
                  <w:tcW w:w="632" w:type="pct"/>
                  <w:tcBorders>
                    <w:tl2br w:val="nil"/>
                    <w:tr2bl w:val="nil"/>
                  </w:tcBorders>
                  <w:noWrap w:val="0"/>
                  <w:vAlign w:val="center"/>
                </w:tcPr>
                <w:p w14:paraId="17383BD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689186DB">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4914A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E5CD6B6">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07ACBE90">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硫化物</w:t>
                  </w:r>
                </w:p>
              </w:tc>
              <w:tc>
                <w:tcPr>
                  <w:tcW w:w="808" w:type="pct"/>
                  <w:tcBorders>
                    <w:tl2br w:val="nil"/>
                    <w:tr2bl w:val="nil"/>
                  </w:tcBorders>
                  <w:noWrap w:val="0"/>
                  <w:vAlign w:val="center"/>
                </w:tcPr>
                <w:p w14:paraId="33B0B74D">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0.004</w:t>
                  </w:r>
                </w:p>
              </w:tc>
              <w:tc>
                <w:tcPr>
                  <w:tcW w:w="972" w:type="pct"/>
                  <w:tcBorders>
                    <w:tl2br w:val="nil"/>
                    <w:tr2bl w:val="nil"/>
                  </w:tcBorders>
                  <w:noWrap w:val="0"/>
                  <w:vAlign w:val="center"/>
                </w:tcPr>
                <w:p w14:paraId="43D8D652">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0.5</w:t>
                  </w:r>
                </w:p>
              </w:tc>
              <w:tc>
                <w:tcPr>
                  <w:tcW w:w="632" w:type="pct"/>
                  <w:tcBorders>
                    <w:tl2br w:val="nil"/>
                    <w:tr2bl w:val="nil"/>
                  </w:tcBorders>
                  <w:noWrap w:val="0"/>
                  <w:vAlign w:val="center"/>
                </w:tcPr>
                <w:p w14:paraId="03C9DAB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7C2B28D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274F6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A8AFCF8">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647F8658">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阴离子表面活性剂</w:t>
                  </w:r>
                </w:p>
              </w:tc>
              <w:tc>
                <w:tcPr>
                  <w:tcW w:w="808" w:type="pct"/>
                  <w:tcBorders>
                    <w:tl2br w:val="nil"/>
                    <w:tr2bl w:val="nil"/>
                  </w:tcBorders>
                  <w:noWrap w:val="0"/>
                  <w:vAlign w:val="center"/>
                </w:tcPr>
                <w:p w14:paraId="4258DE2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0.02</w:t>
                  </w:r>
                </w:p>
              </w:tc>
              <w:tc>
                <w:tcPr>
                  <w:tcW w:w="972" w:type="pct"/>
                  <w:tcBorders>
                    <w:tl2br w:val="nil"/>
                    <w:tr2bl w:val="nil"/>
                  </w:tcBorders>
                  <w:noWrap w:val="0"/>
                  <w:vAlign w:val="center"/>
                </w:tcPr>
                <w:p w14:paraId="45363A00">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0.3</w:t>
                  </w:r>
                </w:p>
              </w:tc>
              <w:tc>
                <w:tcPr>
                  <w:tcW w:w="632" w:type="pct"/>
                  <w:tcBorders>
                    <w:tl2br w:val="nil"/>
                    <w:tr2bl w:val="nil"/>
                  </w:tcBorders>
                  <w:noWrap w:val="0"/>
                  <w:vAlign w:val="center"/>
                </w:tcPr>
                <w:p w14:paraId="46599D0B">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76DD1AFA">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6194E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75FB7F36">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C123000">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石油类</w:t>
                  </w:r>
                </w:p>
              </w:tc>
              <w:tc>
                <w:tcPr>
                  <w:tcW w:w="808" w:type="pct"/>
                  <w:tcBorders>
                    <w:tl2br w:val="nil"/>
                    <w:tr2bl w:val="nil"/>
                  </w:tcBorders>
                  <w:noWrap w:val="0"/>
                  <w:vAlign w:val="center"/>
                </w:tcPr>
                <w:p w14:paraId="518FAFB7">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0.005</w:t>
                  </w:r>
                </w:p>
              </w:tc>
              <w:tc>
                <w:tcPr>
                  <w:tcW w:w="972" w:type="pct"/>
                  <w:tcBorders>
                    <w:tl2br w:val="nil"/>
                    <w:tr2bl w:val="nil"/>
                  </w:tcBorders>
                  <w:noWrap w:val="0"/>
                  <w:vAlign w:val="center"/>
                </w:tcPr>
                <w:p w14:paraId="5172BA5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0.5</w:t>
                  </w:r>
                </w:p>
              </w:tc>
              <w:tc>
                <w:tcPr>
                  <w:tcW w:w="632" w:type="pct"/>
                  <w:tcBorders>
                    <w:tl2br w:val="nil"/>
                    <w:tr2bl w:val="nil"/>
                  </w:tcBorders>
                  <w:noWrap w:val="0"/>
                  <w:vAlign w:val="center"/>
                </w:tcPr>
                <w:p w14:paraId="41FB303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3DEA9165">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r w14:paraId="307E9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597" w:type="pct"/>
                  <w:vMerge w:val="continue"/>
                  <w:tcBorders>
                    <w:tl2br w:val="nil"/>
                    <w:tr2bl w:val="nil"/>
                  </w:tcBorders>
                  <w:noWrap w:val="0"/>
                  <w:vAlign w:val="center"/>
                </w:tcPr>
                <w:p w14:paraId="0B661F71">
                  <w:pPr>
                    <w:pStyle w:val="34"/>
                    <w:keepNext w:val="0"/>
                    <w:keepLines w:val="0"/>
                    <w:pageBreakBefore w:val="0"/>
                    <w:kinsoku/>
                    <w:wordWrap/>
                    <w:overflowPunct/>
                    <w:topLinePunct w:val="0"/>
                    <w:autoSpaceDE/>
                    <w:autoSpaceDN/>
                    <w:bidi w:val="0"/>
                    <w:adjustRightInd/>
                    <w:snapToGrid/>
                    <w:spacing w:line="240" w:lineRule="auto"/>
                    <w:ind w:left="0" w:right="0"/>
                    <w:textAlignment w:val="auto"/>
                    <w:rPr>
                      <w:w w:val="99"/>
                    </w:rPr>
                  </w:pPr>
                </w:p>
              </w:tc>
              <w:tc>
                <w:tcPr>
                  <w:tcW w:w="1354" w:type="pct"/>
                  <w:tcBorders>
                    <w:tl2br w:val="nil"/>
                    <w:tr2bl w:val="nil"/>
                  </w:tcBorders>
                  <w:noWrap w:val="0"/>
                  <w:vAlign w:val="center"/>
                </w:tcPr>
                <w:p w14:paraId="70F35DE7">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pPr>
                  <w:r>
                    <w:rPr>
                      <w:rFonts w:hint="eastAsia"/>
                    </w:rPr>
                    <w:t>挥发酚</w:t>
                  </w:r>
                </w:p>
              </w:tc>
              <w:tc>
                <w:tcPr>
                  <w:tcW w:w="808" w:type="pct"/>
                  <w:tcBorders>
                    <w:tl2br w:val="nil"/>
                    <w:tr2bl w:val="nil"/>
                  </w:tcBorders>
                  <w:noWrap w:val="0"/>
                  <w:vAlign w:val="center"/>
                </w:tcPr>
                <w:p w14:paraId="4832045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eastAsia="宋体"/>
                      <w:szCs w:val="21"/>
                      <w:lang w:val="en-US" w:eastAsia="zh-CN"/>
                    </w:rPr>
                  </w:pPr>
                  <w:r>
                    <w:rPr>
                      <w:rFonts w:hint="eastAsia"/>
                      <w:szCs w:val="21"/>
                      <w:lang w:val="en-US" w:eastAsia="zh-CN"/>
                    </w:rPr>
                    <w:t>0.0002</w:t>
                  </w:r>
                </w:p>
              </w:tc>
              <w:tc>
                <w:tcPr>
                  <w:tcW w:w="972" w:type="pct"/>
                  <w:tcBorders>
                    <w:tl2br w:val="nil"/>
                    <w:tr2bl w:val="nil"/>
                  </w:tcBorders>
                  <w:noWrap w:val="0"/>
                  <w:vAlign w:val="center"/>
                </w:tcPr>
                <w:p w14:paraId="4963EC5F">
                  <w:pPr>
                    <w:pStyle w:val="34"/>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cs="Times New Roman"/>
                      <w:szCs w:val="21"/>
                    </w:rPr>
                  </w:pPr>
                  <w:r>
                    <w:rPr>
                      <w:rFonts w:hint="eastAsia" w:ascii="Times New Roman" w:hAnsi="Times New Roman" w:cs="Times New Roman"/>
                      <w:szCs w:val="21"/>
                    </w:rPr>
                    <w:t>0.01</w:t>
                  </w:r>
                </w:p>
              </w:tc>
              <w:tc>
                <w:tcPr>
                  <w:tcW w:w="632" w:type="pct"/>
                  <w:tcBorders>
                    <w:tl2br w:val="nil"/>
                    <w:tr2bl w:val="nil"/>
                  </w:tcBorders>
                  <w:noWrap w:val="0"/>
                  <w:vAlign w:val="center"/>
                </w:tcPr>
                <w:p w14:paraId="15FDEFE7">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lang w:val="en-US" w:eastAsia="zh-CN"/>
                    </w:rPr>
                  </w:pPr>
                  <w:r>
                    <w:rPr>
                      <w:rFonts w:hint="eastAsia" w:ascii="宋体" w:hAnsi="宋体" w:cs="宋体"/>
                      <w:lang w:val="en-US" w:eastAsia="zh-CN"/>
                    </w:rPr>
                    <w:t>0</w:t>
                  </w:r>
                </w:p>
              </w:tc>
              <w:tc>
                <w:tcPr>
                  <w:tcW w:w="632" w:type="pct"/>
                  <w:tcBorders>
                    <w:tl2br w:val="nil"/>
                    <w:tr2bl w:val="nil"/>
                  </w:tcBorders>
                  <w:noWrap w:val="0"/>
                  <w:vAlign w:val="center"/>
                </w:tcPr>
                <w:p w14:paraId="28D1E49A">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rPr>
                    <w:t>达标</w:t>
                  </w:r>
                </w:p>
              </w:tc>
            </w:tr>
          </w:tbl>
          <w:p w14:paraId="63CD3E65">
            <w:pPr>
              <w:keepNext w:val="0"/>
              <w:keepLines w:val="0"/>
              <w:pageBreakBefore w:val="0"/>
              <w:widowControl w:val="0"/>
              <w:numPr>
                <w:ilvl w:val="0"/>
                <w:numId w:val="0"/>
              </w:numPr>
              <w:kinsoku/>
              <w:wordWrap/>
              <w:overflowPunct/>
              <w:topLinePunct w:val="0"/>
              <w:autoSpaceDE w:val="0"/>
              <w:autoSpaceDN w:val="0"/>
              <w:bidi w:val="0"/>
              <w:adjustRightInd w:val="0"/>
              <w:spacing w:line="500" w:lineRule="exact"/>
              <w:ind w:firstLine="480" w:firstLineChars="200"/>
              <w:textAlignment w:val="auto"/>
              <w:rPr>
                <w:rFonts w:hint="eastAsia" w:ascii="Times New Roman" w:hAnsi="Times New Roman" w:eastAsia="宋体" w:cs="Times New Roman"/>
                <w:b w:val="0"/>
                <w:bCs w:val="0"/>
                <w:color w:val="auto"/>
                <w:sz w:val="24"/>
                <w:szCs w:val="24"/>
                <w:u w:val="none"/>
                <w:lang w:val="zh-CN" w:eastAsia="zh-CN"/>
              </w:rPr>
            </w:pPr>
            <w:r>
              <w:rPr>
                <w:rFonts w:hint="default" w:ascii="Times New Roman" w:hAnsi="Times New Roman" w:cs="Times New Roman"/>
                <w:b w:val="0"/>
                <w:bCs/>
                <w:color w:val="auto"/>
                <w:sz w:val="24"/>
                <w:szCs w:val="24"/>
              </w:rPr>
              <w:t>由2022年灰河水寨屈庄断面监测统计结果可以看出：监测断面各监测因子均能满足《地表水环境质量标准》（GB3838-2002）IV类标准，地表水环境质量现状较好。</w:t>
            </w:r>
            <w:r>
              <w:rPr>
                <w:rFonts w:hint="default" w:ascii="Times New Roman" w:hAnsi="Times New Roman" w:cs="Times New Roman"/>
                <w:b w:val="0"/>
                <w:bCs/>
                <w:color w:val="auto"/>
                <w:sz w:val="24"/>
                <w:lang w:eastAsia="zh-CN"/>
              </w:rPr>
              <w:t>同时，</w:t>
            </w:r>
            <w:r>
              <w:rPr>
                <w:rFonts w:hint="default" w:ascii="Times New Roman" w:hAnsi="Times New Roman" w:cs="Times New Roman"/>
                <w:b w:val="0"/>
                <w:bCs/>
                <w:color w:val="auto"/>
                <w:sz w:val="24"/>
              </w:rPr>
              <w:t>为持续做好水污染防治工作，进一步改善全市水环境质量，根据国家及河南省要求，平顶山市人民政府制定了</w:t>
            </w:r>
            <w:r>
              <w:rPr>
                <w:rFonts w:hint="default" w:ascii="Times New Roman" w:hAnsi="Times New Roman" w:eastAsia="宋体" w:cs="Times New Roman"/>
                <w:b w:val="0"/>
                <w:bCs/>
                <w:color w:val="auto"/>
                <w:sz w:val="24"/>
                <w:szCs w:val="24"/>
                <w:highlight w:val="none"/>
                <w:u w:val="none"/>
                <w:lang w:val="zh-CN" w:eastAsia="zh-CN"/>
              </w:rPr>
              <w:t>《平顶山市</w:t>
            </w:r>
            <w:r>
              <w:rPr>
                <w:rFonts w:hint="default" w:ascii="Times New Roman" w:hAnsi="Times New Roman" w:eastAsia="宋体" w:cs="Times New Roman"/>
                <w:b w:val="0"/>
                <w:bCs/>
                <w:color w:val="auto"/>
                <w:sz w:val="24"/>
                <w:szCs w:val="24"/>
                <w:highlight w:val="none"/>
                <w:u w:val="none"/>
                <w:lang w:val="en-US" w:eastAsia="zh-CN"/>
              </w:rPr>
              <w:t>202</w:t>
            </w:r>
            <w:r>
              <w:rPr>
                <w:rFonts w:hint="eastAsia" w:cs="Times New Roman"/>
                <w:b w:val="0"/>
                <w:bCs/>
                <w:color w:val="auto"/>
                <w:sz w:val="24"/>
                <w:szCs w:val="24"/>
                <w:highlight w:val="none"/>
                <w:u w:val="none"/>
                <w:lang w:val="en-US" w:eastAsia="zh-CN"/>
              </w:rPr>
              <w:t>4</w:t>
            </w:r>
            <w:r>
              <w:rPr>
                <w:rFonts w:hint="default" w:ascii="Times New Roman" w:hAnsi="Times New Roman" w:eastAsia="宋体" w:cs="Times New Roman"/>
                <w:b w:val="0"/>
                <w:bCs/>
                <w:color w:val="auto"/>
                <w:sz w:val="24"/>
                <w:szCs w:val="24"/>
                <w:u w:val="none"/>
                <w:lang w:val="en-US" w:eastAsia="zh-CN"/>
              </w:rPr>
              <w:t>年碧水保卫战实施方案</w:t>
            </w:r>
            <w:r>
              <w:rPr>
                <w:rFonts w:hint="default" w:ascii="Times New Roman" w:hAnsi="Times New Roman" w:eastAsia="宋体" w:cs="Times New Roman"/>
                <w:b w:val="0"/>
                <w:bCs/>
                <w:color w:val="auto"/>
                <w:sz w:val="24"/>
                <w:szCs w:val="24"/>
                <w:u w:val="none"/>
                <w:lang w:val="zh-CN" w:eastAsia="zh-CN"/>
              </w:rPr>
              <w:t>》</w:t>
            </w:r>
            <w:r>
              <w:rPr>
                <w:rFonts w:hint="default" w:ascii="Times New Roman" w:hAnsi="Times New Roman" w:cs="Times New Roman"/>
                <w:b w:val="0"/>
                <w:bCs/>
                <w:color w:val="auto"/>
                <w:sz w:val="24"/>
              </w:rPr>
              <w:t>，</w:t>
            </w:r>
            <w:r>
              <w:rPr>
                <w:rFonts w:hint="eastAsia" w:ascii="Times New Roman" w:hAnsi="Times New Roman" w:eastAsia="宋体" w:cs="Times New Roman"/>
                <w:b w:val="0"/>
                <w:bCs w:val="0"/>
                <w:color w:val="auto"/>
                <w:sz w:val="24"/>
                <w:szCs w:val="24"/>
                <w:u w:val="none"/>
                <w:lang w:val="zh-CN" w:eastAsia="zh-CN"/>
              </w:rPr>
              <w:t>通过深入打好水源地保护攻坚战役、深入打好黑臭水体治理攻坚战役、深入打好河湖水生态环境治理与修复攻坚战役、统筹做好其它水污染防治攻坚工作，进一步保护好饮用水源。通过</w:t>
            </w:r>
            <w:r>
              <w:rPr>
                <w:rFonts w:hint="eastAsia" w:ascii="Times New Roman" w:hAnsi="Times New Roman" w:eastAsia="宋体" w:cs="Times New Roman"/>
                <w:b w:val="0"/>
                <w:bCs w:val="0"/>
                <w:color w:val="auto"/>
                <w:sz w:val="24"/>
                <w:szCs w:val="24"/>
                <w:u w:val="none"/>
                <w:lang w:val="en-US" w:eastAsia="zh-CN"/>
              </w:rPr>
              <w:t>攻坚战的实施改善</w:t>
            </w:r>
            <w:r>
              <w:rPr>
                <w:rFonts w:hint="eastAsia" w:ascii="Times New Roman" w:hAnsi="Times New Roman" w:eastAsia="宋体" w:cs="Times New Roman"/>
                <w:b w:val="0"/>
                <w:bCs w:val="0"/>
                <w:color w:val="auto"/>
                <w:sz w:val="24"/>
                <w:szCs w:val="24"/>
                <w:u w:val="none"/>
                <w:lang w:val="zh-CN" w:eastAsia="zh-CN"/>
              </w:rPr>
              <w:t>当地环境质量，使水环境质量将逐渐转好。</w:t>
            </w:r>
          </w:p>
          <w:p w14:paraId="59EFEFDA">
            <w:pPr>
              <w:pStyle w:val="27"/>
              <w:pageBreakBefore w:val="0"/>
              <w:widowControl w:val="0"/>
              <w:kinsoku/>
              <w:wordWrap/>
              <w:overflowPunct/>
              <w:topLinePunct w:val="0"/>
              <w:autoSpaceDE/>
              <w:autoSpaceDN/>
              <w:bidi w:val="0"/>
              <w:adjustRightInd/>
              <w:spacing w:line="500" w:lineRule="exact"/>
              <w:ind w:left="0" w:leftChars="0" w:right="0" w:rightChars="0"/>
              <w:textAlignment w:val="auto"/>
              <w:rPr>
                <w:rFonts w:hint="default" w:ascii="Times New Roman" w:hAnsi="Times New Roman" w:eastAsia="宋体" w:cs="Times New Roman"/>
                <w:b/>
                <w:kern w:val="0"/>
                <w:highlight w:val="none"/>
                <w:lang w:val="en-US" w:eastAsia="zh-CN"/>
              </w:rPr>
            </w:pPr>
            <w:r>
              <w:rPr>
                <w:rFonts w:hint="default" w:ascii="Times New Roman" w:hAnsi="Times New Roman" w:cs="Times New Roman"/>
                <w:b/>
                <w:kern w:val="0"/>
                <w:highlight w:val="none"/>
                <w:lang w:val="en-US" w:eastAsia="zh-CN"/>
              </w:rPr>
              <w:t>3</w:t>
            </w:r>
            <w:r>
              <w:rPr>
                <w:rFonts w:hint="default" w:ascii="Times New Roman" w:hAnsi="Times New Roman" w:cs="Times New Roman"/>
                <w:b/>
                <w:kern w:val="0"/>
                <w:highlight w:val="none"/>
              </w:rPr>
              <w:t>、声环境</w:t>
            </w:r>
            <w:r>
              <w:rPr>
                <w:rFonts w:hint="default" w:ascii="Times New Roman" w:hAnsi="Times New Roman" w:cs="Times New Roman"/>
                <w:b/>
                <w:kern w:val="0"/>
                <w:highlight w:val="none"/>
                <w:lang w:val="en-US" w:eastAsia="zh-CN"/>
              </w:rPr>
              <w:t>质量现状</w:t>
            </w:r>
          </w:p>
          <w:p w14:paraId="38573DCE">
            <w:pPr>
              <w:keepNext w:val="0"/>
              <w:keepLines w:val="0"/>
              <w:pageBreakBefore w:val="0"/>
              <w:widowControl/>
              <w:suppressLineNumbers w:val="0"/>
              <w:kinsoku/>
              <w:wordWrap/>
              <w:overflowPunct/>
              <w:topLinePunct w:val="0"/>
              <w:autoSpaceDE/>
              <w:autoSpaceDN/>
              <w:bidi w:val="0"/>
              <w:adjustRightInd/>
              <w:spacing w:line="500" w:lineRule="exact"/>
              <w:ind w:left="0" w:leftChars="0" w:right="0" w:rightChars="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项目为</w:t>
            </w:r>
            <w:r>
              <w:rPr>
                <w:rFonts w:hint="default" w:ascii="Times New Roman" w:hAnsi="Times New Roman" w:eastAsia="宋体" w:cs="Times New Roman"/>
                <w:sz w:val="24"/>
                <w:szCs w:val="24"/>
                <w:lang w:val="en-US" w:eastAsia="zh-CN"/>
              </w:rPr>
              <w:t>新建</w:t>
            </w:r>
            <w:r>
              <w:rPr>
                <w:rFonts w:hint="default" w:ascii="Times New Roman" w:hAnsi="Times New Roman" w:eastAsia="宋体" w:cs="Times New Roman"/>
                <w:sz w:val="24"/>
                <w:szCs w:val="24"/>
              </w:rPr>
              <w:t>项目，项目50m范围内无敏感目标，根据《建设项目环境影响报告表编 制技术指南（污染影响类）（试行）》，可不开展声环境质量监测工作。</w:t>
            </w:r>
          </w:p>
          <w:p w14:paraId="30781795">
            <w:pPr>
              <w:pStyle w:val="27"/>
              <w:pageBreakBefore w:val="0"/>
              <w:widowControl w:val="0"/>
              <w:kinsoku/>
              <w:wordWrap/>
              <w:overflowPunct/>
              <w:topLinePunct w:val="0"/>
              <w:autoSpaceDE/>
              <w:autoSpaceDN/>
              <w:bidi w:val="0"/>
              <w:adjustRightInd/>
              <w:spacing w:line="500" w:lineRule="exact"/>
              <w:ind w:left="0" w:leftChars="0" w:right="0" w:rightChars="0"/>
              <w:textAlignment w:val="auto"/>
              <w:rPr>
                <w:rFonts w:hint="default" w:ascii="Times New Roman" w:hAnsi="Times New Roman" w:eastAsia="宋体" w:cs="Times New Roman"/>
                <w:b/>
                <w:kern w:val="0"/>
                <w:lang w:val="en-US" w:eastAsia="zh-CN"/>
              </w:rPr>
            </w:pPr>
            <w:r>
              <w:rPr>
                <w:rFonts w:hint="default" w:ascii="Times New Roman" w:hAnsi="Times New Roman" w:eastAsia="宋体" w:cs="Times New Roman"/>
                <w:b/>
                <w:kern w:val="0"/>
                <w:lang w:val="en-US" w:eastAsia="zh-CN"/>
              </w:rPr>
              <w:t>4、</w:t>
            </w:r>
            <w:r>
              <w:rPr>
                <w:rFonts w:hint="default" w:ascii="Times New Roman" w:hAnsi="Times New Roman" w:eastAsia="宋体" w:cs="Times New Roman"/>
                <w:b/>
                <w:kern w:val="0"/>
                <w:highlight w:val="none"/>
                <w:lang w:val="en-US" w:eastAsia="zh-CN"/>
              </w:rPr>
              <w:t>地下水、土壤环境质量现状</w:t>
            </w:r>
          </w:p>
          <w:p w14:paraId="38E02C4E">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eastAsia="zh-CN"/>
              </w:rPr>
              <w:t>本项目</w:t>
            </w:r>
            <w:r>
              <w:rPr>
                <w:rFonts w:hint="default" w:ascii="Times New Roman" w:hAnsi="Times New Roman" w:cs="Times New Roman"/>
                <w:sz w:val="24"/>
                <w:szCs w:val="24"/>
                <w:lang w:eastAsia="zh-CN"/>
              </w:rPr>
              <w:t>生产废水</w:t>
            </w:r>
            <w:r>
              <w:rPr>
                <w:rFonts w:hint="eastAsia" w:cs="Times New Roman"/>
                <w:sz w:val="24"/>
                <w:szCs w:val="24"/>
                <w:highlight w:val="none"/>
                <w:lang w:val="en-US" w:eastAsia="zh-CN"/>
              </w:rPr>
              <w:t>经过</w:t>
            </w:r>
            <w:r>
              <w:rPr>
                <w:rFonts w:hint="eastAsia" w:ascii="Times New Roman" w:hAnsi="Times New Roman" w:eastAsia="宋体"/>
                <w:b w:val="0"/>
                <w:bCs w:val="0"/>
                <w:color w:val="auto"/>
                <w:sz w:val="24"/>
                <w:szCs w:val="24"/>
                <w:highlight w:val="none"/>
                <w:u w:val="none"/>
                <w:lang w:eastAsia="zh-CN"/>
              </w:rPr>
              <w:t>车间外</w:t>
            </w:r>
            <w:r>
              <w:rPr>
                <w:rFonts w:hint="eastAsia"/>
                <w:b w:val="0"/>
                <w:bCs w:val="0"/>
                <w:color w:val="auto"/>
                <w:sz w:val="24"/>
                <w:szCs w:val="24"/>
                <w:highlight w:val="none"/>
                <w:u w:val="none"/>
                <w:lang w:val="en-US" w:eastAsia="zh-CN"/>
              </w:rPr>
              <w:t>隔油</w:t>
            </w:r>
            <w:r>
              <w:rPr>
                <w:rFonts w:hint="eastAsia" w:ascii="Times New Roman" w:hAnsi="Times New Roman" w:eastAsia="宋体"/>
                <w:b w:val="0"/>
                <w:bCs w:val="0"/>
                <w:color w:val="auto"/>
                <w:sz w:val="24"/>
                <w:szCs w:val="24"/>
                <w:highlight w:val="none"/>
                <w:u w:val="none"/>
                <w:lang w:eastAsia="zh-CN"/>
              </w:rPr>
              <w:t>池</w:t>
            </w:r>
            <w:r>
              <w:rPr>
                <w:rFonts w:hint="eastAsia"/>
                <w:b w:val="0"/>
                <w:bCs w:val="0"/>
                <w:color w:val="auto"/>
                <w:sz w:val="24"/>
                <w:szCs w:val="24"/>
                <w:highlight w:val="none"/>
                <w:u w:val="none"/>
                <w:lang w:val="en-US" w:eastAsia="zh-CN"/>
              </w:rPr>
              <w:t>再进入污水处理设施处理</w:t>
            </w:r>
            <w:r>
              <w:rPr>
                <w:rFonts w:hint="eastAsia"/>
                <w:b w:val="0"/>
                <w:bCs w:val="0"/>
                <w:color w:val="auto"/>
                <w:sz w:val="24"/>
                <w:szCs w:val="24"/>
                <w:highlight w:val="none"/>
                <w:u w:val="none"/>
                <w:lang w:eastAsia="zh-CN"/>
              </w:rPr>
              <w:t>，</w:t>
            </w:r>
            <w:r>
              <w:rPr>
                <w:rFonts w:hint="eastAsia" w:ascii="Times New Roman" w:hAnsi="Times New Roman" w:eastAsia="宋体"/>
                <w:b w:val="0"/>
                <w:bCs w:val="0"/>
                <w:color w:val="auto"/>
                <w:sz w:val="24"/>
                <w:szCs w:val="24"/>
                <w:highlight w:val="none"/>
                <w:u w:val="none"/>
                <w:lang w:val="en-US" w:eastAsia="zh-CN"/>
              </w:rPr>
              <w:t>再</w:t>
            </w:r>
            <w:r>
              <w:rPr>
                <w:rFonts w:hint="eastAsia"/>
                <w:b w:val="0"/>
                <w:bCs w:val="0"/>
                <w:color w:val="auto"/>
                <w:sz w:val="24"/>
                <w:szCs w:val="24"/>
                <w:highlight w:val="none"/>
                <w:u w:val="none"/>
                <w:lang w:val="en-US" w:eastAsia="zh-CN"/>
              </w:rPr>
              <w:t>外排</w:t>
            </w:r>
            <w:r>
              <w:rPr>
                <w:rFonts w:hint="eastAsia" w:ascii="Times New Roman" w:hAnsi="Times New Roman" w:eastAsia="宋体"/>
                <w:b w:val="0"/>
                <w:bCs w:val="0"/>
                <w:color w:val="auto"/>
                <w:sz w:val="24"/>
                <w:szCs w:val="24"/>
                <w:highlight w:val="none"/>
                <w:u w:val="none"/>
                <w:lang w:eastAsia="zh-CN"/>
              </w:rPr>
              <w:t>进入</w:t>
            </w:r>
            <w:r>
              <w:rPr>
                <w:rFonts w:hint="eastAsia" w:eastAsia="宋体"/>
                <w:b w:val="0"/>
                <w:bCs w:val="0"/>
                <w:color w:val="auto"/>
                <w:sz w:val="24"/>
                <w:szCs w:val="24"/>
                <w:highlight w:val="none"/>
                <w:u w:val="none"/>
                <w:lang w:val="en-US" w:eastAsia="zh-CN"/>
              </w:rPr>
              <w:t>污水管网</w:t>
            </w:r>
            <w:r>
              <w:rPr>
                <w:rFonts w:hint="eastAsia"/>
                <w:b w:val="0"/>
                <w:bCs w:val="0"/>
                <w:color w:val="auto"/>
                <w:sz w:val="24"/>
                <w:szCs w:val="24"/>
                <w:highlight w:val="none"/>
                <w:u w:val="none"/>
                <w:lang w:val="en-US" w:eastAsia="zh-CN"/>
              </w:rPr>
              <w:t>最终流向叶县廉村镇污水处理站进行处理</w:t>
            </w:r>
            <w:r>
              <w:rPr>
                <w:rFonts w:hint="eastAsia" w:cs="Times New Roman"/>
                <w:sz w:val="24"/>
                <w:szCs w:val="24"/>
                <w:lang w:val="en-US" w:eastAsia="zh-CN"/>
              </w:rPr>
              <w:t>，</w:t>
            </w:r>
            <w:r>
              <w:rPr>
                <w:rFonts w:hint="default" w:ascii="Times New Roman" w:hAnsi="Times New Roman" w:cs="Times New Roman"/>
                <w:sz w:val="24"/>
                <w:szCs w:val="24"/>
                <w:lang w:eastAsia="zh-CN"/>
              </w:rPr>
              <w:t>生活污水</w:t>
            </w:r>
            <w:r>
              <w:rPr>
                <w:rFonts w:hint="eastAsia" w:ascii="Times New Roman" w:hAnsi="Times New Roman" w:cs="Times New Roman"/>
                <w:sz w:val="24"/>
                <w:szCs w:val="24"/>
                <w:lang w:val="en-US" w:eastAsia="zh-CN"/>
              </w:rPr>
              <w:t>经过化粪池的处理后</w:t>
            </w:r>
            <w:r>
              <w:rPr>
                <w:rFonts w:hint="eastAsia" w:cs="Times New Roman"/>
                <w:sz w:val="24"/>
                <w:szCs w:val="24"/>
                <w:lang w:val="en-US" w:eastAsia="zh-CN"/>
              </w:rPr>
              <w:t>，外排到市政污水管网最终进入</w:t>
            </w:r>
            <w:r>
              <w:rPr>
                <w:rFonts w:hint="eastAsia"/>
                <w:b w:val="0"/>
                <w:bCs w:val="0"/>
                <w:color w:val="auto"/>
                <w:sz w:val="24"/>
                <w:szCs w:val="24"/>
                <w:highlight w:val="none"/>
                <w:u w:val="none"/>
                <w:lang w:val="en-US" w:eastAsia="zh-CN"/>
              </w:rPr>
              <w:t>叶县廉村镇污水处理站</w:t>
            </w:r>
            <w:r>
              <w:rPr>
                <w:rFonts w:hint="default" w:ascii="Times New Roman" w:hAnsi="Times New Roman" w:cs="Times New Roman"/>
                <w:sz w:val="24"/>
                <w:szCs w:val="24"/>
                <w:highlight w:val="none"/>
              </w:rPr>
              <w:t>。</w:t>
            </w:r>
            <w:r>
              <w:rPr>
                <w:rFonts w:hint="default" w:ascii="Times New Roman" w:hAnsi="Times New Roman" w:cs="Times New Roman"/>
                <w:sz w:val="24"/>
                <w:lang w:eastAsia="zh-CN"/>
              </w:rPr>
              <w:t>为防止建设运营后</w:t>
            </w:r>
            <w:r>
              <w:rPr>
                <w:rFonts w:hint="eastAsia" w:ascii="Times New Roman" w:hAnsi="Times New Roman" w:cs="Times New Roman"/>
                <w:sz w:val="24"/>
                <w:lang w:val="en-US" w:eastAsia="zh-CN"/>
              </w:rPr>
              <w:t>产生的废水和原辅料以及</w:t>
            </w:r>
            <w:r>
              <w:rPr>
                <w:rFonts w:hint="eastAsia" w:cs="Times New Roman"/>
                <w:sz w:val="24"/>
                <w:lang w:val="en-US" w:eastAsia="zh-CN"/>
              </w:rPr>
              <w:t>废残渣</w:t>
            </w:r>
            <w:r>
              <w:rPr>
                <w:rFonts w:hint="default" w:ascii="Times New Roman" w:hAnsi="Times New Roman" w:cs="Times New Roman"/>
                <w:sz w:val="24"/>
                <w:lang w:eastAsia="zh-CN"/>
              </w:rPr>
              <w:t>对地下水</w:t>
            </w:r>
            <w:r>
              <w:rPr>
                <w:rFonts w:hint="eastAsia" w:ascii="Times New Roman" w:hAnsi="Times New Roman" w:cs="Times New Roman"/>
                <w:sz w:val="24"/>
                <w:lang w:val="en-US" w:eastAsia="zh-CN"/>
              </w:rPr>
              <w:t>和</w:t>
            </w:r>
            <w:r>
              <w:rPr>
                <w:rFonts w:hint="default" w:ascii="Times New Roman" w:hAnsi="Times New Roman" w:cs="Times New Roman"/>
                <w:sz w:val="24"/>
                <w:lang w:eastAsia="zh-CN"/>
              </w:rPr>
              <w:t>土壤产生影响，厂区采用分区防渗</w:t>
            </w:r>
            <w:r>
              <w:rPr>
                <w:rFonts w:hint="eastAsia" w:ascii="Times New Roman" w:hAnsi="Times New Roman" w:cs="Times New Roman"/>
                <w:sz w:val="24"/>
                <w:lang w:val="en-US" w:eastAsia="zh-CN"/>
              </w:rPr>
              <w:t>的措施</w:t>
            </w:r>
            <w:r>
              <w:rPr>
                <w:rFonts w:hint="eastAsia" w:cs="Times New Roman"/>
                <w:sz w:val="24"/>
                <w:lang w:val="en-US" w:eastAsia="zh-CN"/>
              </w:rPr>
              <w:t>，</w:t>
            </w:r>
            <w:r>
              <w:rPr>
                <w:rFonts w:hint="eastAsia" w:ascii="Times New Roman" w:hAnsi="Times New Roman" w:cs="Times New Roman"/>
                <w:sz w:val="24"/>
                <w:lang w:val="en-US" w:eastAsia="zh-CN"/>
              </w:rPr>
              <w:t>厂区内</w:t>
            </w:r>
            <w:r>
              <w:rPr>
                <w:rFonts w:hint="eastAsia" w:cs="Times New Roman"/>
                <w:sz w:val="24"/>
                <w:lang w:val="en-US" w:eastAsia="zh-CN"/>
              </w:rPr>
              <w:t>沉淀池</w:t>
            </w:r>
            <w:r>
              <w:rPr>
                <w:rFonts w:hint="eastAsia" w:ascii="Times New Roman" w:hAnsi="Times New Roman" w:cs="Times New Roman"/>
                <w:sz w:val="24"/>
                <w:lang w:val="en-US" w:eastAsia="zh-CN"/>
              </w:rPr>
              <w:t>和污水管线</w:t>
            </w:r>
            <w:r>
              <w:rPr>
                <w:rFonts w:hint="eastAsia" w:cs="Times New Roman"/>
                <w:sz w:val="24"/>
                <w:lang w:val="en-US" w:eastAsia="zh-CN"/>
              </w:rPr>
              <w:t>以及化粪池</w:t>
            </w:r>
            <w:r>
              <w:rPr>
                <w:rFonts w:hint="eastAsia" w:ascii="Times New Roman" w:hAnsi="Times New Roman" w:cs="Times New Roman"/>
                <w:sz w:val="24"/>
                <w:lang w:val="en-US" w:eastAsia="zh-CN"/>
              </w:rPr>
              <w:t>等区域采用</w:t>
            </w:r>
            <w:r>
              <w:rPr>
                <w:rFonts w:hint="eastAsia" w:cs="Times New Roman"/>
                <w:sz w:val="24"/>
                <w:lang w:val="en-US" w:eastAsia="zh-CN"/>
              </w:rPr>
              <w:t>中等</w:t>
            </w:r>
            <w:r>
              <w:rPr>
                <w:rFonts w:hint="eastAsia" w:ascii="Times New Roman" w:hAnsi="Times New Roman" w:cs="Times New Roman"/>
                <w:sz w:val="24"/>
                <w:lang w:val="en-US" w:eastAsia="zh-CN"/>
              </w:rPr>
              <w:t>防渗，厂</w:t>
            </w:r>
            <w:r>
              <w:rPr>
                <w:rFonts w:hint="eastAsia" w:cs="Times New Roman"/>
                <w:sz w:val="24"/>
                <w:lang w:val="en-US" w:eastAsia="zh-CN"/>
              </w:rPr>
              <w:t>区</w:t>
            </w:r>
            <w:r>
              <w:rPr>
                <w:rFonts w:hint="eastAsia" w:ascii="Times New Roman" w:hAnsi="Times New Roman" w:cs="Times New Roman"/>
                <w:sz w:val="24"/>
                <w:lang w:val="en-US" w:eastAsia="zh-CN"/>
              </w:rPr>
              <w:t>其他区域采用简单防渗地面硬化方式，</w:t>
            </w:r>
            <w:r>
              <w:rPr>
                <w:rFonts w:hint="default" w:ascii="Times New Roman" w:hAnsi="Times New Roman" w:cs="Times New Roman"/>
                <w:sz w:val="24"/>
                <w:lang w:val="en-US" w:eastAsia="zh-CN"/>
              </w:rPr>
              <w:t>通过采取以上措施后，项目的建设可有效避免对地下水、土壤产生影响</w:t>
            </w:r>
            <w:r>
              <w:rPr>
                <w:rFonts w:hint="eastAsia" w:cs="Times New Roman"/>
                <w:sz w:val="24"/>
                <w:lang w:val="en-US" w:eastAsia="zh-CN"/>
              </w:rPr>
              <w:t>。</w:t>
            </w:r>
            <w:r>
              <w:rPr>
                <w:rFonts w:ascii="Times New Roman" w:hAnsi="Times New Roman" w:eastAsia="宋体" w:cs="Times New Roman"/>
                <w:bCs/>
                <w:color w:val="auto"/>
                <w:sz w:val="24"/>
                <w:highlight w:val="none"/>
                <w:u w:val="none"/>
              </w:rPr>
              <w:t>根据《环境影响评价技术导则 地下水环</w:t>
            </w:r>
            <w:r>
              <w:rPr>
                <w:rFonts w:ascii="Times New Roman" w:hAnsi="Times New Roman" w:eastAsia="宋体" w:cs="Times New Roman"/>
                <w:bCs/>
                <w:color w:val="auto"/>
                <w:sz w:val="24"/>
                <w:u w:val="none"/>
              </w:rPr>
              <w:t>境》（HJ610-2016），地下水评价等级的确定主要依据项目类型和建设项目地下水环境敏感程度等参数进行确定，</w:t>
            </w:r>
            <w:r>
              <w:rPr>
                <w:rFonts w:hint="eastAsia" w:cs="Times New Roman"/>
                <w:bCs/>
                <w:color w:val="auto"/>
                <w:sz w:val="24"/>
                <w:u w:val="none"/>
                <w:lang w:val="en-US" w:eastAsia="zh-CN"/>
              </w:rPr>
              <w:t>经对比上述导则附录A，本项目</w:t>
            </w:r>
            <w:r>
              <w:rPr>
                <w:rFonts w:hint="eastAsia" w:cs="Times New Roman"/>
                <w:bCs/>
                <w:color w:val="auto"/>
                <w:sz w:val="24"/>
                <w:highlight w:val="none"/>
                <w:u w:val="none"/>
                <w:lang w:val="en-US" w:eastAsia="zh-CN"/>
              </w:rPr>
              <w:t>属于N轻工-104、调味品、发酵制品制造-其他，为</w:t>
            </w:r>
            <w:r>
              <w:rPr>
                <w:rFonts w:hint="default" w:ascii="Tahoma" w:hAnsi="Tahoma" w:eastAsia="宋体" w:cs="Tahoma"/>
                <w:bCs/>
                <w:color w:val="auto"/>
                <w:sz w:val="24"/>
                <w:highlight w:val="none"/>
                <w:u w:val="none"/>
                <w:lang w:val="en-US" w:eastAsia="zh-CN"/>
              </w:rPr>
              <w:t>Ⅳ</w:t>
            </w:r>
            <w:r>
              <w:rPr>
                <w:rFonts w:hint="eastAsia" w:cs="Times New Roman"/>
                <w:bCs/>
                <w:color w:val="auto"/>
                <w:sz w:val="24"/>
                <w:highlight w:val="none"/>
                <w:u w:val="none"/>
                <w:lang w:val="en-US" w:eastAsia="zh-CN"/>
              </w:rPr>
              <w:t>类项目</w:t>
            </w:r>
            <w:r>
              <w:rPr>
                <w:rFonts w:hint="eastAsia" w:cs="Times New Roman"/>
                <w:bCs/>
                <w:color w:val="auto"/>
                <w:sz w:val="24"/>
                <w:u w:val="none"/>
                <w:lang w:val="en-US" w:eastAsia="zh-CN"/>
              </w:rPr>
              <w:t>，</w:t>
            </w:r>
            <w:r>
              <w:rPr>
                <w:rFonts w:hint="eastAsia" w:ascii="Times New Roman" w:hAnsi="Times New Roman" w:eastAsia="宋体" w:cs="Times New Roman"/>
                <w:bCs/>
                <w:color w:val="auto"/>
                <w:kern w:val="2"/>
                <w:sz w:val="24"/>
                <w:u w:val="none"/>
                <w:lang w:val="en-US" w:eastAsia="zh-CN" w:bidi="ar-SA"/>
              </w:rPr>
              <w:t>根据导则要求</w:t>
            </w:r>
            <w:r>
              <w:rPr>
                <w:rFonts w:hint="eastAsia" w:cs="Times New Roman"/>
                <w:bCs/>
                <w:color w:val="auto"/>
                <w:kern w:val="2"/>
                <w:sz w:val="24"/>
                <w:u w:val="none"/>
                <w:lang w:val="en-US" w:eastAsia="zh-CN" w:bidi="ar-SA"/>
              </w:rPr>
              <w:t>，原则上不开展地下水现状</w:t>
            </w:r>
            <w:r>
              <w:rPr>
                <w:rFonts w:hint="eastAsia" w:ascii="Times New Roman" w:hAnsi="Times New Roman" w:cs="Times New Roman"/>
                <w:bCs/>
                <w:color w:val="auto"/>
                <w:sz w:val="24"/>
              </w:rPr>
              <w:t>。</w:t>
            </w:r>
            <w:r>
              <w:rPr>
                <w:color w:val="000000"/>
                <w:sz w:val="24"/>
                <w:szCs w:val="24"/>
              </w:rPr>
              <w:t>根据《环境影响评价技术导则</w:t>
            </w:r>
            <w:r>
              <w:rPr>
                <w:rFonts w:hint="eastAsia"/>
                <w:color w:val="000000"/>
                <w:sz w:val="24"/>
                <w:szCs w:val="24"/>
              </w:rPr>
              <w:t xml:space="preserve"> </w:t>
            </w:r>
            <w:r>
              <w:rPr>
                <w:color w:val="000000"/>
                <w:sz w:val="24"/>
                <w:szCs w:val="24"/>
              </w:rPr>
              <w:t>土壤环境》（HJ 964-2018）附录A</w:t>
            </w:r>
            <w:r>
              <w:rPr>
                <w:rFonts w:hint="eastAsia"/>
                <w:color w:val="000000"/>
                <w:sz w:val="24"/>
                <w:szCs w:val="24"/>
              </w:rPr>
              <w:t>中“表A.1”规定</w:t>
            </w:r>
            <w:r>
              <w:rPr>
                <w:color w:val="000000"/>
                <w:sz w:val="24"/>
                <w:szCs w:val="24"/>
              </w:rPr>
              <w:t>，</w:t>
            </w:r>
            <w:r>
              <w:rPr>
                <w:rFonts w:hint="eastAsia"/>
                <w:color w:val="000000"/>
                <w:sz w:val="24"/>
                <w:szCs w:val="24"/>
                <w:lang w:val="en-US" w:eastAsia="zh-CN"/>
              </w:rPr>
              <w:t>本项目属于其他行业类型中，为</w:t>
            </w:r>
            <w:r>
              <w:rPr>
                <w:rFonts w:hint="default" w:ascii="Tahoma" w:hAnsi="Tahoma" w:eastAsia="宋体" w:cs="Tahoma"/>
                <w:bCs/>
                <w:color w:val="auto"/>
                <w:sz w:val="24"/>
                <w:highlight w:val="none"/>
                <w:u w:val="none"/>
                <w:lang w:val="en-US" w:eastAsia="zh-CN"/>
              </w:rPr>
              <w:t>Ⅳ</w:t>
            </w:r>
            <w:r>
              <w:rPr>
                <w:rFonts w:hint="eastAsia"/>
                <w:color w:val="000000"/>
                <w:sz w:val="24"/>
                <w:szCs w:val="24"/>
                <w:lang w:val="en-US" w:eastAsia="zh-CN"/>
              </w:rPr>
              <w:t>类项目，</w:t>
            </w:r>
            <w:r>
              <w:rPr>
                <w:rFonts w:hint="eastAsia"/>
                <w:color w:val="000000"/>
                <w:sz w:val="24"/>
              </w:rPr>
              <w:t>根据导则工作等级划分表，本项目</w:t>
            </w:r>
            <w:r>
              <w:rPr>
                <w:rFonts w:hint="eastAsia"/>
                <w:color w:val="000000"/>
                <w:sz w:val="24"/>
                <w:lang w:val="en-US" w:eastAsia="zh-CN"/>
              </w:rPr>
              <w:t>原则上不开展</w:t>
            </w:r>
            <w:r>
              <w:rPr>
                <w:rFonts w:hint="eastAsia"/>
                <w:color w:val="000000"/>
                <w:sz w:val="24"/>
              </w:rPr>
              <w:t>土壤环境影响评价。</w:t>
            </w:r>
            <w:r>
              <w:rPr>
                <w:rFonts w:hint="default" w:ascii="Times New Roman" w:hAnsi="Times New Roman" w:cs="Times New Roman"/>
                <w:sz w:val="24"/>
                <w:lang w:val="en-US" w:eastAsia="zh-CN"/>
              </w:rPr>
              <w:t>因此，本次评价不开展地下水、土壤环境质量现状调查。</w:t>
            </w:r>
          </w:p>
          <w:p w14:paraId="1518FDE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000000"/>
                <w:sz w:val="24"/>
                <w:szCs w:val="20"/>
                <w:lang w:val="en-US" w:eastAsia="zh-CN"/>
              </w:rPr>
            </w:pPr>
            <w:r>
              <w:rPr>
                <w:rFonts w:hint="eastAsia" w:ascii="Times New Roman" w:hAnsi="Times New Roman" w:cs="Times New Roman"/>
                <w:b/>
                <w:bCs/>
                <w:color w:val="000000"/>
                <w:sz w:val="24"/>
                <w:szCs w:val="20"/>
                <w:lang w:val="en-US" w:eastAsia="zh-CN"/>
              </w:rPr>
              <w:t>5</w:t>
            </w:r>
            <w:r>
              <w:rPr>
                <w:rFonts w:hint="default" w:ascii="Times New Roman" w:hAnsi="Times New Roman" w:eastAsia="宋体" w:cs="Times New Roman"/>
                <w:b/>
                <w:bCs/>
                <w:color w:val="000000"/>
                <w:sz w:val="24"/>
                <w:szCs w:val="20"/>
                <w:lang w:val="en-US" w:eastAsia="zh-CN"/>
              </w:rPr>
              <w:t>、</w:t>
            </w:r>
            <w:r>
              <w:rPr>
                <w:rFonts w:hint="default" w:ascii="Times New Roman" w:hAnsi="Times New Roman" w:eastAsia="宋体" w:cs="Times New Roman"/>
                <w:b/>
                <w:bCs/>
                <w:color w:val="000000"/>
                <w:sz w:val="24"/>
                <w:szCs w:val="20"/>
              </w:rPr>
              <w:t>生态环境</w:t>
            </w:r>
          </w:p>
          <w:p w14:paraId="3F044FFD">
            <w:pPr>
              <w:pageBreakBefore w:val="0"/>
              <w:widowControl w:val="0"/>
              <w:kinsoku/>
              <w:wordWrap/>
              <w:overflowPunct/>
              <w:topLinePunct w:val="0"/>
              <w:autoSpaceDE/>
              <w:autoSpaceDN/>
              <w:bidi w:val="0"/>
              <w:spacing w:line="500" w:lineRule="exact"/>
              <w:ind w:firstLine="480" w:firstLineChars="200"/>
              <w:textAlignment w:val="auto"/>
              <w:rPr>
                <w:rFonts w:ascii="黑体" w:hAnsi="黑体" w:eastAsia="黑体"/>
                <w:b/>
                <w:sz w:val="24"/>
                <w:u w:val="single"/>
              </w:rPr>
            </w:pPr>
            <w:r>
              <w:rPr>
                <w:rFonts w:hint="default" w:ascii="Times New Roman" w:hAnsi="Times New Roman" w:cs="Times New Roman"/>
                <w:color w:val="auto"/>
                <w:sz w:val="24"/>
                <w:lang w:val="en-US" w:eastAsia="zh-CN"/>
              </w:rPr>
              <w:t>本</w:t>
            </w:r>
            <w:r>
              <w:rPr>
                <w:rFonts w:hint="default" w:ascii="Times New Roman" w:hAnsi="Times New Roman" w:eastAsia="宋体" w:cs="Times New Roman"/>
                <w:color w:val="auto"/>
                <w:sz w:val="24"/>
              </w:rPr>
              <w:t>项目位于</w:t>
            </w:r>
            <w:r>
              <w:rPr>
                <w:rFonts w:hint="default" w:ascii="Times New Roman" w:hAnsi="Times New Roman" w:cs="Times New Roman"/>
                <w:color w:val="auto"/>
                <w:sz w:val="24"/>
                <w:lang w:val="en-US" w:eastAsia="zh-CN"/>
              </w:rPr>
              <w:t>河南省</w:t>
            </w:r>
            <w:r>
              <w:rPr>
                <w:rFonts w:hint="default" w:ascii="Times New Roman" w:hAnsi="Times New Roman" w:cs="Times New Roman"/>
                <w:bCs/>
                <w:sz w:val="24"/>
                <w:szCs w:val="24"/>
                <w:lang w:eastAsia="zh-CN"/>
              </w:rPr>
              <w:t>平顶山</w:t>
            </w:r>
            <w:r>
              <w:rPr>
                <w:rFonts w:hint="default" w:ascii="Times New Roman" w:hAnsi="Times New Roman" w:cs="Times New Roman"/>
                <w:bCs/>
                <w:sz w:val="24"/>
                <w:szCs w:val="24"/>
                <w:lang w:val="en-US" w:eastAsia="zh-CN"/>
              </w:rPr>
              <w:t>市叶县廉村镇</w:t>
            </w:r>
            <w:r>
              <w:rPr>
                <w:rFonts w:hint="eastAsia" w:hAnsi="Times New Roman" w:cs="Times New Roman"/>
                <w:bCs/>
                <w:sz w:val="24"/>
                <w:szCs w:val="24"/>
                <w:lang w:val="en-US" w:eastAsia="zh-CN"/>
              </w:rPr>
              <w:t>沙渡口</w:t>
            </w:r>
            <w:r>
              <w:rPr>
                <w:rFonts w:hint="default" w:ascii="Times New Roman" w:hAnsi="Times New Roman" w:cs="Times New Roman"/>
                <w:bCs/>
                <w:sz w:val="24"/>
                <w:szCs w:val="24"/>
                <w:lang w:val="en-US" w:eastAsia="zh-CN"/>
              </w:rPr>
              <w:t>村</w:t>
            </w:r>
            <w:r>
              <w:rPr>
                <w:rFonts w:hint="eastAsia" w:hAnsi="Times New Roman" w:cs="Times New Roman"/>
                <w:bCs/>
                <w:sz w:val="24"/>
                <w:szCs w:val="24"/>
                <w:lang w:val="en-US" w:eastAsia="zh-CN"/>
              </w:rPr>
              <w:t>二组1号</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rPr>
              <w:t>人类活动较为频繁，</w:t>
            </w:r>
            <w:r>
              <w:rPr>
                <w:rFonts w:hint="default" w:ascii="Times New Roman" w:hAnsi="Times New Roman" w:eastAsia="宋体" w:cs="Times New Roman"/>
                <w:snapToGrid w:val="0"/>
                <w:color w:val="auto"/>
                <w:kern w:val="0"/>
                <w:sz w:val="24"/>
                <w:highlight w:val="none"/>
                <w:lang w:eastAsia="zh-CN"/>
              </w:rPr>
              <w:t>厂址周边</w:t>
            </w:r>
            <w:r>
              <w:rPr>
                <w:rFonts w:hint="default" w:ascii="Times New Roman" w:hAnsi="Times New Roman" w:eastAsia="宋体" w:cs="Times New Roman"/>
                <w:snapToGrid w:val="0"/>
                <w:color w:val="auto"/>
                <w:kern w:val="0"/>
                <w:sz w:val="24"/>
                <w:highlight w:val="none"/>
                <w:lang w:val="en-US" w:eastAsia="zh-CN"/>
              </w:rPr>
              <w:t>500m范围内</w:t>
            </w:r>
            <w:r>
              <w:rPr>
                <w:rFonts w:hint="default" w:ascii="Times New Roman" w:hAnsi="Times New Roman" w:eastAsia="宋体" w:cs="Times New Roman"/>
                <w:snapToGrid w:val="0"/>
                <w:color w:val="auto"/>
                <w:kern w:val="0"/>
                <w:sz w:val="24"/>
                <w:highlight w:val="none"/>
                <w:lang w:eastAsia="zh-CN"/>
              </w:rPr>
              <w:t>敏感点</w:t>
            </w:r>
            <w:r>
              <w:rPr>
                <w:rFonts w:hint="default" w:ascii="Times New Roman" w:hAnsi="Times New Roman" w:cs="Times New Roman"/>
                <w:b w:val="0"/>
                <w:bCs w:val="0"/>
                <w:color w:val="auto"/>
                <w:sz w:val="24"/>
                <w:szCs w:val="24"/>
                <w:highlight w:val="none"/>
                <w:u w:val="none"/>
                <w:lang w:val="en-US" w:eastAsia="zh-CN"/>
              </w:rPr>
              <w:t>主要为</w:t>
            </w:r>
            <w:r>
              <w:rPr>
                <w:rFonts w:hint="eastAsia" w:cs="Times New Roman"/>
                <w:b w:val="0"/>
                <w:bCs w:val="0"/>
                <w:color w:val="auto"/>
                <w:sz w:val="24"/>
                <w:szCs w:val="24"/>
                <w:highlight w:val="none"/>
                <w:u w:val="none"/>
                <w:lang w:val="en-US" w:eastAsia="zh-CN"/>
              </w:rPr>
              <w:t>东</w:t>
            </w:r>
            <w:r>
              <w:rPr>
                <w:rFonts w:hint="default" w:ascii="Times New Roman" w:hAnsi="Times New Roman" w:eastAsia="宋体" w:cs="Times New Roman"/>
                <w:color w:val="auto"/>
                <w:kern w:val="2"/>
                <w:sz w:val="24"/>
                <w:szCs w:val="24"/>
                <w:highlight w:val="none"/>
                <w:u w:val="none"/>
                <w:lang w:val="zh-CN" w:eastAsia="zh-CN" w:bidi="ar-SA"/>
              </w:rPr>
              <w:t>侧</w:t>
            </w:r>
            <w:r>
              <w:rPr>
                <w:rFonts w:hint="default" w:ascii="Times New Roman" w:hAnsi="Times New Roman" w:cs="Times New Roman"/>
                <w:color w:val="auto"/>
                <w:kern w:val="2"/>
                <w:sz w:val="24"/>
                <w:szCs w:val="24"/>
                <w:highlight w:val="none"/>
                <w:u w:val="none"/>
                <w:lang w:val="en-US" w:eastAsia="zh-CN" w:bidi="ar-SA"/>
              </w:rPr>
              <w:t>直线距离</w:t>
            </w:r>
            <w:r>
              <w:rPr>
                <w:rFonts w:hint="eastAsia" w:cs="Times New Roman"/>
                <w:color w:val="auto"/>
                <w:kern w:val="2"/>
                <w:sz w:val="24"/>
                <w:szCs w:val="24"/>
                <w:highlight w:val="none"/>
                <w:u w:val="none"/>
                <w:lang w:val="en-US" w:eastAsia="zh-CN" w:bidi="ar-SA"/>
              </w:rPr>
              <w:t>386</w:t>
            </w:r>
            <w:r>
              <w:rPr>
                <w:rFonts w:hint="default" w:ascii="Times New Roman" w:hAnsi="Times New Roman" w:eastAsia="宋体" w:cs="Times New Roman"/>
                <w:color w:val="auto"/>
                <w:kern w:val="2"/>
                <w:sz w:val="24"/>
                <w:szCs w:val="24"/>
                <w:highlight w:val="none"/>
                <w:u w:val="none"/>
                <w:lang w:val="zh-CN" w:eastAsia="zh-CN" w:bidi="ar-SA"/>
              </w:rPr>
              <w:t>m处为</w:t>
            </w:r>
            <w:r>
              <w:rPr>
                <w:rFonts w:hint="eastAsia" w:cs="Times New Roman"/>
                <w:color w:val="auto"/>
                <w:sz w:val="24"/>
                <w:highlight w:val="none"/>
                <w:lang w:val="en-US" w:eastAsia="zh-CN"/>
              </w:rPr>
              <w:t>霍姚村</w:t>
            </w:r>
            <w:r>
              <w:rPr>
                <w:rFonts w:hint="default" w:ascii="Times New Roman" w:hAnsi="Times New Roman" w:cs="Times New Roman"/>
                <w:color w:val="auto"/>
                <w:kern w:val="2"/>
                <w:sz w:val="24"/>
                <w:szCs w:val="24"/>
                <w:highlight w:val="none"/>
                <w:u w:val="none"/>
                <w:lang w:val="en-US" w:eastAsia="zh-CN" w:bidi="ar-SA"/>
              </w:rPr>
              <w:t>，</w:t>
            </w:r>
            <w:r>
              <w:rPr>
                <w:rFonts w:hint="eastAsia" w:cs="Times New Roman"/>
                <w:color w:val="auto"/>
                <w:kern w:val="2"/>
                <w:sz w:val="24"/>
                <w:szCs w:val="24"/>
                <w:highlight w:val="none"/>
                <w:u w:val="none"/>
                <w:lang w:val="en-US" w:eastAsia="zh-CN" w:bidi="ar-SA"/>
              </w:rPr>
              <w:t>南</w:t>
            </w:r>
            <w:r>
              <w:rPr>
                <w:rFonts w:hint="default" w:ascii="Times New Roman" w:hAnsi="Times New Roman" w:eastAsia="宋体" w:cs="Times New Roman"/>
                <w:color w:val="auto"/>
                <w:kern w:val="2"/>
                <w:sz w:val="24"/>
                <w:szCs w:val="24"/>
                <w:highlight w:val="none"/>
                <w:u w:val="none"/>
                <w:lang w:val="zh-CN" w:eastAsia="zh-CN" w:bidi="ar-SA"/>
              </w:rPr>
              <w:t>侧</w:t>
            </w:r>
            <w:r>
              <w:rPr>
                <w:rFonts w:hint="default" w:ascii="Times New Roman" w:hAnsi="Times New Roman" w:cs="Times New Roman"/>
                <w:color w:val="auto"/>
                <w:kern w:val="2"/>
                <w:sz w:val="24"/>
                <w:szCs w:val="24"/>
                <w:highlight w:val="none"/>
                <w:u w:val="none"/>
                <w:lang w:val="en-US" w:eastAsia="zh-CN" w:bidi="ar-SA"/>
              </w:rPr>
              <w:t>直线距离</w:t>
            </w:r>
            <w:r>
              <w:rPr>
                <w:rFonts w:hint="eastAsia" w:cs="Times New Roman"/>
                <w:color w:val="auto"/>
                <w:kern w:val="2"/>
                <w:sz w:val="24"/>
                <w:szCs w:val="24"/>
                <w:highlight w:val="none"/>
                <w:u w:val="none"/>
                <w:lang w:val="en-US" w:eastAsia="zh-CN" w:bidi="ar-SA"/>
              </w:rPr>
              <w:t>395</w:t>
            </w:r>
            <w:r>
              <w:rPr>
                <w:rFonts w:hint="default" w:ascii="Times New Roman" w:hAnsi="Times New Roman" w:eastAsia="宋体" w:cs="Times New Roman"/>
                <w:color w:val="auto"/>
                <w:kern w:val="2"/>
                <w:sz w:val="24"/>
                <w:szCs w:val="24"/>
                <w:highlight w:val="none"/>
                <w:u w:val="none"/>
                <w:lang w:val="zh-CN" w:eastAsia="zh-CN" w:bidi="ar-SA"/>
              </w:rPr>
              <w:t>m处为</w:t>
            </w:r>
            <w:r>
              <w:rPr>
                <w:rFonts w:hint="eastAsia" w:cs="Times New Roman"/>
                <w:color w:val="auto"/>
                <w:kern w:val="2"/>
                <w:sz w:val="24"/>
                <w:szCs w:val="24"/>
                <w:highlight w:val="none"/>
                <w:u w:val="none"/>
                <w:lang w:val="en-US" w:eastAsia="zh-CN" w:bidi="ar-SA"/>
              </w:rPr>
              <w:t>王博儒</w:t>
            </w:r>
            <w:r>
              <w:rPr>
                <w:rFonts w:hint="eastAsia" w:cs="Times New Roman"/>
                <w:color w:val="auto"/>
                <w:sz w:val="24"/>
                <w:highlight w:val="none"/>
                <w:lang w:val="en-US" w:eastAsia="zh-CN"/>
              </w:rPr>
              <w:t>村，</w:t>
            </w:r>
            <w:r>
              <w:rPr>
                <w:rFonts w:hint="default" w:ascii="Times New Roman" w:hAnsi="Times New Roman" w:eastAsia="宋体" w:cs="Times New Roman"/>
                <w:color w:val="auto"/>
                <w:sz w:val="24"/>
              </w:rPr>
              <w:t>周围500m范围内无野生植被、大型野生动物及受国家保护的动植物</w:t>
            </w:r>
            <w:r>
              <w:rPr>
                <w:rFonts w:hint="default" w:ascii="Times New Roman" w:hAnsi="Times New Roman" w:eastAsia="宋体" w:cs="Times New Roman"/>
                <w:color w:val="auto"/>
                <w:sz w:val="24"/>
                <w:highlight w:val="none"/>
              </w:rPr>
              <w:t>种类</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2"/>
                <w:highlight w:val="none"/>
              </w:rPr>
              <w:t>厂区周边500m范围内无自然保护区、风景名</w:t>
            </w:r>
            <w:r>
              <w:rPr>
                <w:rFonts w:hint="default" w:ascii="Times New Roman" w:hAnsi="Times New Roman" w:cs="Times New Roman"/>
                <w:color w:val="auto"/>
                <w:sz w:val="24"/>
                <w:szCs w:val="22"/>
                <w:highlight w:val="none"/>
              </w:rPr>
              <w:t>胜区，无地下水集中式饮用水水源、热水、矿泉水、温泉等特殊地下水资源。</w:t>
            </w:r>
          </w:p>
        </w:tc>
      </w:tr>
      <w:tr w14:paraId="0C1F3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637" w:type="dxa"/>
            <w:noWrap w:val="0"/>
            <w:vAlign w:val="center"/>
          </w:tcPr>
          <w:p w14:paraId="369EA4D2">
            <w:pPr>
              <w:adjustRightInd w:val="0"/>
              <w:snapToGrid w:val="0"/>
              <w:jc w:val="center"/>
              <w:rPr>
                <w:rFonts w:hint="eastAsia" w:ascii="宋体" w:hAnsi="宋体" w:cs="宋体"/>
                <w:b/>
                <w:kern w:val="0"/>
                <w:sz w:val="24"/>
              </w:rPr>
            </w:pPr>
            <w:r>
              <w:rPr>
                <w:rFonts w:hint="eastAsia" w:ascii="宋体" w:hAnsi="宋体" w:cs="宋体"/>
                <w:b/>
                <w:kern w:val="0"/>
                <w:sz w:val="24"/>
              </w:rPr>
              <w:t>环境</w:t>
            </w:r>
          </w:p>
          <w:p w14:paraId="028D3807">
            <w:pPr>
              <w:adjustRightInd w:val="0"/>
              <w:snapToGrid w:val="0"/>
              <w:jc w:val="center"/>
              <w:rPr>
                <w:rFonts w:hint="eastAsia" w:ascii="宋体" w:hAnsi="宋体" w:cs="宋体"/>
                <w:b/>
                <w:kern w:val="0"/>
                <w:sz w:val="24"/>
              </w:rPr>
            </w:pPr>
            <w:r>
              <w:rPr>
                <w:rFonts w:hint="eastAsia" w:ascii="宋体" w:hAnsi="宋体" w:cs="宋体"/>
                <w:b/>
                <w:kern w:val="0"/>
                <w:sz w:val="24"/>
              </w:rPr>
              <w:t>保护</w:t>
            </w:r>
          </w:p>
          <w:p w14:paraId="42F8D8A5">
            <w:pPr>
              <w:adjustRightInd w:val="0"/>
              <w:snapToGrid w:val="0"/>
              <w:jc w:val="center"/>
              <w:rPr>
                <w:rFonts w:hint="eastAsia" w:ascii="宋体" w:hAnsi="宋体" w:cs="宋体"/>
                <w:b/>
                <w:kern w:val="0"/>
              </w:rPr>
            </w:pPr>
            <w:r>
              <w:rPr>
                <w:rFonts w:hint="eastAsia" w:ascii="宋体" w:hAnsi="宋体" w:cs="宋体"/>
                <w:b/>
                <w:kern w:val="0"/>
                <w:sz w:val="24"/>
              </w:rPr>
              <w:t>目标</w:t>
            </w:r>
          </w:p>
        </w:tc>
        <w:tc>
          <w:tcPr>
            <w:tcW w:w="8353" w:type="dxa"/>
            <w:noWrap w:val="0"/>
            <w:vAlign w:val="center"/>
          </w:tcPr>
          <w:p w14:paraId="4221D41B">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hAnsi="宋体"/>
                <w:color w:val="auto"/>
                <w:sz w:val="24"/>
                <w:highlight w:val="none"/>
              </w:rPr>
            </w:pPr>
            <w:r>
              <w:rPr>
                <w:rFonts w:hAnsi="宋体"/>
                <w:color w:val="auto"/>
                <w:sz w:val="24"/>
                <w:highlight w:val="none"/>
              </w:rPr>
              <w:t>本项目周围环境保护目标及其距离见</w:t>
            </w:r>
            <w:r>
              <w:rPr>
                <w:rFonts w:hint="eastAsia" w:hAnsi="宋体"/>
                <w:color w:val="auto"/>
                <w:sz w:val="24"/>
                <w:highlight w:val="none"/>
              </w:rPr>
              <w:t>下</w:t>
            </w:r>
            <w:r>
              <w:rPr>
                <w:rFonts w:hAnsi="宋体"/>
                <w:color w:val="auto"/>
                <w:sz w:val="24"/>
                <w:highlight w:val="none"/>
              </w:rPr>
              <w:t>表。</w:t>
            </w:r>
          </w:p>
          <w:p w14:paraId="02A432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黑体" w:eastAsia="黑体" w:cs="Times New Roman"/>
                <w:color w:val="auto"/>
                <w:kern w:val="2"/>
                <w:sz w:val="24"/>
                <w:highlight w:val="none"/>
                <w:lang w:val="en-US" w:eastAsia="zh-CN" w:bidi="ar-SA"/>
              </w:rPr>
            </w:pPr>
            <w:r>
              <w:rPr>
                <w:rFonts w:hint="eastAsia" w:ascii="Times New Roman" w:hAnsi="黑体" w:eastAsia="黑体" w:cs="Times New Roman"/>
                <w:color w:val="auto"/>
                <w:kern w:val="2"/>
                <w:sz w:val="24"/>
                <w:highlight w:val="none"/>
                <w:lang w:val="en-US" w:eastAsia="zh-CN" w:bidi="ar-SA"/>
              </w:rPr>
              <w:t>表</w:t>
            </w:r>
            <w:r>
              <w:rPr>
                <w:rFonts w:hint="eastAsia" w:hAnsi="黑体" w:eastAsia="黑体" w:cs="Times New Roman"/>
                <w:color w:val="auto"/>
                <w:kern w:val="2"/>
                <w:sz w:val="24"/>
                <w:highlight w:val="none"/>
                <w:lang w:val="en-US" w:eastAsia="zh-CN" w:bidi="ar-SA"/>
              </w:rPr>
              <w:t>3-3</w:t>
            </w:r>
            <w:r>
              <w:rPr>
                <w:rFonts w:hint="eastAsia" w:ascii="Times New Roman" w:hAnsi="黑体" w:eastAsia="黑体" w:cs="Times New Roman"/>
                <w:color w:val="auto"/>
                <w:kern w:val="2"/>
                <w:sz w:val="24"/>
                <w:highlight w:val="none"/>
                <w:lang w:val="en-US" w:eastAsia="zh-CN" w:bidi="ar-SA"/>
              </w:rPr>
              <w:t xml:space="preserve"> </w:t>
            </w:r>
            <w:r>
              <w:rPr>
                <w:rFonts w:hint="eastAsia" w:hAnsi="黑体" w:eastAsia="黑体" w:cs="Times New Roman"/>
                <w:color w:val="auto"/>
                <w:kern w:val="2"/>
                <w:sz w:val="24"/>
                <w:highlight w:val="none"/>
                <w:lang w:val="en-US" w:eastAsia="zh-CN" w:bidi="ar-SA"/>
              </w:rPr>
              <w:t>本项目</w:t>
            </w:r>
            <w:r>
              <w:rPr>
                <w:rFonts w:hint="eastAsia" w:ascii="Times New Roman" w:hAnsi="黑体" w:eastAsia="黑体" w:cs="Times New Roman"/>
                <w:color w:val="auto"/>
                <w:kern w:val="2"/>
                <w:sz w:val="24"/>
                <w:highlight w:val="none"/>
                <w:lang w:val="en-US" w:eastAsia="zh-CN" w:bidi="ar-SA"/>
              </w:rPr>
              <w:t>主要环境保护目标</w:t>
            </w:r>
          </w:p>
          <w:tbl>
            <w:tblPr>
              <w:tblStyle w:val="21"/>
              <w:tblW w:w="81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20"/>
              <w:gridCol w:w="860"/>
              <w:gridCol w:w="871"/>
              <w:gridCol w:w="529"/>
              <w:gridCol w:w="814"/>
              <w:gridCol w:w="948"/>
              <w:gridCol w:w="2160"/>
            </w:tblGrid>
            <w:tr w14:paraId="673C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2" w:type="dxa"/>
                  <w:vMerge w:val="restart"/>
                  <w:tcBorders>
                    <w:tl2br w:val="nil"/>
                    <w:tr2bl w:val="nil"/>
                  </w:tcBorders>
                  <w:noWrap w:val="0"/>
                  <w:vAlign w:val="center"/>
                </w:tcPr>
                <w:p w14:paraId="6B67A03C">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环境</w:t>
                  </w:r>
                </w:p>
                <w:p w14:paraId="6776BE56">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eastAsia="宋体"/>
                      <w:b/>
                      <w:bCs/>
                      <w:color w:val="auto"/>
                      <w:szCs w:val="21"/>
                      <w:lang w:eastAsia="zh-CN"/>
                    </w:rPr>
                  </w:pPr>
                  <w:r>
                    <w:rPr>
                      <w:rFonts w:hint="eastAsia"/>
                      <w:b/>
                      <w:bCs/>
                      <w:color w:val="auto"/>
                      <w:szCs w:val="21"/>
                      <w:lang w:eastAsia="zh-CN"/>
                    </w:rPr>
                    <w:t>要素</w:t>
                  </w:r>
                </w:p>
              </w:tc>
              <w:tc>
                <w:tcPr>
                  <w:tcW w:w="1120" w:type="dxa"/>
                  <w:vMerge w:val="restart"/>
                  <w:tcBorders>
                    <w:tl2br w:val="nil"/>
                    <w:tr2bl w:val="nil"/>
                  </w:tcBorders>
                  <w:noWrap w:val="0"/>
                  <w:vAlign w:val="center"/>
                </w:tcPr>
                <w:p w14:paraId="1F038CD5">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环境保护</w:t>
                  </w:r>
                </w:p>
                <w:p w14:paraId="642EB7A2">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对象名称</w:t>
                  </w:r>
                </w:p>
              </w:tc>
              <w:tc>
                <w:tcPr>
                  <w:tcW w:w="1731" w:type="dxa"/>
                  <w:gridSpan w:val="2"/>
                  <w:tcBorders>
                    <w:tl2br w:val="nil"/>
                    <w:tr2bl w:val="nil"/>
                  </w:tcBorders>
                  <w:noWrap w:val="0"/>
                  <w:vAlign w:val="center"/>
                </w:tcPr>
                <w:p w14:paraId="1D8849CE">
                  <w:pPr>
                    <w:keepNext w:val="0"/>
                    <w:keepLines w:val="0"/>
                    <w:pageBreakBefore w:val="0"/>
                    <w:widowControl w:val="0"/>
                    <w:kinsoku/>
                    <w:overflowPunct/>
                    <w:topLinePunct w:val="0"/>
                    <w:autoSpaceDE/>
                    <w:autoSpaceDN/>
                    <w:bidi w:val="0"/>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rPr>
                    <w:t>坐标</w:t>
                  </w:r>
                </w:p>
              </w:tc>
              <w:tc>
                <w:tcPr>
                  <w:tcW w:w="529" w:type="dxa"/>
                  <w:vMerge w:val="restart"/>
                  <w:tcBorders>
                    <w:tl2br w:val="nil"/>
                    <w:tr2bl w:val="nil"/>
                  </w:tcBorders>
                  <w:noWrap w:val="0"/>
                  <w:vAlign w:val="center"/>
                </w:tcPr>
                <w:p w14:paraId="194FE729">
                  <w:pPr>
                    <w:keepNext w:val="0"/>
                    <w:keepLines w:val="0"/>
                    <w:pageBreakBefore w:val="0"/>
                    <w:widowControl w:val="0"/>
                    <w:kinsoku/>
                    <w:overflowPunct/>
                    <w:topLinePunct w:val="0"/>
                    <w:autoSpaceDE/>
                    <w:autoSpaceDN/>
                    <w:bidi w:val="0"/>
                    <w:spacing w:line="240" w:lineRule="auto"/>
                    <w:jc w:val="center"/>
                    <w:textAlignment w:val="auto"/>
                    <w:rPr>
                      <w:rFonts w:hint="eastAsia" w:eastAsia="宋体"/>
                      <w:b/>
                      <w:bCs/>
                      <w:color w:val="auto"/>
                      <w:szCs w:val="21"/>
                      <w:lang w:val="en-US" w:eastAsia="zh-CN"/>
                    </w:rPr>
                  </w:pPr>
                  <w:r>
                    <w:rPr>
                      <w:rFonts w:hint="eastAsia"/>
                      <w:b/>
                      <w:bCs/>
                      <w:color w:val="auto"/>
                      <w:szCs w:val="21"/>
                      <w:lang w:val="en-US" w:eastAsia="zh-CN"/>
                    </w:rPr>
                    <w:t>方位</w:t>
                  </w:r>
                </w:p>
              </w:tc>
              <w:tc>
                <w:tcPr>
                  <w:tcW w:w="814" w:type="dxa"/>
                  <w:vMerge w:val="restart"/>
                  <w:tcBorders>
                    <w:tl2br w:val="nil"/>
                    <w:tr2bl w:val="nil"/>
                  </w:tcBorders>
                  <w:noWrap w:val="0"/>
                  <w:vAlign w:val="center"/>
                </w:tcPr>
                <w:p w14:paraId="2C37EB2C">
                  <w:pPr>
                    <w:keepNext w:val="0"/>
                    <w:keepLines w:val="0"/>
                    <w:pageBreakBefore w:val="0"/>
                    <w:widowControl w:val="0"/>
                    <w:kinsoku/>
                    <w:overflowPunct/>
                    <w:topLinePunct w:val="0"/>
                    <w:autoSpaceDE/>
                    <w:autoSpaceDN/>
                    <w:bidi w:val="0"/>
                    <w:spacing w:line="240" w:lineRule="auto"/>
                    <w:jc w:val="center"/>
                    <w:textAlignment w:val="auto"/>
                    <w:rPr>
                      <w:b/>
                      <w:bCs/>
                      <w:color w:val="auto"/>
                      <w:szCs w:val="21"/>
                    </w:rPr>
                  </w:pPr>
                  <w:r>
                    <w:rPr>
                      <w:b/>
                      <w:bCs/>
                      <w:color w:val="auto"/>
                      <w:szCs w:val="21"/>
                    </w:rPr>
                    <w:t>距离</w:t>
                  </w:r>
                </w:p>
              </w:tc>
              <w:tc>
                <w:tcPr>
                  <w:tcW w:w="948" w:type="dxa"/>
                  <w:vMerge w:val="restart"/>
                  <w:tcBorders>
                    <w:tl2br w:val="nil"/>
                    <w:tr2bl w:val="nil"/>
                  </w:tcBorders>
                  <w:noWrap w:val="0"/>
                  <w:vAlign w:val="center"/>
                </w:tcPr>
                <w:p w14:paraId="6B9F0F6C">
                  <w:pPr>
                    <w:keepNext w:val="0"/>
                    <w:keepLines w:val="0"/>
                    <w:pageBreakBefore w:val="0"/>
                    <w:widowControl w:val="0"/>
                    <w:kinsoku/>
                    <w:overflowPunct/>
                    <w:topLinePunct w:val="0"/>
                    <w:autoSpaceDE/>
                    <w:autoSpaceDN/>
                    <w:bidi w:val="0"/>
                    <w:spacing w:line="240" w:lineRule="auto"/>
                    <w:jc w:val="center"/>
                    <w:textAlignment w:val="auto"/>
                    <w:rPr>
                      <w:b/>
                      <w:bCs/>
                      <w:color w:val="auto"/>
                      <w:szCs w:val="21"/>
                    </w:rPr>
                  </w:pPr>
                  <w:r>
                    <w:rPr>
                      <w:b/>
                      <w:bCs/>
                      <w:color w:val="auto"/>
                      <w:szCs w:val="21"/>
                    </w:rPr>
                    <w:t>规模</w:t>
                  </w:r>
                </w:p>
              </w:tc>
              <w:tc>
                <w:tcPr>
                  <w:tcW w:w="2160" w:type="dxa"/>
                  <w:vMerge w:val="restart"/>
                  <w:tcBorders>
                    <w:tl2br w:val="nil"/>
                    <w:tr2bl w:val="nil"/>
                  </w:tcBorders>
                  <w:noWrap w:val="0"/>
                  <w:vAlign w:val="center"/>
                </w:tcPr>
                <w:p w14:paraId="3D12FC4D">
                  <w:pPr>
                    <w:keepNext w:val="0"/>
                    <w:keepLines w:val="0"/>
                    <w:pageBreakBefore w:val="0"/>
                    <w:widowControl w:val="0"/>
                    <w:kinsoku/>
                    <w:overflowPunct/>
                    <w:topLinePunct w:val="0"/>
                    <w:autoSpaceDE/>
                    <w:autoSpaceDN/>
                    <w:bidi w:val="0"/>
                    <w:spacing w:line="240" w:lineRule="auto"/>
                    <w:jc w:val="center"/>
                    <w:textAlignment w:val="auto"/>
                    <w:rPr>
                      <w:b/>
                      <w:bCs/>
                      <w:color w:val="auto"/>
                      <w:szCs w:val="21"/>
                    </w:rPr>
                  </w:pPr>
                  <w:r>
                    <w:rPr>
                      <w:b/>
                      <w:bCs/>
                      <w:color w:val="auto"/>
                      <w:szCs w:val="21"/>
                    </w:rPr>
                    <w:t>保护级别</w:t>
                  </w:r>
                </w:p>
              </w:tc>
            </w:tr>
            <w:tr w14:paraId="3774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2" w:type="dxa"/>
                  <w:vMerge w:val="continue"/>
                  <w:tcBorders>
                    <w:tl2br w:val="nil"/>
                    <w:tr2bl w:val="nil"/>
                  </w:tcBorders>
                  <w:noWrap w:val="0"/>
                  <w:vAlign w:val="center"/>
                </w:tcPr>
                <w:p w14:paraId="471A3EF8">
                  <w:pPr>
                    <w:keepNext w:val="0"/>
                    <w:keepLines w:val="0"/>
                    <w:pageBreakBefore w:val="0"/>
                    <w:widowControl w:val="0"/>
                    <w:kinsoku/>
                    <w:overflowPunct/>
                    <w:topLinePunct w:val="0"/>
                    <w:autoSpaceDE/>
                    <w:autoSpaceDN/>
                    <w:bidi w:val="0"/>
                    <w:spacing w:line="240" w:lineRule="auto"/>
                    <w:jc w:val="center"/>
                    <w:textAlignment w:val="auto"/>
                  </w:pPr>
                </w:p>
              </w:tc>
              <w:tc>
                <w:tcPr>
                  <w:tcW w:w="1120" w:type="dxa"/>
                  <w:vMerge w:val="continue"/>
                  <w:tcBorders>
                    <w:tl2br w:val="nil"/>
                    <w:tr2bl w:val="nil"/>
                  </w:tcBorders>
                  <w:noWrap w:val="0"/>
                  <w:vAlign w:val="center"/>
                </w:tcPr>
                <w:p w14:paraId="638789CE">
                  <w:pPr>
                    <w:keepNext w:val="0"/>
                    <w:keepLines w:val="0"/>
                    <w:pageBreakBefore w:val="0"/>
                    <w:widowControl w:val="0"/>
                    <w:kinsoku/>
                    <w:overflowPunct/>
                    <w:topLinePunct w:val="0"/>
                    <w:autoSpaceDE/>
                    <w:autoSpaceDN/>
                    <w:bidi w:val="0"/>
                    <w:spacing w:line="240" w:lineRule="auto"/>
                    <w:jc w:val="center"/>
                    <w:textAlignment w:val="auto"/>
                  </w:pPr>
                </w:p>
              </w:tc>
              <w:tc>
                <w:tcPr>
                  <w:tcW w:w="860" w:type="dxa"/>
                  <w:tcBorders>
                    <w:tl2br w:val="nil"/>
                    <w:tr2bl w:val="nil"/>
                  </w:tcBorders>
                  <w:noWrap w:val="0"/>
                  <w:vAlign w:val="center"/>
                </w:tcPr>
                <w:p w14:paraId="4103B8A8">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宋体" w:cs="Times New Roman"/>
                      <w:b w:val="0"/>
                      <w:bCs/>
                      <w:kern w:val="2"/>
                      <w:sz w:val="21"/>
                      <w:lang w:val="en-US" w:eastAsia="zh-CN" w:bidi="ar-SA"/>
                    </w:rPr>
                  </w:pPr>
                  <w:r>
                    <w:rPr>
                      <w:rFonts w:hint="eastAsia"/>
                      <w:b w:val="0"/>
                      <w:bCs/>
                      <w:color w:val="auto"/>
                      <w:sz w:val="21"/>
                      <w:szCs w:val="21"/>
                    </w:rPr>
                    <w:t>E</w:t>
                  </w:r>
                </w:p>
              </w:tc>
              <w:tc>
                <w:tcPr>
                  <w:tcW w:w="871" w:type="dxa"/>
                  <w:tcBorders>
                    <w:tl2br w:val="nil"/>
                    <w:tr2bl w:val="nil"/>
                  </w:tcBorders>
                  <w:noWrap w:val="0"/>
                  <w:vAlign w:val="center"/>
                </w:tcPr>
                <w:p w14:paraId="0A62303F">
                  <w:pPr>
                    <w:keepNext w:val="0"/>
                    <w:keepLines w:val="0"/>
                    <w:pageBreakBefore w:val="0"/>
                    <w:widowControl w:val="0"/>
                    <w:kinsoku/>
                    <w:overflowPunct/>
                    <w:topLinePunct w:val="0"/>
                    <w:autoSpaceDE/>
                    <w:autoSpaceDN/>
                    <w:bidi w:val="0"/>
                    <w:spacing w:line="240" w:lineRule="auto"/>
                    <w:jc w:val="center"/>
                    <w:textAlignment w:val="auto"/>
                    <w:rPr>
                      <w:rFonts w:ascii="Times New Roman" w:hAnsi="Times New Roman" w:eastAsia="宋体" w:cs="Times New Roman"/>
                      <w:b w:val="0"/>
                      <w:bCs/>
                      <w:kern w:val="2"/>
                      <w:sz w:val="21"/>
                      <w:lang w:val="en-US" w:eastAsia="zh-CN" w:bidi="ar-SA"/>
                    </w:rPr>
                  </w:pPr>
                  <w:r>
                    <w:rPr>
                      <w:rFonts w:hint="eastAsia"/>
                      <w:b w:val="0"/>
                      <w:bCs/>
                      <w:color w:val="auto"/>
                      <w:sz w:val="21"/>
                      <w:szCs w:val="21"/>
                    </w:rPr>
                    <w:t>N</w:t>
                  </w:r>
                </w:p>
              </w:tc>
              <w:tc>
                <w:tcPr>
                  <w:tcW w:w="529" w:type="dxa"/>
                  <w:vMerge w:val="continue"/>
                  <w:tcBorders>
                    <w:tl2br w:val="nil"/>
                    <w:tr2bl w:val="nil"/>
                  </w:tcBorders>
                  <w:noWrap w:val="0"/>
                  <w:vAlign w:val="center"/>
                </w:tcPr>
                <w:p w14:paraId="4C706F90">
                  <w:pPr>
                    <w:keepNext w:val="0"/>
                    <w:keepLines w:val="0"/>
                    <w:pageBreakBefore w:val="0"/>
                    <w:widowControl w:val="0"/>
                    <w:kinsoku/>
                    <w:overflowPunct/>
                    <w:topLinePunct w:val="0"/>
                    <w:autoSpaceDE/>
                    <w:autoSpaceDN/>
                    <w:bidi w:val="0"/>
                    <w:spacing w:line="240" w:lineRule="auto"/>
                    <w:jc w:val="center"/>
                    <w:textAlignment w:val="auto"/>
                  </w:pPr>
                </w:p>
              </w:tc>
              <w:tc>
                <w:tcPr>
                  <w:tcW w:w="814" w:type="dxa"/>
                  <w:vMerge w:val="continue"/>
                  <w:tcBorders>
                    <w:tl2br w:val="nil"/>
                    <w:tr2bl w:val="nil"/>
                  </w:tcBorders>
                  <w:noWrap w:val="0"/>
                  <w:vAlign w:val="center"/>
                </w:tcPr>
                <w:p w14:paraId="343F4759">
                  <w:pPr>
                    <w:keepNext w:val="0"/>
                    <w:keepLines w:val="0"/>
                    <w:pageBreakBefore w:val="0"/>
                    <w:widowControl w:val="0"/>
                    <w:kinsoku/>
                    <w:overflowPunct/>
                    <w:topLinePunct w:val="0"/>
                    <w:autoSpaceDE/>
                    <w:autoSpaceDN/>
                    <w:bidi w:val="0"/>
                    <w:spacing w:line="240" w:lineRule="auto"/>
                    <w:jc w:val="center"/>
                    <w:textAlignment w:val="auto"/>
                  </w:pPr>
                </w:p>
              </w:tc>
              <w:tc>
                <w:tcPr>
                  <w:tcW w:w="948" w:type="dxa"/>
                  <w:vMerge w:val="continue"/>
                  <w:tcBorders>
                    <w:tl2br w:val="nil"/>
                    <w:tr2bl w:val="nil"/>
                  </w:tcBorders>
                  <w:noWrap w:val="0"/>
                  <w:vAlign w:val="center"/>
                </w:tcPr>
                <w:p w14:paraId="2B3374CE">
                  <w:pPr>
                    <w:keepNext w:val="0"/>
                    <w:keepLines w:val="0"/>
                    <w:pageBreakBefore w:val="0"/>
                    <w:widowControl w:val="0"/>
                    <w:kinsoku/>
                    <w:overflowPunct/>
                    <w:topLinePunct w:val="0"/>
                    <w:autoSpaceDE/>
                    <w:autoSpaceDN/>
                    <w:bidi w:val="0"/>
                    <w:spacing w:line="240" w:lineRule="auto"/>
                    <w:jc w:val="center"/>
                    <w:textAlignment w:val="auto"/>
                  </w:pPr>
                </w:p>
              </w:tc>
              <w:tc>
                <w:tcPr>
                  <w:tcW w:w="2160" w:type="dxa"/>
                  <w:vMerge w:val="continue"/>
                  <w:tcBorders>
                    <w:tl2br w:val="nil"/>
                    <w:tr2bl w:val="nil"/>
                  </w:tcBorders>
                  <w:noWrap w:val="0"/>
                  <w:vAlign w:val="center"/>
                </w:tcPr>
                <w:p w14:paraId="16FD47AD">
                  <w:pPr>
                    <w:keepNext w:val="0"/>
                    <w:keepLines w:val="0"/>
                    <w:pageBreakBefore w:val="0"/>
                    <w:widowControl w:val="0"/>
                    <w:kinsoku/>
                    <w:overflowPunct/>
                    <w:topLinePunct w:val="0"/>
                    <w:autoSpaceDE/>
                    <w:autoSpaceDN/>
                    <w:bidi w:val="0"/>
                    <w:spacing w:line="240" w:lineRule="auto"/>
                    <w:jc w:val="center"/>
                    <w:textAlignment w:val="auto"/>
                  </w:pPr>
                </w:p>
              </w:tc>
            </w:tr>
            <w:tr w14:paraId="7907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62" w:type="dxa"/>
                  <w:vMerge w:val="restart"/>
                  <w:tcBorders>
                    <w:tl2br w:val="nil"/>
                    <w:tr2bl w:val="nil"/>
                  </w:tcBorders>
                  <w:noWrap w:val="0"/>
                  <w:vAlign w:val="center"/>
                </w:tcPr>
                <w:p w14:paraId="3A1C90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环境</w:t>
                  </w:r>
                </w:p>
                <w:p w14:paraId="3A2D6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空气</w:t>
                  </w:r>
                </w:p>
              </w:tc>
              <w:tc>
                <w:tcPr>
                  <w:tcW w:w="1120" w:type="dxa"/>
                  <w:tcBorders>
                    <w:tl2br w:val="nil"/>
                    <w:tr2bl w:val="nil"/>
                  </w:tcBorders>
                  <w:noWrap w:val="0"/>
                  <w:vAlign w:val="center"/>
                </w:tcPr>
                <w:p w14:paraId="2127E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霍姚村</w:t>
                  </w:r>
                </w:p>
              </w:tc>
              <w:tc>
                <w:tcPr>
                  <w:tcW w:w="860" w:type="dxa"/>
                  <w:tcBorders>
                    <w:tl2br w:val="nil"/>
                    <w:tr2bl w:val="nil"/>
                  </w:tcBorders>
                  <w:shd w:val="clear" w:color="auto" w:fill="auto"/>
                  <w:noWrap w:val="0"/>
                  <w:vAlign w:val="center"/>
                </w:tcPr>
                <w:p w14:paraId="724A5B0F">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113.</w:t>
                  </w:r>
                  <w:r>
                    <w:rPr>
                      <w:rFonts w:hint="eastAsia" w:ascii="Times New Roman" w:hAnsi="Times New Roman" w:cs="Times New Roman"/>
                      <w:color w:val="auto"/>
                      <w:sz w:val="21"/>
                      <w:szCs w:val="21"/>
                      <w:highlight w:val="none"/>
                      <w:u w:val="none"/>
                      <w:lang w:val="en-US" w:eastAsia="zh-CN"/>
                    </w:rPr>
                    <w:t>513262</w:t>
                  </w:r>
                </w:p>
              </w:tc>
              <w:tc>
                <w:tcPr>
                  <w:tcW w:w="871" w:type="dxa"/>
                  <w:tcBorders>
                    <w:tl2br w:val="nil"/>
                    <w:tr2bl w:val="nil"/>
                  </w:tcBorders>
                  <w:shd w:val="clear" w:color="auto" w:fill="auto"/>
                  <w:noWrap w:val="0"/>
                  <w:vAlign w:val="center"/>
                </w:tcPr>
                <w:p w14:paraId="2183E440">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33.</w:t>
                  </w:r>
                  <w:r>
                    <w:rPr>
                      <w:rFonts w:hint="eastAsia" w:ascii="Times New Roman" w:hAnsi="Times New Roman" w:cs="Times New Roman"/>
                      <w:color w:val="auto"/>
                      <w:sz w:val="21"/>
                      <w:szCs w:val="21"/>
                      <w:highlight w:val="none"/>
                      <w:u w:val="none"/>
                      <w:lang w:val="en-US" w:eastAsia="zh-CN"/>
                    </w:rPr>
                    <w:t>6154280</w:t>
                  </w:r>
                </w:p>
              </w:tc>
              <w:tc>
                <w:tcPr>
                  <w:tcW w:w="529" w:type="dxa"/>
                  <w:tcBorders>
                    <w:tl2br w:val="nil"/>
                    <w:tr2bl w:val="nil"/>
                  </w:tcBorders>
                  <w:shd w:val="clear" w:color="auto" w:fill="auto"/>
                  <w:noWrap w:val="0"/>
                  <w:vAlign w:val="center"/>
                </w:tcPr>
                <w:p w14:paraId="7A6D38A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w:t>
                  </w:r>
                </w:p>
              </w:tc>
              <w:tc>
                <w:tcPr>
                  <w:tcW w:w="814" w:type="dxa"/>
                  <w:tcBorders>
                    <w:tl2br w:val="nil"/>
                    <w:tr2bl w:val="nil"/>
                  </w:tcBorders>
                  <w:shd w:val="clear" w:color="auto" w:fill="auto"/>
                  <w:noWrap w:val="0"/>
                  <w:vAlign w:val="center"/>
                </w:tcPr>
                <w:p w14:paraId="2D1FC79A">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386</w:t>
                  </w:r>
                  <w:r>
                    <w:rPr>
                      <w:color w:val="auto"/>
                      <w:szCs w:val="21"/>
                    </w:rPr>
                    <w:t>m</w:t>
                  </w:r>
                </w:p>
              </w:tc>
              <w:tc>
                <w:tcPr>
                  <w:tcW w:w="948" w:type="dxa"/>
                  <w:tcBorders>
                    <w:tl2br w:val="nil"/>
                    <w:tr2bl w:val="nil"/>
                  </w:tcBorders>
                  <w:shd w:val="clear" w:color="auto" w:fill="auto"/>
                  <w:noWrap w:val="0"/>
                  <w:vAlign w:val="center"/>
                </w:tcPr>
                <w:p w14:paraId="12EDA12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1146人</w:t>
                  </w:r>
                </w:p>
              </w:tc>
              <w:tc>
                <w:tcPr>
                  <w:tcW w:w="2160" w:type="dxa"/>
                  <w:vMerge w:val="restart"/>
                  <w:tcBorders>
                    <w:tl2br w:val="nil"/>
                    <w:tr2bl w:val="nil"/>
                  </w:tcBorders>
                  <w:noWrap w:val="0"/>
                  <w:vAlign w:val="center"/>
                </w:tcPr>
                <w:p w14:paraId="7016CD60">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color w:val="auto"/>
                      <w:szCs w:val="21"/>
                    </w:rPr>
                    <w:t>《环境空气质量标准》（GB3095-2012）二级</w:t>
                  </w:r>
                  <w:r>
                    <w:rPr>
                      <w:rFonts w:hint="eastAsia"/>
                      <w:color w:val="auto"/>
                      <w:szCs w:val="21"/>
                      <w:lang w:val="en-US" w:eastAsia="zh-CN"/>
                    </w:rPr>
                    <w:t>标准</w:t>
                  </w:r>
                </w:p>
              </w:tc>
            </w:tr>
            <w:tr w14:paraId="0C54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62" w:type="dxa"/>
                  <w:vMerge w:val="continue"/>
                  <w:tcBorders>
                    <w:tl2br w:val="nil"/>
                    <w:tr2bl w:val="nil"/>
                  </w:tcBorders>
                  <w:noWrap w:val="0"/>
                  <w:vAlign w:val="center"/>
                </w:tcPr>
                <w:p w14:paraId="24B603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120" w:type="dxa"/>
                  <w:tcBorders>
                    <w:tl2br w:val="nil"/>
                    <w:tr2bl w:val="nil"/>
                  </w:tcBorders>
                  <w:shd w:val="clear" w:color="auto" w:fill="auto"/>
                  <w:noWrap w:val="0"/>
                  <w:vAlign w:val="center"/>
                </w:tcPr>
                <w:p w14:paraId="61E8E7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王博儒村</w:t>
                  </w:r>
                </w:p>
              </w:tc>
              <w:tc>
                <w:tcPr>
                  <w:tcW w:w="860" w:type="dxa"/>
                  <w:tcBorders>
                    <w:tl2br w:val="nil"/>
                    <w:tr2bl w:val="nil"/>
                  </w:tcBorders>
                  <w:shd w:val="clear" w:color="auto" w:fill="auto"/>
                  <w:noWrap w:val="0"/>
                  <w:vAlign w:val="center"/>
                </w:tcPr>
                <w:p w14:paraId="5633D3F1">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113.</w:t>
                  </w:r>
                  <w:r>
                    <w:rPr>
                      <w:rFonts w:hint="eastAsia" w:cs="Times New Roman"/>
                      <w:color w:val="auto"/>
                      <w:sz w:val="21"/>
                      <w:szCs w:val="21"/>
                      <w:highlight w:val="none"/>
                      <w:u w:val="none"/>
                      <w:lang w:val="en-US" w:eastAsia="zh-CN"/>
                    </w:rPr>
                    <w:t>501106</w:t>
                  </w:r>
                </w:p>
              </w:tc>
              <w:tc>
                <w:tcPr>
                  <w:tcW w:w="871" w:type="dxa"/>
                  <w:tcBorders>
                    <w:tl2br w:val="nil"/>
                    <w:tr2bl w:val="nil"/>
                  </w:tcBorders>
                  <w:shd w:val="clear" w:color="auto" w:fill="auto"/>
                  <w:noWrap w:val="0"/>
                  <w:vAlign w:val="center"/>
                </w:tcPr>
                <w:p w14:paraId="2F29300A">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33.</w:t>
                  </w:r>
                  <w:r>
                    <w:rPr>
                      <w:rFonts w:hint="eastAsia" w:cs="Times New Roman"/>
                      <w:color w:val="auto"/>
                      <w:sz w:val="21"/>
                      <w:szCs w:val="21"/>
                      <w:highlight w:val="none"/>
                      <w:u w:val="none"/>
                      <w:lang w:val="en-US" w:eastAsia="zh-CN"/>
                    </w:rPr>
                    <w:t>6085243</w:t>
                  </w:r>
                </w:p>
              </w:tc>
              <w:tc>
                <w:tcPr>
                  <w:tcW w:w="529" w:type="dxa"/>
                  <w:tcBorders>
                    <w:tl2br w:val="nil"/>
                    <w:tr2bl w:val="nil"/>
                  </w:tcBorders>
                  <w:shd w:val="clear" w:color="auto" w:fill="auto"/>
                  <w:noWrap w:val="0"/>
                  <w:vAlign w:val="center"/>
                </w:tcPr>
                <w:p w14:paraId="7C7BE480">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南</w:t>
                  </w:r>
                </w:p>
              </w:tc>
              <w:tc>
                <w:tcPr>
                  <w:tcW w:w="814" w:type="dxa"/>
                  <w:tcBorders>
                    <w:tl2br w:val="nil"/>
                    <w:tr2bl w:val="nil"/>
                  </w:tcBorders>
                  <w:shd w:val="clear" w:color="auto" w:fill="auto"/>
                  <w:noWrap w:val="0"/>
                  <w:vAlign w:val="center"/>
                </w:tcPr>
                <w:p w14:paraId="6272232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395</w:t>
                  </w:r>
                  <w:r>
                    <w:rPr>
                      <w:color w:val="auto"/>
                      <w:szCs w:val="21"/>
                      <w:highlight w:val="none"/>
                    </w:rPr>
                    <w:t>m</w:t>
                  </w:r>
                </w:p>
              </w:tc>
              <w:tc>
                <w:tcPr>
                  <w:tcW w:w="948" w:type="dxa"/>
                  <w:tcBorders>
                    <w:tl2br w:val="nil"/>
                    <w:tr2bl w:val="nil"/>
                  </w:tcBorders>
                  <w:shd w:val="clear" w:color="auto" w:fill="auto"/>
                  <w:noWrap w:val="0"/>
                  <w:vAlign w:val="center"/>
                </w:tcPr>
                <w:p w14:paraId="1B23DC6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900人</w:t>
                  </w:r>
                </w:p>
              </w:tc>
              <w:tc>
                <w:tcPr>
                  <w:tcW w:w="2160" w:type="dxa"/>
                  <w:vMerge w:val="continue"/>
                  <w:tcBorders>
                    <w:tl2br w:val="nil"/>
                    <w:tr2bl w:val="nil"/>
                  </w:tcBorders>
                  <w:noWrap w:val="0"/>
                  <w:vAlign w:val="center"/>
                </w:tcPr>
                <w:p w14:paraId="155BBC8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rPr>
                  </w:pPr>
                </w:p>
              </w:tc>
            </w:tr>
            <w:tr w14:paraId="6CB9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62" w:type="dxa"/>
                  <w:tcBorders>
                    <w:tl2br w:val="nil"/>
                    <w:tr2bl w:val="nil"/>
                  </w:tcBorders>
                  <w:noWrap w:val="0"/>
                  <w:vAlign w:val="center"/>
                </w:tcPr>
                <w:p w14:paraId="6CCBA8FA">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噪声</w:t>
                  </w:r>
                </w:p>
              </w:tc>
              <w:tc>
                <w:tcPr>
                  <w:tcW w:w="5142" w:type="dxa"/>
                  <w:gridSpan w:val="6"/>
                  <w:tcBorders>
                    <w:tl2br w:val="nil"/>
                    <w:tr2bl w:val="nil"/>
                  </w:tcBorders>
                  <w:noWrap w:val="0"/>
                  <w:vAlign w:val="center"/>
                </w:tcPr>
                <w:p w14:paraId="0011E06C">
                  <w:pPr>
                    <w:keepNext w:val="0"/>
                    <w:keepLines w:val="0"/>
                    <w:pageBreakBefore w:val="0"/>
                    <w:widowControl w:val="0"/>
                    <w:kinsoku/>
                    <w:overflowPunct/>
                    <w:topLinePunct w:val="0"/>
                    <w:autoSpaceDE/>
                    <w:autoSpaceDN/>
                    <w:bidi w:val="0"/>
                    <w:spacing w:line="240" w:lineRule="auto"/>
                    <w:jc w:val="center"/>
                    <w:textAlignment w:val="auto"/>
                    <w:rPr>
                      <w:rFonts w:hint="default" w:eastAsia="宋体"/>
                      <w:color w:val="auto"/>
                      <w:szCs w:val="21"/>
                      <w:lang w:val="en-US" w:eastAsia="zh-CN"/>
                    </w:rPr>
                  </w:pPr>
                  <w:r>
                    <w:rPr>
                      <w:rFonts w:hint="eastAsia"/>
                      <w:color w:val="000000"/>
                      <w:sz w:val="21"/>
                      <w:szCs w:val="21"/>
                      <w:lang w:val="en-US" w:eastAsia="zh-CN"/>
                    </w:rPr>
                    <w:t>项目厂</w:t>
                  </w:r>
                  <w:r>
                    <w:rPr>
                      <w:rFonts w:hint="eastAsia"/>
                      <w:color w:val="000000"/>
                      <w:sz w:val="21"/>
                      <w:szCs w:val="21"/>
                      <w:highlight w:val="none"/>
                      <w:lang w:val="en-US" w:eastAsia="zh-CN"/>
                    </w:rPr>
                    <w:t>界外50m</w:t>
                  </w:r>
                  <w:r>
                    <w:rPr>
                      <w:rFonts w:hint="eastAsia"/>
                      <w:color w:val="000000"/>
                      <w:sz w:val="21"/>
                      <w:szCs w:val="21"/>
                      <w:lang w:val="en-US" w:eastAsia="zh-CN"/>
                    </w:rPr>
                    <w:t>范围</w:t>
                  </w:r>
                  <w:r>
                    <w:rPr>
                      <w:rFonts w:hint="eastAsia"/>
                      <w:color w:val="auto"/>
                      <w:sz w:val="21"/>
                      <w:szCs w:val="21"/>
                      <w:lang w:val="en-US" w:eastAsia="zh-CN"/>
                    </w:rPr>
                    <w:t>内无敏感点</w:t>
                  </w:r>
                </w:p>
              </w:tc>
              <w:tc>
                <w:tcPr>
                  <w:tcW w:w="2160" w:type="dxa"/>
                  <w:tcBorders>
                    <w:tl2br w:val="nil"/>
                    <w:tr2bl w:val="nil"/>
                  </w:tcBorders>
                  <w:noWrap w:val="0"/>
                  <w:vAlign w:val="center"/>
                </w:tcPr>
                <w:p w14:paraId="5177AEEB">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rPr>
                  </w:pPr>
                  <w:r>
                    <w:rPr>
                      <w:rFonts w:hint="eastAsia"/>
                      <w:color w:val="auto"/>
                      <w:szCs w:val="21"/>
                      <w:lang w:eastAsia="zh-CN"/>
                    </w:rPr>
                    <w:t>《</w:t>
                  </w:r>
                  <w:r>
                    <w:rPr>
                      <w:color w:val="auto"/>
                      <w:szCs w:val="21"/>
                    </w:rPr>
                    <w:t>声环境质量标准》（GB3096-2008）</w:t>
                  </w:r>
                  <w:r>
                    <w:rPr>
                      <w:rFonts w:hint="eastAsia"/>
                      <w:color w:val="auto"/>
                      <w:szCs w:val="21"/>
                      <w:lang w:val="en-US" w:eastAsia="zh-CN"/>
                    </w:rPr>
                    <w:t>2</w:t>
                  </w:r>
                  <w:r>
                    <w:rPr>
                      <w:color w:val="auto"/>
                      <w:szCs w:val="21"/>
                    </w:rPr>
                    <w:t>类</w:t>
                  </w:r>
                </w:p>
              </w:tc>
            </w:tr>
            <w:tr w14:paraId="5017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62" w:type="dxa"/>
                  <w:tcBorders>
                    <w:tl2br w:val="nil"/>
                    <w:tr2bl w:val="nil"/>
                  </w:tcBorders>
                  <w:noWrap w:val="0"/>
                  <w:vAlign w:val="center"/>
                </w:tcPr>
                <w:p w14:paraId="0994E2F3">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地表水环境</w:t>
                  </w:r>
                </w:p>
              </w:tc>
              <w:tc>
                <w:tcPr>
                  <w:tcW w:w="1120" w:type="dxa"/>
                  <w:tcBorders>
                    <w:tl2br w:val="nil"/>
                    <w:tr2bl w:val="nil"/>
                  </w:tcBorders>
                  <w:noWrap w:val="0"/>
                  <w:vAlign w:val="center"/>
                </w:tcPr>
                <w:p w14:paraId="0A19FB73">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color w:val="auto"/>
                      <w:szCs w:val="21"/>
                      <w:u w:val="none"/>
                      <w:lang w:val="en-US" w:eastAsia="zh-CN"/>
                    </w:rPr>
                  </w:pPr>
                  <w:r>
                    <w:rPr>
                      <w:rFonts w:hint="eastAsia"/>
                      <w:color w:val="auto"/>
                      <w:szCs w:val="21"/>
                      <w:u w:val="none"/>
                      <w:lang w:val="en-US" w:eastAsia="zh-CN"/>
                    </w:rPr>
                    <w:t>灰河</w:t>
                  </w:r>
                </w:p>
              </w:tc>
              <w:tc>
                <w:tcPr>
                  <w:tcW w:w="860" w:type="dxa"/>
                  <w:tcBorders>
                    <w:tl2br w:val="nil"/>
                    <w:tr2bl w:val="nil"/>
                  </w:tcBorders>
                  <w:noWrap w:val="0"/>
                  <w:vAlign w:val="center"/>
                </w:tcPr>
                <w:p w14:paraId="223BD547">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eastAsia="宋体" w:cs="Times New Roman"/>
                      <w:color w:val="auto"/>
                      <w:kern w:val="2"/>
                      <w:sz w:val="21"/>
                      <w:szCs w:val="21"/>
                      <w:u w:val="none"/>
                      <w:lang w:val="en-US" w:eastAsia="zh-CN" w:bidi="ar-SA"/>
                    </w:rPr>
                    <w:t>/</w:t>
                  </w:r>
                </w:p>
              </w:tc>
              <w:tc>
                <w:tcPr>
                  <w:tcW w:w="871" w:type="dxa"/>
                  <w:tcBorders>
                    <w:tl2br w:val="nil"/>
                    <w:tr2bl w:val="nil"/>
                  </w:tcBorders>
                  <w:noWrap w:val="0"/>
                  <w:vAlign w:val="center"/>
                </w:tcPr>
                <w:p w14:paraId="4B18895F">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eastAsia="宋体" w:cs="Times New Roman"/>
                      <w:color w:val="auto"/>
                      <w:kern w:val="2"/>
                      <w:sz w:val="21"/>
                      <w:szCs w:val="21"/>
                      <w:u w:val="none"/>
                      <w:lang w:val="en-US" w:eastAsia="zh-CN" w:bidi="ar-SA"/>
                    </w:rPr>
                    <w:t>/</w:t>
                  </w:r>
                </w:p>
              </w:tc>
              <w:tc>
                <w:tcPr>
                  <w:tcW w:w="529" w:type="dxa"/>
                  <w:tcBorders>
                    <w:tl2br w:val="nil"/>
                    <w:tr2bl w:val="nil"/>
                  </w:tcBorders>
                  <w:noWrap w:val="0"/>
                  <w:vAlign w:val="center"/>
                </w:tcPr>
                <w:p w14:paraId="475F3919">
                  <w:pPr>
                    <w:keepNext w:val="0"/>
                    <w:keepLines w:val="0"/>
                    <w:pageBreakBefore w:val="0"/>
                    <w:widowControl w:val="0"/>
                    <w:kinsoku/>
                    <w:overflowPunct/>
                    <w:topLinePunct w:val="0"/>
                    <w:autoSpaceDE/>
                    <w:autoSpaceDN/>
                    <w:bidi w:val="0"/>
                    <w:spacing w:line="240" w:lineRule="auto"/>
                    <w:jc w:val="center"/>
                    <w:textAlignment w:val="auto"/>
                    <w:rPr>
                      <w:rFonts w:hint="default"/>
                      <w:color w:val="auto"/>
                      <w:szCs w:val="21"/>
                      <w:u w:val="none"/>
                      <w:lang w:val="en-US" w:eastAsia="zh-CN"/>
                    </w:rPr>
                  </w:pPr>
                  <w:r>
                    <w:rPr>
                      <w:rFonts w:hint="eastAsia"/>
                      <w:color w:val="auto"/>
                      <w:szCs w:val="21"/>
                      <w:u w:val="none"/>
                      <w:lang w:val="en-US" w:eastAsia="zh-CN"/>
                    </w:rPr>
                    <w:t>西北</w:t>
                  </w:r>
                </w:p>
              </w:tc>
              <w:tc>
                <w:tcPr>
                  <w:tcW w:w="814" w:type="dxa"/>
                  <w:tcBorders>
                    <w:tl2br w:val="nil"/>
                    <w:tr2bl w:val="nil"/>
                  </w:tcBorders>
                  <w:noWrap w:val="0"/>
                  <w:vAlign w:val="center"/>
                </w:tcPr>
                <w:p w14:paraId="12431AB8">
                  <w:pPr>
                    <w:keepNext w:val="0"/>
                    <w:keepLines w:val="0"/>
                    <w:pageBreakBefore w:val="0"/>
                    <w:widowControl w:val="0"/>
                    <w:kinsoku/>
                    <w:overflowPunct/>
                    <w:topLinePunct w:val="0"/>
                    <w:autoSpaceDE/>
                    <w:autoSpaceDN/>
                    <w:bidi w:val="0"/>
                    <w:spacing w:line="240" w:lineRule="auto"/>
                    <w:jc w:val="center"/>
                    <w:textAlignment w:val="auto"/>
                    <w:rPr>
                      <w:rFonts w:hint="default" w:eastAsia="宋体"/>
                      <w:color w:val="auto"/>
                      <w:szCs w:val="21"/>
                      <w:u w:val="none"/>
                      <w:lang w:val="en-US" w:eastAsia="zh-CN"/>
                    </w:rPr>
                  </w:pPr>
                  <w:r>
                    <w:rPr>
                      <w:rFonts w:hint="eastAsia"/>
                      <w:color w:val="auto"/>
                      <w:szCs w:val="21"/>
                      <w:highlight w:val="none"/>
                      <w:u w:val="none"/>
                      <w:lang w:val="en-US" w:eastAsia="zh-CN"/>
                    </w:rPr>
                    <w:t>738m</w:t>
                  </w:r>
                </w:p>
              </w:tc>
              <w:tc>
                <w:tcPr>
                  <w:tcW w:w="948" w:type="dxa"/>
                  <w:tcBorders>
                    <w:tl2br w:val="nil"/>
                    <w:tr2bl w:val="nil"/>
                  </w:tcBorders>
                  <w:noWrap w:val="0"/>
                  <w:vAlign w:val="center"/>
                </w:tcPr>
                <w:p w14:paraId="2A886FCE">
                  <w:pPr>
                    <w:keepNext w:val="0"/>
                    <w:keepLines w:val="0"/>
                    <w:pageBreakBefore w:val="0"/>
                    <w:widowControl w:val="0"/>
                    <w:kinsoku/>
                    <w:overflowPunct/>
                    <w:topLinePunct w:val="0"/>
                    <w:autoSpaceDE/>
                    <w:autoSpaceDN/>
                    <w:bidi w:val="0"/>
                    <w:spacing w:line="240" w:lineRule="auto"/>
                    <w:jc w:val="center"/>
                    <w:textAlignment w:val="auto"/>
                    <w:rPr>
                      <w:color w:val="auto"/>
                      <w:szCs w:val="21"/>
                      <w:u w:val="none"/>
                    </w:rPr>
                  </w:pPr>
                  <w:r>
                    <w:rPr>
                      <w:color w:val="auto"/>
                      <w:szCs w:val="21"/>
                      <w:u w:val="none"/>
                    </w:rPr>
                    <w:t>/</w:t>
                  </w:r>
                </w:p>
              </w:tc>
              <w:tc>
                <w:tcPr>
                  <w:tcW w:w="2160" w:type="dxa"/>
                  <w:tcBorders>
                    <w:tl2br w:val="nil"/>
                    <w:tr2bl w:val="nil"/>
                  </w:tcBorders>
                  <w:noWrap w:val="0"/>
                  <w:vAlign w:val="center"/>
                </w:tcPr>
                <w:p w14:paraId="6C9A544B">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u w:val="none"/>
                    </w:rPr>
                  </w:pPr>
                  <w:r>
                    <w:rPr>
                      <w:color w:val="auto"/>
                      <w:sz w:val="21"/>
                      <w:szCs w:val="21"/>
                      <w:u w:val="none"/>
                    </w:rPr>
                    <w:t>《地表水环境质量标准》(GB3838-2002)</w:t>
                  </w:r>
                  <w:r>
                    <w:rPr>
                      <w:rFonts w:hint="eastAsia"/>
                      <w:sz w:val="21"/>
                      <w:szCs w:val="21"/>
                    </w:rPr>
                    <w:t>IV</w:t>
                  </w:r>
                  <w:r>
                    <w:rPr>
                      <w:sz w:val="21"/>
                      <w:szCs w:val="21"/>
                    </w:rPr>
                    <w:t>类标准</w:t>
                  </w:r>
                  <w:r>
                    <w:rPr>
                      <w:color w:val="auto"/>
                      <w:sz w:val="21"/>
                      <w:szCs w:val="21"/>
                      <w:u w:val="none"/>
                    </w:rPr>
                    <w:t>类</w:t>
                  </w:r>
                </w:p>
              </w:tc>
            </w:tr>
            <w:tr w14:paraId="0706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862" w:type="dxa"/>
                  <w:tcBorders>
                    <w:tl2br w:val="nil"/>
                    <w:tr2bl w:val="nil"/>
                  </w:tcBorders>
                  <w:noWrap w:val="0"/>
                  <w:vAlign w:val="center"/>
                </w:tcPr>
                <w:p w14:paraId="51EF6490">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地下水环境</w:t>
                  </w:r>
                </w:p>
              </w:tc>
              <w:tc>
                <w:tcPr>
                  <w:tcW w:w="5142" w:type="dxa"/>
                  <w:gridSpan w:val="6"/>
                  <w:tcBorders>
                    <w:tl2br w:val="nil"/>
                    <w:tr2bl w:val="nil"/>
                  </w:tcBorders>
                  <w:noWrap w:val="0"/>
                  <w:vAlign w:val="center"/>
                </w:tcPr>
                <w:p w14:paraId="7D9A7F4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0"/>
                      <w:szCs w:val="21"/>
                      <w:u w:val="none"/>
                    </w:rPr>
                  </w:pPr>
                  <w:r>
                    <w:rPr>
                      <w:rFonts w:hint="default" w:ascii="Times New Roman" w:hAnsi="Times New Roman" w:cs="Times New Roman"/>
                      <w:b w:val="0"/>
                      <w:bCs w:val="0"/>
                      <w:color w:val="auto"/>
                      <w:kern w:val="0"/>
                      <w:szCs w:val="21"/>
                      <w:u w:val="none"/>
                    </w:rPr>
                    <w:t>厂界外500米范围内</w:t>
                  </w:r>
                  <w:r>
                    <w:rPr>
                      <w:rStyle w:val="26"/>
                      <w:rFonts w:hint="default" w:ascii="Times New Roman" w:hAnsi="Times New Roman" w:cs="Times New Roman"/>
                      <w:b w:val="0"/>
                      <w:bCs w:val="0"/>
                      <w:color w:val="auto"/>
                      <w:kern w:val="0"/>
                      <w:szCs w:val="20"/>
                      <w:u w:val="none"/>
                      <w:lang w:eastAsia="zh-CN"/>
                    </w:rPr>
                    <w:t>无</w:t>
                  </w:r>
                  <w:r>
                    <w:rPr>
                      <w:rFonts w:hint="default" w:ascii="Times New Roman" w:hAnsi="Times New Roman" w:cs="Times New Roman"/>
                      <w:b w:val="0"/>
                      <w:bCs w:val="0"/>
                      <w:color w:val="auto"/>
                      <w:kern w:val="0"/>
                      <w:szCs w:val="21"/>
                      <w:u w:val="none"/>
                    </w:rPr>
                    <w:t>地下水集中式饮用水水源</w:t>
                  </w:r>
                </w:p>
                <w:p w14:paraId="338EAC4C">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0"/>
                      <w:szCs w:val="21"/>
                      <w:u w:val="none"/>
                    </w:rPr>
                  </w:pPr>
                  <w:r>
                    <w:rPr>
                      <w:rFonts w:hint="default" w:ascii="Times New Roman" w:hAnsi="Times New Roman" w:cs="Times New Roman"/>
                      <w:b w:val="0"/>
                      <w:bCs w:val="0"/>
                      <w:color w:val="auto"/>
                      <w:kern w:val="0"/>
                      <w:szCs w:val="21"/>
                      <w:u w:val="none"/>
                    </w:rPr>
                    <w:t>和热水、矿泉水、温泉等特殊地下水资源等地下水</w:t>
                  </w:r>
                </w:p>
                <w:p w14:paraId="161D8EA3">
                  <w:pPr>
                    <w:keepNext w:val="0"/>
                    <w:keepLines w:val="0"/>
                    <w:pageBreakBefore w:val="0"/>
                    <w:widowControl w:val="0"/>
                    <w:kinsoku/>
                    <w:overflowPunct/>
                    <w:topLinePunct w:val="0"/>
                    <w:autoSpaceDE/>
                    <w:autoSpaceDN/>
                    <w:bidi w:val="0"/>
                    <w:spacing w:line="240" w:lineRule="auto"/>
                    <w:jc w:val="center"/>
                    <w:textAlignment w:val="auto"/>
                    <w:rPr>
                      <w:color w:val="auto"/>
                      <w:szCs w:val="21"/>
                      <w:u w:val="none"/>
                    </w:rPr>
                  </w:pPr>
                  <w:r>
                    <w:rPr>
                      <w:rFonts w:hint="default" w:ascii="Times New Roman" w:hAnsi="Times New Roman" w:cs="Times New Roman"/>
                      <w:b w:val="0"/>
                      <w:bCs w:val="0"/>
                      <w:color w:val="auto"/>
                      <w:kern w:val="0"/>
                      <w:szCs w:val="21"/>
                      <w:u w:val="none"/>
                    </w:rPr>
                    <w:t>环境保护目标</w:t>
                  </w:r>
                </w:p>
              </w:tc>
              <w:tc>
                <w:tcPr>
                  <w:tcW w:w="2160" w:type="dxa"/>
                  <w:tcBorders>
                    <w:tl2br w:val="nil"/>
                    <w:tr2bl w:val="nil"/>
                  </w:tcBorders>
                  <w:noWrap w:val="0"/>
                  <w:vAlign w:val="center"/>
                </w:tcPr>
                <w:p w14:paraId="0C3FBF9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bCs/>
                      <w:color w:val="000000"/>
                      <w:sz w:val="21"/>
                    </w:rPr>
                  </w:pPr>
                  <w:r>
                    <w:rPr>
                      <w:bCs/>
                      <w:color w:val="000000"/>
                      <w:sz w:val="21"/>
                    </w:rPr>
                    <w:t>《地下水质量标准》（GBT14848-2017）</w:t>
                  </w:r>
                </w:p>
                <w:p w14:paraId="4130A6EB">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Times New Roman"/>
                      <w:bCs/>
                      <w:color w:val="000000"/>
                      <w:kern w:val="2"/>
                      <w:sz w:val="21"/>
                      <w:lang w:val="en-US" w:eastAsia="zh-CN" w:bidi="ar-SA"/>
                    </w:rPr>
                  </w:pPr>
                  <w:r>
                    <w:rPr>
                      <w:bCs/>
                      <w:color w:val="000000"/>
                      <w:sz w:val="21"/>
                    </w:rPr>
                    <w:t>III类标准</w:t>
                  </w:r>
                </w:p>
              </w:tc>
            </w:tr>
            <w:tr w14:paraId="2984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62" w:type="dxa"/>
                  <w:tcBorders>
                    <w:tl2br w:val="nil"/>
                    <w:tr2bl w:val="nil"/>
                  </w:tcBorders>
                  <w:noWrap w:val="0"/>
                  <w:vAlign w:val="center"/>
                </w:tcPr>
                <w:p w14:paraId="698A2BEE">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生态</w:t>
                  </w:r>
                </w:p>
                <w:p w14:paraId="2EDCF2B4">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环境</w:t>
                  </w:r>
                </w:p>
              </w:tc>
              <w:tc>
                <w:tcPr>
                  <w:tcW w:w="7302" w:type="dxa"/>
                  <w:gridSpan w:val="7"/>
                  <w:tcBorders>
                    <w:tl2br w:val="nil"/>
                    <w:tr2bl w:val="nil"/>
                  </w:tcBorders>
                  <w:noWrap w:val="0"/>
                  <w:vAlign w:val="center"/>
                </w:tcPr>
                <w:p w14:paraId="64740362">
                  <w:pPr>
                    <w:keepNext w:val="0"/>
                    <w:keepLines w:val="0"/>
                    <w:pageBreakBefore w:val="0"/>
                    <w:widowControl w:val="0"/>
                    <w:kinsoku/>
                    <w:overflowPunct/>
                    <w:topLinePunct w:val="0"/>
                    <w:autoSpaceDE/>
                    <w:autoSpaceDN/>
                    <w:bidi w:val="0"/>
                    <w:spacing w:line="240" w:lineRule="auto"/>
                    <w:jc w:val="center"/>
                    <w:textAlignment w:val="auto"/>
                    <w:rPr>
                      <w:color w:val="auto"/>
                      <w:szCs w:val="21"/>
                      <w:u w:val="none"/>
                    </w:rPr>
                  </w:pPr>
                  <w:r>
                    <w:rPr>
                      <w:bCs/>
                      <w:color w:val="000000"/>
                      <w:sz w:val="21"/>
                    </w:rPr>
                    <w:t>本项目周边无生态特殊及重要敏感区，项目建设不涉及自然保护区、风景名胜区、地质公园等环境敏感区</w:t>
                  </w:r>
                </w:p>
              </w:tc>
            </w:tr>
          </w:tbl>
          <w:p w14:paraId="0AA062B2">
            <w:pPr>
              <w:pStyle w:val="27"/>
              <w:rPr>
                <w:rFonts w:ascii="Calibri" w:hAnsi="Calibri" w:cs="宋体"/>
              </w:rPr>
            </w:pPr>
          </w:p>
        </w:tc>
      </w:tr>
      <w:tr w14:paraId="4A11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637" w:type="dxa"/>
            <w:noWrap w:val="0"/>
            <w:tcMar>
              <w:left w:w="28" w:type="dxa"/>
              <w:right w:w="28" w:type="dxa"/>
            </w:tcMar>
            <w:vAlign w:val="center"/>
          </w:tcPr>
          <w:p w14:paraId="154A560C">
            <w:pPr>
              <w:adjustRightInd w:val="0"/>
              <w:snapToGrid w:val="0"/>
              <w:jc w:val="center"/>
              <w:rPr>
                <w:rFonts w:hint="eastAsia" w:ascii="宋体" w:hAnsi="宋体" w:cs="宋体"/>
                <w:b/>
                <w:kern w:val="0"/>
                <w:sz w:val="24"/>
              </w:rPr>
            </w:pPr>
            <w:r>
              <w:rPr>
                <w:rFonts w:hint="eastAsia" w:ascii="宋体" w:hAnsi="宋体" w:cs="宋体"/>
                <w:b/>
                <w:kern w:val="0"/>
                <w:sz w:val="24"/>
              </w:rPr>
              <w:t>污染</w:t>
            </w:r>
          </w:p>
          <w:p w14:paraId="6C0CF55D">
            <w:pPr>
              <w:adjustRightInd w:val="0"/>
              <w:snapToGrid w:val="0"/>
              <w:jc w:val="center"/>
              <w:rPr>
                <w:rFonts w:hint="eastAsia" w:ascii="宋体" w:hAnsi="宋体" w:cs="宋体"/>
                <w:b/>
                <w:kern w:val="0"/>
                <w:sz w:val="24"/>
              </w:rPr>
            </w:pPr>
            <w:r>
              <w:rPr>
                <w:rFonts w:hint="eastAsia" w:ascii="宋体" w:hAnsi="宋体" w:cs="宋体"/>
                <w:b/>
                <w:kern w:val="0"/>
                <w:sz w:val="24"/>
              </w:rPr>
              <w:t>物排</w:t>
            </w:r>
          </w:p>
          <w:p w14:paraId="1325D685">
            <w:pPr>
              <w:adjustRightInd w:val="0"/>
              <w:snapToGrid w:val="0"/>
              <w:jc w:val="center"/>
              <w:rPr>
                <w:rFonts w:hint="eastAsia" w:ascii="宋体" w:hAnsi="宋体" w:cs="宋体"/>
                <w:b/>
                <w:kern w:val="0"/>
                <w:sz w:val="24"/>
              </w:rPr>
            </w:pPr>
            <w:r>
              <w:rPr>
                <w:rFonts w:hint="eastAsia" w:ascii="宋体" w:hAnsi="宋体" w:cs="宋体"/>
                <w:b/>
                <w:kern w:val="0"/>
                <w:sz w:val="24"/>
              </w:rPr>
              <w:t>放控</w:t>
            </w:r>
          </w:p>
          <w:p w14:paraId="6F591BBE">
            <w:pPr>
              <w:adjustRightInd w:val="0"/>
              <w:snapToGrid w:val="0"/>
              <w:jc w:val="center"/>
              <w:rPr>
                <w:rFonts w:hint="eastAsia" w:ascii="宋体" w:hAnsi="宋体" w:cs="宋体"/>
                <w:b/>
                <w:kern w:val="0"/>
                <w:sz w:val="24"/>
              </w:rPr>
            </w:pPr>
            <w:r>
              <w:rPr>
                <w:rFonts w:hint="eastAsia" w:ascii="宋体" w:hAnsi="宋体" w:cs="宋体"/>
                <w:b/>
                <w:kern w:val="0"/>
                <w:sz w:val="24"/>
              </w:rPr>
              <w:t>制标</w:t>
            </w:r>
          </w:p>
          <w:p w14:paraId="2E8DE009">
            <w:pPr>
              <w:adjustRightInd w:val="0"/>
              <w:snapToGrid w:val="0"/>
              <w:jc w:val="center"/>
              <w:rPr>
                <w:rFonts w:ascii="宋体" w:hAnsi="宋体" w:cs="宋体"/>
                <w:b/>
                <w:kern w:val="0"/>
                <w:sz w:val="24"/>
              </w:rPr>
            </w:pPr>
            <w:r>
              <w:rPr>
                <w:rFonts w:hint="eastAsia" w:ascii="宋体" w:hAnsi="宋体" w:cs="宋体"/>
                <w:b/>
                <w:kern w:val="0"/>
                <w:sz w:val="24"/>
              </w:rPr>
              <w:t>准</w:t>
            </w:r>
          </w:p>
        </w:tc>
        <w:tc>
          <w:tcPr>
            <w:tcW w:w="8353" w:type="dxa"/>
            <w:noWrap w:val="0"/>
            <w:vAlign w:val="center"/>
          </w:tcPr>
          <w:p w14:paraId="76F31D6D">
            <w:pPr>
              <w:pStyle w:val="6"/>
              <w:keepNext w:val="0"/>
              <w:keepLines w:val="0"/>
              <w:pageBreakBefore w:val="0"/>
              <w:widowControl w:val="0"/>
              <w:kinsoku/>
              <w:wordWrap/>
              <w:overflowPunct/>
              <w:topLinePunct w:val="0"/>
              <w:autoSpaceDE/>
              <w:autoSpaceDN/>
              <w:bidi w:val="0"/>
              <w:adjustRightInd/>
              <w:snapToGrid/>
              <w:spacing w:line="500" w:lineRule="exact"/>
              <w:ind w:firstLine="470" w:firstLineChars="196"/>
              <w:jc w:val="center"/>
              <w:textAlignment w:val="auto"/>
              <w:rPr>
                <w:rFonts w:hint="eastAsia" w:ascii="Times New Roman" w:hAnsi="黑体" w:eastAsia="黑体" w:cs="Times New Roman"/>
                <w:color w:val="auto"/>
                <w:kern w:val="2"/>
                <w:sz w:val="24"/>
                <w:lang w:val="en-US" w:eastAsia="zh-CN" w:bidi="ar-SA"/>
              </w:rPr>
            </w:pPr>
            <w:bookmarkStart w:id="6" w:name="OLE_LINK12"/>
            <w:r>
              <w:rPr>
                <w:rFonts w:hint="eastAsia" w:ascii="Times New Roman" w:hAnsi="黑体" w:eastAsia="黑体" w:cs="Times New Roman"/>
                <w:color w:val="auto"/>
                <w:kern w:val="2"/>
                <w:sz w:val="24"/>
                <w:lang w:val="en-US" w:eastAsia="zh-CN" w:bidi="ar-SA"/>
              </w:rPr>
              <w:t>表</w:t>
            </w:r>
            <w:r>
              <w:rPr>
                <w:rFonts w:hint="eastAsia" w:hAnsi="黑体" w:eastAsia="黑体" w:cs="Times New Roman"/>
                <w:color w:val="auto"/>
                <w:kern w:val="2"/>
                <w:sz w:val="24"/>
                <w:lang w:val="en-US" w:eastAsia="zh-CN" w:bidi="ar-SA"/>
              </w:rPr>
              <w:t>3-4</w:t>
            </w:r>
            <w:bookmarkEnd w:id="6"/>
            <w:r>
              <w:rPr>
                <w:rFonts w:hint="eastAsia" w:ascii="Times New Roman" w:hAnsi="黑体" w:eastAsia="黑体" w:cs="Times New Roman"/>
                <w:color w:val="auto"/>
                <w:kern w:val="2"/>
                <w:sz w:val="24"/>
                <w:lang w:val="en-US" w:eastAsia="zh-CN" w:bidi="ar-SA"/>
              </w:rPr>
              <w:t xml:space="preserve"> 污染物排放标准限值</w:t>
            </w:r>
          </w:p>
          <w:tbl>
            <w:tblPr>
              <w:tblStyle w:val="22"/>
              <w:tblW w:w="8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337"/>
              <w:gridCol w:w="1113"/>
              <w:gridCol w:w="2778"/>
            </w:tblGrid>
            <w:tr w14:paraId="57CD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tcBorders>
                    <w:tl2br w:val="nil"/>
                    <w:tr2bl w:val="nil"/>
                  </w:tcBorders>
                  <w:noWrap w:val="0"/>
                  <w:vAlign w:val="center"/>
                </w:tcPr>
                <w:p w14:paraId="2611A3B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b/>
                      <w:color w:val="auto"/>
                      <w:kern w:val="2"/>
                      <w:sz w:val="21"/>
                      <w:szCs w:val="21"/>
                      <w:lang w:val="en-US" w:eastAsia="zh-CN" w:bidi="ar-SA"/>
                    </w:rPr>
                  </w:pPr>
                  <w:r>
                    <w:rPr>
                      <w:rFonts w:hint="eastAsia"/>
                      <w:b/>
                      <w:color w:val="auto"/>
                      <w:sz w:val="21"/>
                      <w:szCs w:val="21"/>
                    </w:rPr>
                    <w:t>污染物</w:t>
                  </w:r>
                </w:p>
              </w:tc>
              <w:tc>
                <w:tcPr>
                  <w:tcW w:w="3337" w:type="dxa"/>
                  <w:tcBorders>
                    <w:tl2br w:val="nil"/>
                    <w:tr2bl w:val="nil"/>
                  </w:tcBorders>
                  <w:noWrap w:val="0"/>
                  <w:vAlign w:val="center"/>
                </w:tcPr>
                <w:p w14:paraId="08931311">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b/>
                      <w:color w:val="auto"/>
                      <w:kern w:val="2"/>
                      <w:sz w:val="21"/>
                      <w:szCs w:val="21"/>
                      <w:lang w:val="en-US" w:eastAsia="zh-CN" w:bidi="ar-SA"/>
                    </w:rPr>
                  </w:pPr>
                  <w:r>
                    <w:rPr>
                      <w:rFonts w:hint="eastAsia"/>
                      <w:b/>
                      <w:color w:val="auto"/>
                      <w:sz w:val="21"/>
                      <w:szCs w:val="21"/>
                    </w:rPr>
                    <w:t>标准名称及级别</w:t>
                  </w:r>
                </w:p>
              </w:tc>
              <w:tc>
                <w:tcPr>
                  <w:tcW w:w="1113" w:type="dxa"/>
                  <w:tcBorders>
                    <w:tl2br w:val="nil"/>
                    <w:tr2bl w:val="nil"/>
                  </w:tcBorders>
                  <w:noWrap w:val="0"/>
                  <w:vAlign w:val="center"/>
                </w:tcPr>
                <w:p w14:paraId="65DEDAF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b/>
                      <w:color w:val="auto"/>
                      <w:sz w:val="21"/>
                      <w:szCs w:val="21"/>
                    </w:rPr>
                  </w:pPr>
                  <w:r>
                    <w:rPr>
                      <w:rFonts w:hint="eastAsia"/>
                      <w:b/>
                      <w:color w:val="auto"/>
                      <w:sz w:val="21"/>
                      <w:szCs w:val="21"/>
                    </w:rPr>
                    <w:t>污染</w:t>
                  </w:r>
                </w:p>
                <w:p w14:paraId="42AE3BE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b/>
                      <w:color w:val="auto"/>
                      <w:kern w:val="2"/>
                      <w:sz w:val="21"/>
                      <w:szCs w:val="21"/>
                      <w:lang w:val="en-US" w:eastAsia="zh-CN" w:bidi="ar-SA"/>
                    </w:rPr>
                  </w:pPr>
                  <w:r>
                    <w:rPr>
                      <w:rFonts w:hint="eastAsia"/>
                      <w:b/>
                      <w:color w:val="auto"/>
                      <w:sz w:val="21"/>
                      <w:szCs w:val="21"/>
                    </w:rPr>
                    <w:t>因子</w:t>
                  </w:r>
                </w:p>
              </w:tc>
              <w:tc>
                <w:tcPr>
                  <w:tcW w:w="2778" w:type="dxa"/>
                  <w:tcBorders>
                    <w:tl2br w:val="nil"/>
                    <w:tr2bl w:val="nil"/>
                  </w:tcBorders>
                  <w:noWrap w:val="0"/>
                  <w:vAlign w:val="center"/>
                </w:tcPr>
                <w:p w14:paraId="5FCA3AE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b/>
                      <w:color w:val="auto"/>
                      <w:kern w:val="2"/>
                      <w:sz w:val="21"/>
                      <w:szCs w:val="21"/>
                      <w:lang w:val="en-US" w:eastAsia="zh-CN" w:bidi="ar-SA"/>
                    </w:rPr>
                  </w:pPr>
                  <w:r>
                    <w:rPr>
                      <w:rFonts w:hint="eastAsia"/>
                      <w:b/>
                      <w:color w:val="auto"/>
                      <w:sz w:val="21"/>
                      <w:szCs w:val="21"/>
                    </w:rPr>
                    <w:t>标准限值</w:t>
                  </w:r>
                </w:p>
              </w:tc>
            </w:tr>
            <w:tr w14:paraId="5CAC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870" w:type="dxa"/>
                  <w:vMerge w:val="restart"/>
                  <w:tcBorders>
                    <w:tl2br w:val="nil"/>
                    <w:tr2bl w:val="nil"/>
                  </w:tcBorders>
                  <w:noWrap w:val="0"/>
                  <w:vAlign w:val="center"/>
                </w:tcPr>
                <w:p w14:paraId="6D53215F">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废气</w:t>
                  </w:r>
                </w:p>
              </w:tc>
              <w:tc>
                <w:tcPr>
                  <w:tcW w:w="3337" w:type="dxa"/>
                  <w:tcBorders>
                    <w:tl2br w:val="nil"/>
                    <w:tr2bl w:val="nil"/>
                  </w:tcBorders>
                  <w:shd w:val="clear" w:color="auto" w:fill="auto"/>
                  <w:noWrap w:val="0"/>
                  <w:vAlign w:val="center"/>
                </w:tcPr>
                <w:p w14:paraId="7C4692D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green"/>
                      <w:u w:val="none"/>
                      <w:lang w:val="en-US" w:eastAsia="zh-CN"/>
                    </w:rPr>
                  </w:pPr>
                  <w:r>
                    <w:rPr>
                      <w:rFonts w:hint="eastAsia" w:cs="Times New Roman"/>
                      <w:b w:val="0"/>
                      <w:bCs w:val="0"/>
                      <w:color w:val="auto"/>
                      <w:sz w:val="21"/>
                      <w:szCs w:val="21"/>
                      <w:highlight w:val="none"/>
                      <w:u w:val="none"/>
                    </w:rPr>
                    <w:t>《关于全省开展工业企业挥发性有机物专项治理工作中排放建议值的通知》</w:t>
                  </w:r>
                  <w:r>
                    <w:rPr>
                      <w:rFonts w:hint="eastAsia" w:cs="Times New Roman"/>
                      <w:b w:val="0"/>
                      <w:bCs w:val="0"/>
                      <w:color w:val="auto"/>
                      <w:sz w:val="21"/>
                      <w:szCs w:val="21"/>
                      <w:highlight w:val="none"/>
                      <w:u w:val="none"/>
                      <w:lang w:eastAsia="zh-CN"/>
                    </w:rPr>
                    <w:t>（</w:t>
                  </w:r>
                  <w:r>
                    <w:rPr>
                      <w:rFonts w:hint="eastAsia" w:cs="Times New Roman"/>
                      <w:b w:val="0"/>
                      <w:bCs w:val="0"/>
                      <w:color w:val="auto"/>
                      <w:sz w:val="21"/>
                      <w:szCs w:val="21"/>
                      <w:highlight w:val="none"/>
                      <w:u w:val="none"/>
                    </w:rPr>
                    <w:t>豫环攻坚办〔2017〕162号</w:t>
                  </w:r>
                  <w:r>
                    <w:rPr>
                      <w:rFonts w:hint="eastAsia" w:cs="Times New Roman"/>
                      <w:b w:val="0"/>
                      <w:bCs w:val="0"/>
                      <w:color w:val="auto"/>
                      <w:sz w:val="21"/>
                      <w:szCs w:val="21"/>
                      <w:highlight w:val="none"/>
                      <w:u w:val="none"/>
                      <w:lang w:eastAsia="zh-CN"/>
                    </w:rPr>
                    <w:t>）</w:t>
                  </w:r>
                  <w:r>
                    <w:rPr>
                      <w:rFonts w:hint="eastAsia" w:cs="Times New Roman"/>
                      <w:b w:val="0"/>
                      <w:bCs w:val="0"/>
                      <w:color w:val="auto"/>
                      <w:sz w:val="21"/>
                      <w:szCs w:val="21"/>
                      <w:highlight w:val="none"/>
                      <w:u w:val="none"/>
                    </w:rPr>
                    <w:t>中</w:t>
                  </w:r>
                  <w:r>
                    <w:rPr>
                      <w:rFonts w:hint="eastAsia" w:cs="Times New Roman"/>
                      <w:b w:val="0"/>
                      <w:bCs w:val="0"/>
                      <w:color w:val="auto"/>
                      <w:sz w:val="21"/>
                      <w:szCs w:val="21"/>
                      <w:highlight w:val="none"/>
                      <w:u w:val="none"/>
                      <w:lang w:eastAsia="zh-CN"/>
                    </w:rPr>
                    <w:t>附件</w:t>
                  </w:r>
                  <w:r>
                    <w:rPr>
                      <w:rFonts w:hint="eastAsia" w:cs="Times New Roman"/>
                      <w:b w:val="0"/>
                      <w:bCs w:val="0"/>
                      <w:color w:val="auto"/>
                      <w:sz w:val="21"/>
                      <w:szCs w:val="21"/>
                      <w:highlight w:val="none"/>
                      <w:u w:val="none"/>
                      <w:lang w:val="en-US" w:eastAsia="zh-CN"/>
                    </w:rPr>
                    <w:t>1、</w:t>
                  </w:r>
                  <w:r>
                    <w:rPr>
                      <w:rFonts w:hint="eastAsia" w:cs="Times New Roman"/>
                      <w:b w:val="0"/>
                      <w:bCs w:val="0"/>
                      <w:color w:val="auto"/>
                      <w:sz w:val="21"/>
                      <w:szCs w:val="21"/>
                      <w:highlight w:val="none"/>
                      <w:u w:val="none"/>
                      <w:lang w:eastAsia="zh-CN"/>
                    </w:rPr>
                    <w:t>附件</w:t>
                  </w:r>
                  <w:r>
                    <w:rPr>
                      <w:rFonts w:hint="eastAsia" w:cs="Times New Roman"/>
                      <w:b w:val="0"/>
                      <w:bCs w:val="0"/>
                      <w:color w:val="auto"/>
                      <w:sz w:val="21"/>
                      <w:szCs w:val="21"/>
                      <w:highlight w:val="none"/>
                      <w:u w:val="none"/>
                      <w:lang w:val="en-US" w:eastAsia="zh-CN"/>
                    </w:rPr>
                    <w:t>2</w:t>
                  </w:r>
                  <w:r>
                    <w:rPr>
                      <w:rFonts w:hint="eastAsia" w:cs="Times New Roman"/>
                      <w:b w:val="0"/>
                      <w:bCs w:val="0"/>
                      <w:color w:val="auto"/>
                      <w:sz w:val="21"/>
                      <w:szCs w:val="21"/>
                      <w:highlight w:val="none"/>
                      <w:u w:val="none"/>
                    </w:rPr>
                    <w:t>要求</w:t>
                  </w:r>
                </w:p>
              </w:tc>
              <w:tc>
                <w:tcPr>
                  <w:tcW w:w="1113" w:type="dxa"/>
                  <w:tcBorders>
                    <w:tl2br w:val="nil"/>
                    <w:tr2bl w:val="nil"/>
                  </w:tcBorders>
                  <w:shd w:val="clear" w:color="auto" w:fill="auto"/>
                  <w:noWrap w:val="0"/>
                  <w:vAlign w:val="center"/>
                </w:tcPr>
                <w:p w14:paraId="17F7670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非甲烷</w:t>
                  </w:r>
                </w:p>
                <w:p w14:paraId="23890C8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highlight w:val="none"/>
                      <w:u w:val="none"/>
                      <w:lang w:val="en-US" w:eastAsia="zh-CN"/>
                    </w:rPr>
                  </w:pPr>
                  <w:r>
                    <w:rPr>
                      <w:rFonts w:hint="eastAsia"/>
                      <w:b w:val="0"/>
                      <w:bCs/>
                      <w:color w:val="auto"/>
                      <w:sz w:val="21"/>
                      <w:szCs w:val="21"/>
                      <w:highlight w:val="none"/>
                      <w:lang w:val="en-US" w:eastAsia="zh-CN"/>
                    </w:rPr>
                    <w:t>总烃</w:t>
                  </w:r>
                </w:p>
              </w:tc>
              <w:tc>
                <w:tcPr>
                  <w:tcW w:w="2778" w:type="dxa"/>
                  <w:tcBorders>
                    <w:tl2br w:val="nil"/>
                    <w:tr2bl w:val="nil"/>
                  </w:tcBorders>
                  <w:shd w:val="clear" w:color="auto" w:fill="auto"/>
                  <w:noWrap w:val="0"/>
                  <w:vAlign w:val="center"/>
                </w:tcPr>
                <w:p w14:paraId="3B599143">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无组织：</w:t>
                  </w:r>
                  <w:r>
                    <w:rPr>
                      <w:rFonts w:hint="default" w:ascii="Times New Roman" w:hAnsi="Times New Roman" w:eastAsia="宋体" w:cs="Times New Roman"/>
                      <w:b w:val="0"/>
                      <w:bCs w:val="0"/>
                      <w:color w:val="auto"/>
                      <w:sz w:val="21"/>
                      <w:szCs w:val="21"/>
                      <w:highlight w:val="none"/>
                      <w:u w:val="none"/>
                      <w:lang w:val="en-US" w:eastAsia="zh-CN"/>
                    </w:rPr>
                    <w:t>工业企业边界挥发性有机物排放建议值</w:t>
                  </w:r>
                  <w:r>
                    <w:rPr>
                      <w:rFonts w:hint="eastAsia"/>
                      <w:b w:val="0"/>
                      <w:bCs w:val="0"/>
                      <w:color w:val="auto"/>
                      <w:sz w:val="21"/>
                      <w:szCs w:val="21"/>
                      <w:highlight w:val="none"/>
                      <w:u w:val="none"/>
                      <w:lang w:val="en-US" w:eastAsia="zh-CN"/>
                    </w:rPr>
                    <w:t>2.0</w:t>
                  </w:r>
                  <w:r>
                    <w:rPr>
                      <w:b w:val="0"/>
                      <w:bCs w:val="0"/>
                      <w:color w:val="auto"/>
                      <w:sz w:val="21"/>
                      <w:szCs w:val="21"/>
                      <w:highlight w:val="none"/>
                      <w:u w:val="none"/>
                    </w:rPr>
                    <w:t>mg/m</w:t>
                  </w:r>
                  <w:r>
                    <w:rPr>
                      <w:b w:val="0"/>
                      <w:bCs w:val="0"/>
                      <w:color w:val="auto"/>
                      <w:sz w:val="21"/>
                      <w:szCs w:val="21"/>
                      <w:highlight w:val="none"/>
                      <w:u w:val="none"/>
                      <w:vertAlign w:val="superscript"/>
                    </w:rPr>
                    <w:t>3</w:t>
                  </w:r>
                </w:p>
              </w:tc>
            </w:tr>
            <w:tr w14:paraId="7FA0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70" w:type="dxa"/>
                  <w:vMerge w:val="continue"/>
                  <w:tcBorders>
                    <w:tl2br w:val="nil"/>
                    <w:tr2bl w:val="nil"/>
                  </w:tcBorders>
                  <w:noWrap w:val="0"/>
                  <w:vAlign w:val="center"/>
                </w:tcPr>
                <w:p w14:paraId="33FEEC9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2D59BC3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highlight w:val="none"/>
                      <w:lang w:val="en-US" w:eastAsia="zh-CN"/>
                    </w:rPr>
                  </w:pPr>
                  <w:r>
                    <w:rPr>
                      <w:rFonts w:hint="default" w:ascii="Times New Roman" w:hAnsi="Times New Roman" w:cs="Times New Roman"/>
                      <w:sz w:val="21"/>
                      <w:szCs w:val="21"/>
                      <w:highlight w:val="none"/>
                      <w:lang w:val="en-US" w:eastAsia="zh-CN"/>
                    </w:rPr>
                    <w:t>河南省《餐饮业油烟污染物排放标准》（DB41/1604-2018）</w:t>
                  </w:r>
                </w:p>
              </w:tc>
              <w:tc>
                <w:tcPr>
                  <w:tcW w:w="1113" w:type="dxa"/>
                  <w:vMerge w:val="restart"/>
                  <w:tcBorders>
                    <w:tl2br w:val="nil"/>
                    <w:tr2bl w:val="nil"/>
                  </w:tcBorders>
                  <w:noWrap w:val="0"/>
                  <w:vAlign w:val="center"/>
                </w:tcPr>
                <w:p w14:paraId="499A1839">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lang w:val="en-US" w:eastAsia="zh-CN"/>
                    </w:rPr>
                  </w:pPr>
                  <w:r>
                    <w:rPr>
                      <w:rFonts w:hint="eastAsia"/>
                      <w:sz w:val="21"/>
                      <w:szCs w:val="21"/>
                      <w:lang w:val="en-US" w:eastAsia="zh-CN"/>
                    </w:rPr>
                    <w:t>油烟</w:t>
                  </w:r>
                </w:p>
              </w:tc>
              <w:tc>
                <w:tcPr>
                  <w:tcW w:w="2778" w:type="dxa"/>
                  <w:tcBorders>
                    <w:tl2br w:val="nil"/>
                    <w:tr2bl w:val="nil"/>
                  </w:tcBorders>
                  <w:noWrap w:val="0"/>
                  <w:vAlign w:val="center"/>
                </w:tcPr>
                <w:p w14:paraId="6299E619">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最高排放浓</w:t>
                  </w:r>
                  <w:r>
                    <w:rPr>
                      <w:rFonts w:hint="eastAsia" w:cs="Times New Roman"/>
                      <w:b w:val="0"/>
                      <w:bCs w:val="0"/>
                      <w:color w:val="auto"/>
                      <w:sz w:val="21"/>
                      <w:szCs w:val="21"/>
                      <w:lang w:val="en-US" w:eastAsia="zh-CN"/>
                    </w:rPr>
                    <w:t>1.5</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3940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68CCBF2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0747E58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sz w:val="21"/>
                      <w:szCs w:val="21"/>
                      <w:highlight w:val="none"/>
                      <w:lang w:val="en-US" w:eastAsia="zh-CN"/>
                    </w:rPr>
                  </w:pPr>
                </w:p>
              </w:tc>
              <w:tc>
                <w:tcPr>
                  <w:tcW w:w="1113" w:type="dxa"/>
                  <w:vMerge w:val="continue"/>
                  <w:tcBorders>
                    <w:tl2br w:val="nil"/>
                    <w:tr2bl w:val="nil"/>
                  </w:tcBorders>
                  <w:noWrap w:val="0"/>
                  <w:vAlign w:val="center"/>
                </w:tcPr>
                <w:p w14:paraId="062AB7F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sz w:val="21"/>
                      <w:szCs w:val="21"/>
                      <w:lang w:val="en-US" w:eastAsia="zh-CN"/>
                    </w:rPr>
                  </w:pPr>
                </w:p>
              </w:tc>
              <w:tc>
                <w:tcPr>
                  <w:tcW w:w="2778" w:type="dxa"/>
                  <w:tcBorders>
                    <w:tl2br w:val="nil"/>
                    <w:tr2bl w:val="nil"/>
                  </w:tcBorders>
                  <w:noWrap w:val="0"/>
                  <w:vAlign w:val="center"/>
                </w:tcPr>
                <w:p w14:paraId="513E8D4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cs="Times New Roman"/>
                      <w:kern w:val="2"/>
                      <w:sz w:val="21"/>
                      <w:szCs w:val="21"/>
                      <w:u w:val="none"/>
                      <w:lang w:val="en-US" w:eastAsia="zh-CN" w:bidi="ar"/>
                    </w:rPr>
                  </w:pPr>
                  <w:r>
                    <w:rPr>
                      <w:rFonts w:hint="eastAsia" w:ascii="Times New Roman" w:hAnsi="Times New Roman" w:cs="Times New Roman"/>
                      <w:b w:val="0"/>
                      <w:bCs w:val="0"/>
                      <w:color w:val="auto"/>
                      <w:kern w:val="0"/>
                      <w:sz w:val="21"/>
                      <w:szCs w:val="21"/>
                      <w:lang w:val="en-US" w:eastAsia="zh-CN"/>
                    </w:rPr>
                    <w:t>油烟去除</w:t>
                  </w:r>
                  <w:r>
                    <w:rPr>
                      <w:rFonts w:ascii="Times New Roman" w:hAnsi="Times New Roman" w:cs="Times New Roman"/>
                      <w:b w:val="0"/>
                      <w:bCs w:val="0"/>
                      <w:color w:val="auto"/>
                      <w:kern w:val="0"/>
                      <w:sz w:val="21"/>
                      <w:szCs w:val="21"/>
                    </w:rPr>
                    <w:t>速率</w:t>
                  </w:r>
                  <w:r>
                    <w:rPr>
                      <w:rFonts w:hint="eastAsia" w:ascii="Times New Roman" w:hAnsi="Times New Roman" w:cs="Times New Roman"/>
                      <w:b w:val="0"/>
                      <w:bCs w:val="0"/>
                      <w:color w:val="auto"/>
                      <w:kern w:val="0"/>
                      <w:sz w:val="21"/>
                      <w:szCs w:val="21"/>
                      <w:lang w:eastAsia="zh-CN"/>
                    </w:rPr>
                    <w:t>（</w:t>
                  </w:r>
                  <w:r>
                    <w:rPr>
                      <w:rFonts w:hint="eastAsia" w:ascii="Times New Roman" w:hAnsi="Times New Roman" w:cs="Times New Roman"/>
                      <w:b w:val="0"/>
                      <w:bCs w:val="0"/>
                      <w:color w:val="auto"/>
                      <w:kern w:val="0"/>
                      <w:sz w:val="21"/>
                      <w:szCs w:val="21"/>
                      <w:lang w:val="en-US" w:eastAsia="zh-CN"/>
                    </w:rPr>
                    <w:t>%</w:t>
                  </w:r>
                  <w:r>
                    <w:rPr>
                      <w:rFonts w:hint="eastAsia" w:ascii="Times New Roman" w:hAnsi="Times New Roman" w:cs="Times New Roman"/>
                      <w:b w:val="0"/>
                      <w:bCs w:val="0"/>
                      <w:color w:val="auto"/>
                      <w:kern w:val="0"/>
                      <w:sz w:val="21"/>
                      <w:szCs w:val="21"/>
                      <w:lang w:eastAsia="zh-CN"/>
                    </w:rPr>
                    <w:t>）</w:t>
                  </w:r>
                  <w:r>
                    <w:rPr>
                      <w:rFonts w:hint="eastAsia" w:ascii="Times New Roman" w:hAnsi="Times New Roman" w:cs="Times New Roman"/>
                      <w:b w:val="0"/>
                      <w:bCs w:val="0"/>
                      <w:color w:val="auto"/>
                      <w:kern w:val="0"/>
                      <w:sz w:val="21"/>
                      <w:szCs w:val="21"/>
                      <w:lang w:val="en-US" w:eastAsia="zh-CN"/>
                    </w:rPr>
                    <w:t>≥</w:t>
                  </w:r>
                  <w:r>
                    <w:rPr>
                      <w:rFonts w:hint="eastAsia" w:cs="Times New Roman"/>
                      <w:b w:val="0"/>
                      <w:bCs w:val="0"/>
                      <w:color w:val="auto"/>
                      <w:kern w:val="0"/>
                      <w:sz w:val="21"/>
                      <w:szCs w:val="21"/>
                      <w:lang w:val="en-US" w:eastAsia="zh-CN"/>
                    </w:rPr>
                    <w:t>90</w:t>
                  </w:r>
                </w:p>
              </w:tc>
            </w:tr>
            <w:tr w14:paraId="18E8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4F49820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1B090EE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000000"/>
                      <w:sz w:val="21"/>
                      <w:szCs w:val="21"/>
                      <w:highlight w:val="none"/>
                    </w:rPr>
                    <w:t>《大气污染物综合排放标准》(GB16297</w:t>
                  </w:r>
                  <w:r>
                    <w:rPr>
                      <w:rFonts w:hint="default"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rPr>
                    <w:t>1996)表2要求</w:t>
                  </w:r>
                </w:p>
              </w:tc>
              <w:tc>
                <w:tcPr>
                  <w:tcW w:w="1113" w:type="dxa"/>
                  <w:tcBorders>
                    <w:tl2br w:val="nil"/>
                    <w:tr2bl w:val="nil"/>
                  </w:tcBorders>
                  <w:shd w:val="clear" w:color="auto" w:fill="auto"/>
                  <w:noWrap w:val="0"/>
                  <w:vAlign w:val="center"/>
                </w:tcPr>
                <w:p w14:paraId="6D2E16F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颗粒物</w:t>
                  </w:r>
                </w:p>
              </w:tc>
              <w:tc>
                <w:tcPr>
                  <w:tcW w:w="2778" w:type="dxa"/>
                  <w:tcBorders>
                    <w:tl2br w:val="nil"/>
                    <w:tr2bl w:val="nil"/>
                  </w:tcBorders>
                  <w:noWrap w:val="0"/>
                  <w:vAlign w:val="center"/>
                </w:tcPr>
                <w:p w14:paraId="004EC6D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highlight w:val="none"/>
                      <w:u w:val="none"/>
                      <w:lang w:val="en-US" w:eastAsia="zh-CN"/>
                    </w:rPr>
                    <w:t>无组织</w:t>
                  </w:r>
                  <w:r>
                    <w:rPr>
                      <w:rFonts w:hint="eastAsia" w:cs="Times New Roman"/>
                      <w:b w:val="0"/>
                      <w:bCs w:val="0"/>
                      <w:color w:val="auto"/>
                      <w:sz w:val="21"/>
                      <w:szCs w:val="21"/>
                      <w:highlight w:val="none"/>
                      <w:u w:val="none"/>
                      <w:lang w:val="en-US" w:eastAsia="zh-CN"/>
                    </w:rPr>
                    <w:t>排放监控浓度限值</w:t>
                  </w:r>
                  <w:r>
                    <w:rPr>
                      <w:rFonts w:hint="eastAsia" w:ascii="Times New Roman" w:hAnsi="Times New Roman" w:eastAsia="宋体" w:cs="Times New Roman"/>
                      <w:b w:val="0"/>
                      <w:bCs w:val="0"/>
                      <w:color w:val="auto"/>
                      <w:sz w:val="21"/>
                      <w:szCs w:val="21"/>
                      <w:highlight w:val="none"/>
                      <w:u w:val="none"/>
                      <w:lang w:val="en-US" w:eastAsia="zh-CN"/>
                    </w:rPr>
                    <w:t>：</w:t>
                  </w:r>
                  <w:r>
                    <w:rPr>
                      <w:rFonts w:hint="eastAsia" w:cs="Times New Roman"/>
                      <w:b w:val="0"/>
                      <w:bCs w:val="0"/>
                      <w:color w:val="auto"/>
                      <w:sz w:val="21"/>
                      <w:szCs w:val="21"/>
                      <w:highlight w:val="none"/>
                      <w:u w:val="none"/>
                      <w:lang w:val="en-US" w:eastAsia="zh-CN"/>
                    </w:rPr>
                    <w:t>1</w:t>
                  </w:r>
                  <w:r>
                    <w:rPr>
                      <w:rFonts w:hint="eastAsia"/>
                      <w:b w:val="0"/>
                      <w:bCs w:val="0"/>
                      <w:color w:val="auto"/>
                      <w:sz w:val="21"/>
                      <w:szCs w:val="21"/>
                      <w:highlight w:val="none"/>
                      <w:u w:val="none"/>
                      <w:lang w:val="en-US" w:eastAsia="zh-CN"/>
                    </w:rPr>
                    <w:t>.0</w:t>
                  </w:r>
                  <w:r>
                    <w:rPr>
                      <w:b w:val="0"/>
                      <w:bCs w:val="0"/>
                      <w:color w:val="auto"/>
                      <w:sz w:val="21"/>
                      <w:szCs w:val="21"/>
                      <w:highlight w:val="none"/>
                      <w:u w:val="none"/>
                    </w:rPr>
                    <w:t>mg/m</w:t>
                  </w:r>
                  <w:r>
                    <w:rPr>
                      <w:b w:val="0"/>
                      <w:bCs w:val="0"/>
                      <w:color w:val="auto"/>
                      <w:sz w:val="21"/>
                      <w:szCs w:val="21"/>
                      <w:highlight w:val="none"/>
                      <w:u w:val="none"/>
                      <w:vertAlign w:val="superscript"/>
                    </w:rPr>
                    <w:t>3</w:t>
                  </w:r>
                </w:p>
              </w:tc>
            </w:tr>
            <w:tr w14:paraId="2386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2776954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3431EE64">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000000"/>
                      <w:sz w:val="21"/>
                      <w:szCs w:val="21"/>
                      <w:highlight w:val="none"/>
                    </w:rPr>
                  </w:pPr>
                </w:p>
              </w:tc>
              <w:tc>
                <w:tcPr>
                  <w:tcW w:w="1113" w:type="dxa"/>
                  <w:tcBorders>
                    <w:tl2br w:val="nil"/>
                    <w:tr2bl w:val="nil"/>
                  </w:tcBorders>
                  <w:shd w:val="clear" w:color="auto" w:fill="auto"/>
                  <w:noWrap w:val="0"/>
                  <w:vAlign w:val="center"/>
                </w:tcPr>
                <w:p w14:paraId="1EC2F23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SO</w:t>
                  </w:r>
                  <w:r>
                    <w:rPr>
                      <w:rFonts w:hint="eastAsia"/>
                      <w:sz w:val="21"/>
                      <w:szCs w:val="21"/>
                      <w:vertAlign w:val="subscript"/>
                      <w:lang w:val="en-US" w:eastAsia="zh-CN"/>
                    </w:rPr>
                    <w:t>2</w:t>
                  </w:r>
                </w:p>
              </w:tc>
              <w:tc>
                <w:tcPr>
                  <w:tcW w:w="2778" w:type="dxa"/>
                  <w:tcBorders>
                    <w:tl2br w:val="nil"/>
                    <w:tr2bl w:val="nil"/>
                  </w:tcBorders>
                  <w:noWrap w:val="0"/>
                  <w:vAlign w:val="center"/>
                </w:tcPr>
                <w:p w14:paraId="13336E7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highlight w:val="none"/>
                      <w:u w:val="none"/>
                      <w:lang w:val="en-US" w:eastAsia="zh-CN"/>
                    </w:rPr>
                    <w:t>无组织</w:t>
                  </w:r>
                  <w:r>
                    <w:rPr>
                      <w:rFonts w:hint="eastAsia" w:cs="Times New Roman"/>
                      <w:b w:val="0"/>
                      <w:bCs w:val="0"/>
                      <w:color w:val="auto"/>
                      <w:sz w:val="21"/>
                      <w:szCs w:val="21"/>
                      <w:highlight w:val="none"/>
                      <w:u w:val="none"/>
                      <w:lang w:val="en-US" w:eastAsia="zh-CN"/>
                    </w:rPr>
                    <w:t>排放监控浓度限值</w:t>
                  </w:r>
                  <w:r>
                    <w:rPr>
                      <w:rFonts w:hint="eastAsia" w:ascii="Times New Roman" w:hAnsi="Times New Roman" w:eastAsia="宋体" w:cs="Times New Roman"/>
                      <w:b w:val="0"/>
                      <w:bCs w:val="0"/>
                      <w:color w:val="auto"/>
                      <w:sz w:val="21"/>
                      <w:szCs w:val="21"/>
                      <w:highlight w:val="none"/>
                      <w:u w:val="none"/>
                      <w:lang w:val="en-US" w:eastAsia="zh-CN"/>
                    </w:rPr>
                    <w:t>：</w:t>
                  </w:r>
                  <w:r>
                    <w:rPr>
                      <w:rFonts w:hint="eastAsia" w:cs="Times New Roman"/>
                      <w:b w:val="0"/>
                      <w:bCs w:val="0"/>
                      <w:color w:val="auto"/>
                      <w:sz w:val="21"/>
                      <w:szCs w:val="21"/>
                      <w:highlight w:val="none"/>
                      <w:u w:val="none"/>
                      <w:lang w:val="en-US" w:eastAsia="zh-CN"/>
                    </w:rPr>
                    <w:t>0.4</w:t>
                  </w:r>
                  <w:r>
                    <w:rPr>
                      <w:b w:val="0"/>
                      <w:bCs w:val="0"/>
                      <w:color w:val="auto"/>
                      <w:sz w:val="21"/>
                      <w:szCs w:val="21"/>
                      <w:highlight w:val="none"/>
                      <w:u w:val="none"/>
                    </w:rPr>
                    <w:t>mg/m</w:t>
                  </w:r>
                  <w:r>
                    <w:rPr>
                      <w:b w:val="0"/>
                      <w:bCs w:val="0"/>
                      <w:color w:val="auto"/>
                      <w:sz w:val="21"/>
                      <w:szCs w:val="21"/>
                      <w:highlight w:val="none"/>
                      <w:u w:val="none"/>
                      <w:vertAlign w:val="superscript"/>
                    </w:rPr>
                    <w:t>3</w:t>
                  </w:r>
                </w:p>
              </w:tc>
            </w:tr>
            <w:tr w14:paraId="008D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63F42FD1">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3F0FC18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000000"/>
                      <w:sz w:val="21"/>
                      <w:szCs w:val="21"/>
                      <w:highlight w:val="none"/>
                    </w:rPr>
                  </w:pPr>
                </w:p>
              </w:tc>
              <w:tc>
                <w:tcPr>
                  <w:tcW w:w="1113" w:type="dxa"/>
                  <w:tcBorders>
                    <w:tl2br w:val="nil"/>
                    <w:tr2bl w:val="nil"/>
                  </w:tcBorders>
                  <w:shd w:val="clear" w:color="auto" w:fill="auto"/>
                  <w:noWrap w:val="0"/>
                  <w:vAlign w:val="center"/>
                </w:tcPr>
                <w:p w14:paraId="0DDAB56D">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NO</w:t>
                  </w:r>
                  <w:r>
                    <w:rPr>
                      <w:rFonts w:hint="eastAsia"/>
                      <w:sz w:val="21"/>
                      <w:szCs w:val="21"/>
                      <w:vertAlign w:val="subscript"/>
                      <w:lang w:val="en-US" w:eastAsia="zh-CN"/>
                    </w:rPr>
                    <w:t>X</w:t>
                  </w:r>
                </w:p>
              </w:tc>
              <w:tc>
                <w:tcPr>
                  <w:tcW w:w="2778" w:type="dxa"/>
                  <w:tcBorders>
                    <w:tl2br w:val="nil"/>
                    <w:tr2bl w:val="nil"/>
                  </w:tcBorders>
                  <w:noWrap w:val="0"/>
                  <w:vAlign w:val="center"/>
                </w:tcPr>
                <w:p w14:paraId="6EFE737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highlight w:val="none"/>
                      <w:u w:val="none"/>
                      <w:lang w:val="en-US" w:eastAsia="zh-CN"/>
                    </w:rPr>
                    <w:t>无组织</w:t>
                  </w:r>
                  <w:r>
                    <w:rPr>
                      <w:rFonts w:hint="eastAsia" w:cs="Times New Roman"/>
                      <w:b w:val="0"/>
                      <w:bCs w:val="0"/>
                      <w:color w:val="auto"/>
                      <w:sz w:val="21"/>
                      <w:szCs w:val="21"/>
                      <w:highlight w:val="none"/>
                      <w:u w:val="none"/>
                      <w:lang w:val="en-US" w:eastAsia="zh-CN"/>
                    </w:rPr>
                    <w:t>排放监控浓度限值</w:t>
                  </w:r>
                  <w:r>
                    <w:rPr>
                      <w:rFonts w:hint="eastAsia" w:ascii="Times New Roman" w:hAnsi="Times New Roman" w:eastAsia="宋体" w:cs="Times New Roman"/>
                      <w:b w:val="0"/>
                      <w:bCs w:val="0"/>
                      <w:color w:val="auto"/>
                      <w:sz w:val="21"/>
                      <w:szCs w:val="21"/>
                      <w:highlight w:val="none"/>
                      <w:u w:val="none"/>
                      <w:lang w:val="en-US" w:eastAsia="zh-CN"/>
                    </w:rPr>
                    <w:t>：</w:t>
                  </w:r>
                  <w:r>
                    <w:rPr>
                      <w:rFonts w:hint="eastAsia" w:cs="Times New Roman"/>
                      <w:b w:val="0"/>
                      <w:bCs w:val="0"/>
                      <w:color w:val="auto"/>
                      <w:sz w:val="21"/>
                      <w:szCs w:val="21"/>
                      <w:highlight w:val="none"/>
                      <w:u w:val="none"/>
                      <w:lang w:val="en-US" w:eastAsia="zh-CN"/>
                    </w:rPr>
                    <w:t>0.12</w:t>
                  </w:r>
                  <w:r>
                    <w:rPr>
                      <w:b w:val="0"/>
                      <w:bCs w:val="0"/>
                      <w:color w:val="auto"/>
                      <w:sz w:val="21"/>
                      <w:szCs w:val="21"/>
                      <w:highlight w:val="none"/>
                      <w:u w:val="none"/>
                    </w:rPr>
                    <w:t>mg/m</w:t>
                  </w:r>
                  <w:r>
                    <w:rPr>
                      <w:b w:val="0"/>
                      <w:bCs w:val="0"/>
                      <w:color w:val="auto"/>
                      <w:sz w:val="21"/>
                      <w:szCs w:val="21"/>
                      <w:highlight w:val="none"/>
                      <w:u w:val="none"/>
                      <w:vertAlign w:val="superscript"/>
                    </w:rPr>
                    <w:t>3</w:t>
                  </w:r>
                </w:p>
              </w:tc>
            </w:tr>
            <w:tr w14:paraId="1B5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274CE17D">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7C07F4D6">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highlight w:val="none"/>
                    </w:rPr>
                    <w:t>《恶臭污染物排放标准》（GB14554-93）表</w:t>
                  </w:r>
                  <w:r>
                    <w:rPr>
                      <w:rFonts w:hint="default"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rPr>
                    <w:t>排放标准值的要求</w:t>
                  </w:r>
                </w:p>
              </w:tc>
              <w:tc>
                <w:tcPr>
                  <w:tcW w:w="1113" w:type="dxa"/>
                  <w:tcBorders>
                    <w:tl2br w:val="nil"/>
                    <w:tr2bl w:val="nil"/>
                  </w:tcBorders>
                  <w:noWrap w:val="0"/>
                  <w:vAlign w:val="center"/>
                </w:tcPr>
                <w:p w14:paraId="46EE13F9">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highlight w:val="none"/>
                    </w:rPr>
                    <w:t>臭气浓度</w:t>
                  </w:r>
                </w:p>
              </w:tc>
              <w:tc>
                <w:tcPr>
                  <w:tcW w:w="2778" w:type="dxa"/>
                  <w:tcBorders>
                    <w:tl2br w:val="nil"/>
                    <w:tr2bl w:val="nil"/>
                  </w:tcBorders>
                  <w:noWrap w:val="0"/>
                  <w:vAlign w:val="center"/>
                </w:tcPr>
                <w:p w14:paraId="7AB3392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无量纲：20</w:t>
                  </w:r>
                </w:p>
              </w:tc>
            </w:tr>
            <w:tr w14:paraId="5C98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51C2A26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654CFD53">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1113" w:type="dxa"/>
                  <w:tcBorders>
                    <w:tl2br w:val="nil"/>
                    <w:tr2bl w:val="nil"/>
                  </w:tcBorders>
                  <w:shd w:val="clear" w:color="auto" w:fill="auto"/>
                  <w:noWrap w:val="0"/>
                  <w:vAlign w:val="center"/>
                </w:tcPr>
                <w:p w14:paraId="1A51B092">
                  <w:pPr>
                    <w:pStyle w:val="6"/>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w:t>
                  </w:r>
                </w:p>
              </w:tc>
              <w:tc>
                <w:tcPr>
                  <w:tcW w:w="2778" w:type="dxa"/>
                  <w:tcBorders>
                    <w:tl2br w:val="nil"/>
                    <w:tr2bl w:val="nil"/>
                  </w:tcBorders>
                  <w:shd w:val="clear" w:color="auto" w:fill="auto"/>
                  <w:noWrap w:val="0"/>
                  <w:vAlign w:val="center"/>
                </w:tcPr>
                <w:p w14:paraId="5C087274">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1.5mg/m</w:t>
                  </w:r>
                  <w:r>
                    <w:rPr>
                      <w:rFonts w:hint="default" w:ascii="Times New Roman" w:hAnsi="Times New Roman" w:eastAsia="宋体" w:cs="Times New Roman"/>
                      <w:color w:val="auto"/>
                      <w:sz w:val="21"/>
                      <w:szCs w:val="21"/>
                      <w:vertAlign w:val="superscript"/>
                    </w:rPr>
                    <w:t>3</w:t>
                  </w:r>
                </w:p>
              </w:tc>
            </w:tr>
            <w:tr w14:paraId="6DB3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1E168649">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5979DA64">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1113" w:type="dxa"/>
                  <w:tcBorders>
                    <w:tl2br w:val="nil"/>
                    <w:tr2bl w:val="nil"/>
                  </w:tcBorders>
                  <w:shd w:val="clear" w:color="auto" w:fill="auto"/>
                  <w:noWrap w:val="0"/>
                  <w:vAlign w:val="center"/>
                </w:tcPr>
                <w:p w14:paraId="28C15A63">
                  <w:pPr>
                    <w:pStyle w:val="6"/>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硫化氢</w:t>
                  </w:r>
                </w:p>
              </w:tc>
              <w:tc>
                <w:tcPr>
                  <w:tcW w:w="2778" w:type="dxa"/>
                  <w:tcBorders>
                    <w:tl2br w:val="nil"/>
                    <w:tr2bl w:val="nil"/>
                  </w:tcBorders>
                  <w:shd w:val="clear" w:color="auto" w:fill="auto"/>
                  <w:noWrap w:val="0"/>
                  <w:vAlign w:val="center"/>
                </w:tcPr>
                <w:p w14:paraId="2F1A8F94">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0.06mg/m</w:t>
                  </w:r>
                  <w:r>
                    <w:rPr>
                      <w:rFonts w:hint="default" w:ascii="Times New Roman" w:hAnsi="Times New Roman" w:eastAsia="宋体" w:cs="Times New Roman"/>
                      <w:color w:val="auto"/>
                      <w:sz w:val="21"/>
                      <w:szCs w:val="21"/>
                      <w:vertAlign w:val="superscript"/>
                    </w:rPr>
                    <w:t>3</w:t>
                  </w:r>
                </w:p>
              </w:tc>
            </w:tr>
            <w:tr w14:paraId="6B1A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37E2EC8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1DB8F21B">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Cs/>
                      <w:color w:val="auto"/>
                      <w:sz w:val="21"/>
                      <w:szCs w:val="21"/>
                    </w:rPr>
                    <w:t>《恶臭污染物排放标准》（GB14554-93）</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2恶臭污染物排放标准值</w:t>
                  </w:r>
                </w:p>
              </w:tc>
              <w:tc>
                <w:tcPr>
                  <w:tcW w:w="1113" w:type="dxa"/>
                  <w:tcBorders>
                    <w:tl2br w:val="nil"/>
                    <w:tr2bl w:val="nil"/>
                  </w:tcBorders>
                  <w:shd w:val="clear" w:color="auto" w:fill="auto"/>
                  <w:noWrap w:val="0"/>
                  <w:vAlign w:val="center"/>
                </w:tcPr>
                <w:p w14:paraId="58A1A1F1">
                  <w:pPr>
                    <w:pStyle w:val="6"/>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2778" w:type="dxa"/>
                  <w:tcBorders>
                    <w:tl2br w:val="nil"/>
                    <w:tr2bl w:val="nil"/>
                  </w:tcBorders>
                  <w:shd w:val="clear" w:color="auto" w:fill="auto"/>
                  <w:noWrap w:val="0"/>
                  <w:vAlign w:val="center"/>
                </w:tcPr>
                <w:p w14:paraId="67B1EE9E">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2000</w:t>
                  </w:r>
                  <w:r>
                    <w:rPr>
                      <w:rFonts w:hint="default" w:ascii="Times New Roman" w:hAnsi="Times New Roman" w:eastAsia="宋体" w:cs="Times New Roman"/>
                      <w:bCs/>
                      <w:color w:val="auto"/>
                      <w:sz w:val="21"/>
                      <w:szCs w:val="21"/>
                      <w:lang w:eastAsia="zh-CN"/>
                    </w:rPr>
                    <w:t>（无量纲）</w:t>
                  </w:r>
                </w:p>
              </w:tc>
            </w:tr>
            <w:tr w14:paraId="541B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3452457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5CD802EC">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1113" w:type="dxa"/>
                  <w:tcBorders>
                    <w:tl2br w:val="nil"/>
                    <w:tr2bl w:val="nil"/>
                  </w:tcBorders>
                  <w:shd w:val="clear" w:color="auto" w:fill="auto"/>
                  <w:noWrap w:val="0"/>
                  <w:vAlign w:val="center"/>
                </w:tcPr>
                <w:p w14:paraId="0B7D72B7">
                  <w:pPr>
                    <w:pStyle w:val="6"/>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w:t>
                  </w:r>
                </w:p>
              </w:tc>
              <w:tc>
                <w:tcPr>
                  <w:tcW w:w="2778" w:type="dxa"/>
                  <w:tcBorders>
                    <w:tl2br w:val="nil"/>
                    <w:tr2bl w:val="nil"/>
                  </w:tcBorders>
                  <w:shd w:val="clear" w:color="auto" w:fill="auto"/>
                  <w:noWrap w:val="0"/>
                  <w:vAlign w:val="center"/>
                </w:tcPr>
                <w:p w14:paraId="0849DB50">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4.9kg/h（排气筒高度：15m）</w:t>
                  </w:r>
                </w:p>
              </w:tc>
            </w:tr>
            <w:tr w14:paraId="3D9A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0" w:type="dxa"/>
                  <w:vMerge w:val="continue"/>
                  <w:tcBorders>
                    <w:tl2br w:val="nil"/>
                    <w:tr2bl w:val="nil"/>
                  </w:tcBorders>
                  <w:noWrap w:val="0"/>
                  <w:vAlign w:val="center"/>
                </w:tcPr>
                <w:p w14:paraId="52E1573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4C397287">
                  <w:pPr>
                    <w:pStyle w:val="6"/>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1113" w:type="dxa"/>
                  <w:tcBorders>
                    <w:tl2br w:val="nil"/>
                    <w:tr2bl w:val="nil"/>
                  </w:tcBorders>
                  <w:shd w:val="clear" w:color="auto" w:fill="auto"/>
                  <w:noWrap w:val="0"/>
                  <w:vAlign w:val="center"/>
                </w:tcPr>
                <w:p w14:paraId="449FC3B3">
                  <w:pPr>
                    <w:pStyle w:val="6"/>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硫化氢</w:t>
                  </w:r>
                </w:p>
              </w:tc>
              <w:tc>
                <w:tcPr>
                  <w:tcW w:w="2778" w:type="dxa"/>
                  <w:tcBorders>
                    <w:tl2br w:val="nil"/>
                    <w:tr2bl w:val="nil"/>
                  </w:tcBorders>
                  <w:shd w:val="clear" w:color="auto" w:fill="auto"/>
                  <w:noWrap w:val="0"/>
                  <w:vAlign w:val="center"/>
                </w:tcPr>
                <w:p w14:paraId="0B9F7FA0">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0.33kg/h（排气筒高度：15m）</w:t>
                  </w:r>
                </w:p>
              </w:tc>
            </w:tr>
            <w:tr w14:paraId="6D6F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70" w:type="dxa"/>
                  <w:vMerge w:val="continue"/>
                  <w:tcBorders>
                    <w:tl2br w:val="nil"/>
                    <w:tr2bl w:val="nil"/>
                  </w:tcBorders>
                  <w:noWrap w:val="0"/>
                  <w:vAlign w:val="center"/>
                </w:tcPr>
                <w:p w14:paraId="27AE98A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3730BDD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kern w:val="28"/>
                      <w:sz w:val="21"/>
                      <w:szCs w:val="21"/>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1"/>
                      <w:szCs w:val="21"/>
                      <w:highlight w:val="none"/>
                      <w:lang w:val="en-US" w:eastAsia="zh-CN" w:bidi="ar-SA"/>
                    </w:rPr>
                    <w:t>》</w:t>
                  </w:r>
                </w:p>
              </w:tc>
              <w:tc>
                <w:tcPr>
                  <w:tcW w:w="1113" w:type="dxa"/>
                  <w:tcBorders>
                    <w:tl2br w:val="nil"/>
                    <w:tr2bl w:val="nil"/>
                  </w:tcBorders>
                  <w:noWrap w:val="0"/>
                  <w:vAlign w:val="center"/>
                </w:tcPr>
                <w:p w14:paraId="1A31B95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lang w:val="en-US" w:eastAsia="zh-CN"/>
                    </w:rPr>
                  </w:pPr>
                  <w:r>
                    <w:rPr>
                      <w:rFonts w:hint="eastAsia"/>
                      <w:sz w:val="21"/>
                      <w:szCs w:val="21"/>
                      <w:lang w:val="en-US" w:eastAsia="zh-CN"/>
                    </w:rPr>
                    <w:t>颗粒物</w:t>
                  </w:r>
                </w:p>
              </w:tc>
              <w:tc>
                <w:tcPr>
                  <w:tcW w:w="2778" w:type="dxa"/>
                  <w:tcBorders>
                    <w:tl2br w:val="nil"/>
                    <w:tr2bl w:val="nil"/>
                  </w:tcBorders>
                  <w:noWrap w:val="0"/>
                  <w:vAlign w:val="center"/>
                </w:tcPr>
                <w:p w14:paraId="6AFD0B7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度限值5</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77C8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70" w:type="dxa"/>
                  <w:vMerge w:val="continue"/>
                  <w:tcBorders>
                    <w:tl2br w:val="nil"/>
                    <w:tr2bl w:val="nil"/>
                  </w:tcBorders>
                  <w:noWrap w:val="0"/>
                  <w:vAlign w:val="center"/>
                </w:tcPr>
                <w:p w14:paraId="1056C764">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1D848658">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auto"/>
                      <w:kern w:val="0"/>
                      <w:sz w:val="21"/>
                      <w:szCs w:val="21"/>
                      <w:highlight w:val="yellow"/>
                      <w:lang w:val="en-US" w:eastAsia="zh-CN"/>
                    </w:rPr>
                  </w:pPr>
                </w:p>
              </w:tc>
              <w:tc>
                <w:tcPr>
                  <w:tcW w:w="1113" w:type="dxa"/>
                  <w:tcBorders>
                    <w:tl2br w:val="nil"/>
                    <w:tr2bl w:val="nil"/>
                  </w:tcBorders>
                  <w:noWrap w:val="0"/>
                  <w:vAlign w:val="center"/>
                </w:tcPr>
                <w:p w14:paraId="42AAD3A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lang w:val="en-US" w:eastAsia="zh-CN"/>
                    </w:rPr>
                  </w:pPr>
                  <w:r>
                    <w:rPr>
                      <w:rFonts w:hint="eastAsia"/>
                      <w:sz w:val="21"/>
                      <w:szCs w:val="21"/>
                      <w:lang w:val="en-US" w:eastAsia="zh-CN"/>
                    </w:rPr>
                    <w:t>SO</w:t>
                  </w:r>
                  <w:r>
                    <w:rPr>
                      <w:rFonts w:hint="eastAsia"/>
                      <w:sz w:val="21"/>
                      <w:szCs w:val="21"/>
                      <w:vertAlign w:val="subscript"/>
                      <w:lang w:val="en-US" w:eastAsia="zh-CN"/>
                    </w:rPr>
                    <w:t>2</w:t>
                  </w:r>
                </w:p>
              </w:tc>
              <w:tc>
                <w:tcPr>
                  <w:tcW w:w="2778" w:type="dxa"/>
                  <w:tcBorders>
                    <w:tl2br w:val="nil"/>
                    <w:tr2bl w:val="nil"/>
                  </w:tcBorders>
                  <w:noWrap w:val="0"/>
                  <w:vAlign w:val="center"/>
                </w:tcPr>
                <w:p w14:paraId="6487B83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度限值10</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5642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70" w:type="dxa"/>
                  <w:vMerge w:val="continue"/>
                  <w:tcBorders>
                    <w:tl2br w:val="nil"/>
                    <w:tr2bl w:val="nil"/>
                  </w:tcBorders>
                  <w:noWrap w:val="0"/>
                  <w:vAlign w:val="center"/>
                </w:tcPr>
                <w:p w14:paraId="1A96277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3E96F1D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auto"/>
                      <w:kern w:val="0"/>
                      <w:sz w:val="21"/>
                      <w:szCs w:val="21"/>
                      <w:highlight w:val="yellow"/>
                      <w:lang w:val="en-US" w:eastAsia="zh-CN"/>
                    </w:rPr>
                  </w:pPr>
                </w:p>
              </w:tc>
              <w:tc>
                <w:tcPr>
                  <w:tcW w:w="1113" w:type="dxa"/>
                  <w:tcBorders>
                    <w:tl2br w:val="nil"/>
                    <w:tr2bl w:val="nil"/>
                  </w:tcBorders>
                  <w:noWrap w:val="0"/>
                  <w:vAlign w:val="center"/>
                </w:tcPr>
                <w:p w14:paraId="33B9CAF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lang w:val="en-US" w:eastAsia="zh-CN"/>
                    </w:rPr>
                  </w:pPr>
                  <w:r>
                    <w:rPr>
                      <w:rFonts w:hint="eastAsia"/>
                      <w:sz w:val="21"/>
                      <w:szCs w:val="21"/>
                      <w:lang w:val="en-US" w:eastAsia="zh-CN"/>
                    </w:rPr>
                    <w:t>NO</w:t>
                  </w:r>
                  <w:r>
                    <w:rPr>
                      <w:rFonts w:hint="eastAsia"/>
                      <w:sz w:val="21"/>
                      <w:szCs w:val="21"/>
                      <w:vertAlign w:val="subscript"/>
                      <w:lang w:val="en-US" w:eastAsia="zh-CN"/>
                    </w:rPr>
                    <w:t>X</w:t>
                  </w:r>
                </w:p>
              </w:tc>
              <w:tc>
                <w:tcPr>
                  <w:tcW w:w="2778" w:type="dxa"/>
                  <w:tcBorders>
                    <w:tl2br w:val="nil"/>
                    <w:tr2bl w:val="nil"/>
                  </w:tcBorders>
                  <w:noWrap w:val="0"/>
                  <w:vAlign w:val="center"/>
                </w:tcPr>
                <w:p w14:paraId="1BAAA61F">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度限值30</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08AB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70" w:type="dxa"/>
                  <w:vMerge w:val="continue"/>
                  <w:tcBorders>
                    <w:tl2br w:val="nil"/>
                    <w:tr2bl w:val="nil"/>
                  </w:tcBorders>
                  <w:noWrap w:val="0"/>
                  <w:vAlign w:val="center"/>
                </w:tcPr>
                <w:p w14:paraId="49AF19AF">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75781B2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auto"/>
                      <w:kern w:val="0"/>
                      <w:sz w:val="21"/>
                      <w:szCs w:val="21"/>
                      <w:highlight w:val="yellow"/>
                      <w:lang w:val="en-US" w:eastAsia="zh-CN"/>
                    </w:rPr>
                  </w:pPr>
                </w:p>
              </w:tc>
              <w:tc>
                <w:tcPr>
                  <w:tcW w:w="3891" w:type="dxa"/>
                  <w:gridSpan w:val="2"/>
                  <w:tcBorders>
                    <w:tl2br w:val="nil"/>
                    <w:tr2bl w:val="nil"/>
                  </w:tcBorders>
                  <w:noWrap w:val="0"/>
                  <w:vAlign w:val="center"/>
                </w:tcPr>
                <w:p w14:paraId="21CE411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基准含氧量3.5%</w:t>
                  </w:r>
                </w:p>
              </w:tc>
            </w:tr>
            <w:tr w14:paraId="4C4E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70" w:type="dxa"/>
                  <w:vMerge w:val="continue"/>
                  <w:tcBorders>
                    <w:tl2br w:val="nil"/>
                    <w:tr2bl w:val="nil"/>
                  </w:tcBorders>
                  <w:noWrap w:val="0"/>
                  <w:vAlign w:val="center"/>
                </w:tcPr>
                <w:p w14:paraId="22E7202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restart"/>
                  <w:tcBorders>
                    <w:tl2br w:val="nil"/>
                    <w:tr2bl w:val="nil"/>
                  </w:tcBorders>
                  <w:noWrap w:val="0"/>
                  <w:vAlign w:val="center"/>
                </w:tcPr>
                <w:p w14:paraId="1E917C8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rPr>
                    <w:t>《河南省</w:t>
                  </w:r>
                  <w:r>
                    <w:rPr>
                      <w:rFonts w:hint="eastAsia" w:ascii="Times New Roman" w:hAnsi="Times New Roman" w:eastAsia="宋体" w:cs="Times New Roman"/>
                      <w:i w:val="0"/>
                      <w:iCs w:val="0"/>
                      <w:caps w:val="0"/>
                      <w:color w:val="000000"/>
                      <w:spacing w:val="0"/>
                      <w:sz w:val="21"/>
                      <w:szCs w:val="21"/>
                      <w:lang w:val="en-US" w:eastAsia="zh-CN"/>
                    </w:rPr>
                    <w:t>锅炉大气污染物排放标准</w:t>
                  </w:r>
                  <w:r>
                    <w:rPr>
                      <w:rFonts w:hint="default" w:ascii="Times New Roman" w:hAnsi="Times New Roman" w:eastAsia="宋体" w:cs="Times New Roman"/>
                      <w:i w:val="0"/>
                      <w:iCs w:val="0"/>
                      <w:caps w:val="0"/>
                      <w:color w:val="000000"/>
                      <w:spacing w:val="0"/>
                      <w:sz w:val="21"/>
                      <w:szCs w:val="21"/>
                    </w:rPr>
                    <w:t xml:space="preserve">》（DB41/ </w:t>
                  </w:r>
                  <w:r>
                    <w:rPr>
                      <w:rFonts w:hint="eastAsia" w:ascii="Times New Roman" w:hAnsi="Times New Roman" w:eastAsia="宋体" w:cs="Times New Roman"/>
                      <w:i w:val="0"/>
                      <w:iCs w:val="0"/>
                      <w:caps w:val="0"/>
                      <w:color w:val="000000"/>
                      <w:spacing w:val="0"/>
                      <w:sz w:val="21"/>
                      <w:szCs w:val="21"/>
                      <w:lang w:val="en-US" w:eastAsia="zh-CN"/>
                    </w:rPr>
                    <w:t>2089</w:t>
                  </w:r>
                  <w:r>
                    <w:rPr>
                      <w:rFonts w:hint="default" w:ascii="Times New Roman" w:hAnsi="Times New Roman" w:eastAsia="宋体" w:cs="Times New Roman"/>
                      <w:i w:val="0"/>
                      <w:iCs w:val="0"/>
                      <w:caps w:val="0"/>
                      <w:color w:val="000000"/>
                      <w:spacing w:val="0"/>
                      <w:sz w:val="21"/>
                      <w:szCs w:val="21"/>
                    </w:rPr>
                    <w:t>—202</w:t>
                  </w:r>
                  <w:r>
                    <w:rPr>
                      <w:rFonts w:hint="eastAsia" w:ascii="Times New Roman" w:hAnsi="Times New Roman" w:eastAsia="宋体" w:cs="Times New Roman"/>
                      <w:i w:val="0"/>
                      <w:iCs w:val="0"/>
                      <w:caps w:val="0"/>
                      <w:color w:val="000000"/>
                      <w:spacing w:val="0"/>
                      <w:sz w:val="21"/>
                      <w:szCs w:val="21"/>
                      <w:lang w:val="en-US" w:eastAsia="zh-CN"/>
                    </w:rPr>
                    <w:t>1</w:t>
                  </w:r>
                  <w:r>
                    <w:rPr>
                      <w:rFonts w:hint="default" w:ascii="Times New Roman" w:hAnsi="Times New Roman" w:eastAsia="宋体" w:cs="Times New Roman"/>
                      <w:i w:val="0"/>
                      <w:iCs w:val="0"/>
                      <w:caps w:val="0"/>
                      <w:color w:val="000000"/>
                      <w:spacing w:val="0"/>
                      <w:sz w:val="21"/>
                      <w:szCs w:val="21"/>
                    </w:rPr>
                    <w:t>）</w:t>
                  </w:r>
                </w:p>
              </w:tc>
              <w:tc>
                <w:tcPr>
                  <w:tcW w:w="1113" w:type="dxa"/>
                  <w:tcBorders>
                    <w:tl2br w:val="nil"/>
                    <w:tr2bl w:val="nil"/>
                  </w:tcBorders>
                  <w:shd w:val="clear" w:color="auto" w:fill="auto"/>
                  <w:noWrap w:val="0"/>
                  <w:vAlign w:val="center"/>
                </w:tcPr>
                <w:p w14:paraId="3D3B543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颗粒物</w:t>
                  </w:r>
                </w:p>
              </w:tc>
              <w:tc>
                <w:tcPr>
                  <w:tcW w:w="2778" w:type="dxa"/>
                  <w:tcBorders>
                    <w:tl2br w:val="nil"/>
                    <w:tr2bl w:val="nil"/>
                  </w:tcBorders>
                  <w:noWrap w:val="0"/>
                  <w:vAlign w:val="center"/>
                </w:tcPr>
                <w:p w14:paraId="4F94564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度限值5</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004F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70" w:type="dxa"/>
                  <w:vMerge w:val="continue"/>
                  <w:tcBorders>
                    <w:tl2br w:val="nil"/>
                    <w:tr2bl w:val="nil"/>
                  </w:tcBorders>
                  <w:noWrap w:val="0"/>
                  <w:vAlign w:val="center"/>
                </w:tcPr>
                <w:p w14:paraId="11250E06">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5BC6579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i w:val="0"/>
                      <w:iCs w:val="0"/>
                      <w:caps w:val="0"/>
                      <w:color w:val="000000"/>
                      <w:spacing w:val="0"/>
                      <w:sz w:val="21"/>
                      <w:szCs w:val="21"/>
                    </w:rPr>
                  </w:pPr>
                </w:p>
              </w:tc>
              <w:tc>
                <w:tcPr>
                  <w:tcW w:w="1113" w:type="dxa"/>
                  <w:tcBorders>
                    <w:tl2br w:val="nil"/>
                    <w:tr2bl w:val="nil"/>
                  </w:tcBorders>
                  <w:shd w:val="clear" w:color="auto" w:fill="auto"/>
                  <w:noWrap w:val="0"/>
                  <w:vAlign w:val="center"/>
                </w:tcPr>
                <w:p w14:paraId="7DD560C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SO</w:t>
                  </w:r>
                  <w:r>
                    <w:rPr>
                      <w:rFonts w:hint="eastAsia"/>
                      <w:sz w:val="21"/>
                      <w:szCs w:val="21"/>
                      <w:vertAlign w:val="subscript"/>
                      <w:lang w:val="en-US" w:eastAsia="zh-CN"/>
                    </w:rPr>
                    <w:t>2</w:t>
                  </w:r>
                </w:p>
              </w:tc>
              <w:tc>
                <w:tcPr>
                  <w:tcW w:w="2778" w:type="dxa"/>
                  <w:tcBorders>
                    <w:tl2br w:val="nil"/>
                    <w:tr2bl w:val="nil"/>
                  </w:tcBorders>
                  <w:noWrap w:val="0"/>
                  <w:vAlign w:val="center"/>
                </w:tcPr>
                <w:p w14:paraId="3317A60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度限值10</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4796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70" w:type="dxa"/>
                  <w:vMerge w:val="continue"/>
                  <w:tcBorders>
                    <w:tl2br w:val="nil"/>
                    <w:tr2bl w:val="nil"/>
                  </w:tcBorders>
                  <w:noWrap w:val="0"/>
                  <w:vAlign w:val="center"/>
                </w:tcPr>
                <w:p w14:paraId="45F8565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7FA5D476">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sz w:val="21"/>
                      <w:szCs w:val="21"/>
                      <w:highlight w:val="none"/>
                      <w:lang w:val="en-US" w:eastAsia="zh-CN"/>
                    </w:rPr>
                  </w:pPr>
                </w:p>
              </w:tc>
              <w:tc>
                <w:tcPr>
                  <w:tcW w:w="1113" w:type="dxa"/>
                  <w:tcBorders>
                    <w:tl2br w:val="nil"/>
                    <w:tr2bl w:val="nil"/>
                  </w:tcBorders>
                  <w:shd w:val="clear" w:color="auto" w:fill="auto"/>
                  <w:noWrap w:val="0"/>
                  <w:vAlign w:val="center"/>
                </w:tcPr>
                <w:p w14:paraId="310EF71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NO</w:t>
                  </w:r>
                  <w:r>
                    <w:rPr>
                      <w:rFonts w:hint="eastAsia"/>
                      <w:sz w:val="21"/>
                      <w:szCs w:val="21"/>
                      <w:vertAlign w:val="subscript"/>
                      <w:lang w:val="en-US" w:eastAsia="zh-CN"/>
                    </w:rPr>
                    <w:t>X</w:t>
                  </w:r>
                </w:p>
              </w:tc>
              <w:tc>
                <w:tcPr>
                  <w:tcW w:w="2778" w:type="dxa"/>
                  <w:tcBorders>
                    <w:tl2br w:val="nil"/>
                    <w:tr2bl w:val="nil"/>
                  </w:tcBorders>
                  <w:noWrap w:val="0"/>
                  <w:vAlign w:val="center"/>
                </w:tcPr>
                <w:p w14:paraId="69EAEA8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kern w:val="2"/>
                      <w:sz w:val="21"/>
                      <w:szCs w:val="21"/>
                      <w:u w:val="none"/>
                      <w:lang w:val="en-US" w:eastAsia="zh-CN" w:bidi="ar"/>
                    </w:rPr>
                  </w:pPr>
                  <w:r>
                    <w:rPr>
                      <w:rFonts w:ascii="Times New Roman" w:hAnsi="Times New Roman" w:cs="Times New Roman"/>
                      <w:b w:val="0"/>
                      <w:bCs w:val="0"/>
                      <w:color w:val="auto"/>
                      <w:sz w:val="21"/>
                      <w:szCs w:val="21"/>
                    </w:rPr>
                    <w:t>排放浓</w:t>
                  </w:r>
                  <w:r>
                    <w:rPr>
                      <w:rFonts w:hint="eastAsia" w:cs="Times New Roman"/>
                      <w:b w:val="0"/>
                      <w:bCs w:val="0"/>
                      <w:color w:val="auto"/>
                      <w:sz w:val="21"/>
                      <w:szCs w:val="21"/>
                      <w:lang w:val="en-US" w:eastAsia="zh-CN"/>
                    </w:rPr>
                    <w:t>度限值30</w:t>
                  </w:r>
                  <w:r>
                    <w:rPr>
                      <w:rFonts w:ascii="Times New Roman" w:hAnsi="Times New Roman" w:cs="Times New Roman"/>
                      <w:b w:val="0"/>
                      <w:bCs w:val="0"/>
                      <w:color w:val="auto"/>
                      <w:sz w:val="21"/>
                      <w:szCs w:val="21"/>
                    </w:rPr>
                    <w:t>mg/m</w:t>
                  </w:r>
                  <w:r>
                    <w:rPr>
                      <w:rFonts w:ascii="Times New Roman" w:hAnsi="Times New Roman" w:cs="Times New Roman"/>
                      <w:b w:val="0"/>
                      <w:bCs w:val="0"/>
                      <w:color w:val="auto"/>
                      <w:sz w:val="21"/>
                      <w:szCs w:val="21"/>
                      <w:vertAlign w:val="superscript"/>
                    </w:rPr>
                    <w:t>3</w:t>
                  </w:r>
                </w:p>
              </w:tc>
            </w:tr>
            <w:tr w14:paraId="458A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70" w:type="dxa"/>
                  <w:vMerge w:val="continue"/>
                  <w:tcBorders>
                    <w:tl2br w:val="nil"/>
                    <w:tr2bl w:val="nil"/>
                  </w:tcBorders>
                  <w:noWrap w:val="0"/>
                  <w:vAlign w:val="center"/>
                </w:tcPr>
                <w:p w14:paraId="56749DA8">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szCs w:val="22"/>
                    </w:rPr>
                  </w:pPr>
                </w:p>
              </w:tc>
              <w:tc>
                <w:tcPr>
                  <w:tcW w:w="3337" w:type="dxa"/>
                  <w:vMerge w:val="continue"/>
                  <w:tcBorders>
                    <w:tl2br w:val="nil"/>
                    <w:tr2bl w:val="nil"/>
                  </w:tcBorders>
                  <w:noWrap w:val="0"/>
                  <w:vAlign w:val="center"/>
                </w:tcPr>
                <w:p w14:paraId="43B85968">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sz w:val="21"/>
                      <w:szCs w:val="21"/>
                      <w:highlight w:val="none"/>
                      <w:lang w:val="en-US" w:eastAsia="zh-CN"/>
                    </w:rPr>
                  </w:pPr>
                </w:p>
              </w:tc>
              <w:tc>
                <w:tcPr>
                  <w:tcW w:w="1113" w:type="dxa"/>
                  <w:tcBorders>
                    <w:tl2br w:val="nil"/>
                    <w:tr2bl w:val="nil"/>
                  </w:tcBorders>
                  <w:shd w:val="clear" w:color="auto" w:fill="auto"/>
                  <w:noWrap w:val="0"/>
                  <w:vAlign w:val="center"/>
                </w:tcPr>
                <w:p w14:paraId="17E77BF4">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sz w:val="21"/>
                      <w:szCs w:val="21"/>
                      <w:lang w:val="en-US" w:eastAsia="zh-CN"/>
                    </w:rPr>
                  </w:pPr>
                  <w:r>
                    <w:rPr>
                      <w:rFonts w:hint="eastAsia"/>
                      <w:sz w:val="21"/>
                      <w:szCs w:val="21"/>
                      <w:lang w:val="en-US" w:eastAsia="zh-CN"/>
                    </w:rPr>
                    <w:t>烟气黑度（林格曼黑度，级）</w:t>
                  </w:r>
                </w:p>
              </w:tc>
              <w:tc>
                <w:tcPr>
                  <w:tcW w:w="2778" w:type="dxa"/>
                  <w:tcBorders>
                    <w:tl2br w:val="nil"/>
                    <w:tr2bl w:val="nil"/>
                  </w:tcBorders>
                  <w:noWrap w:val="0"/>
                  <w:vAlign w:val="center"/>
                </w:tcPr>
                <w:p w14:paraId="4E4DB41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cs="Times New Roman"/>
                      <w:kern w:val="2"/>
                      <w:sz w:val="21"/>
                      <w:szCs w:val="21"/>
                      <w:u w:val="none"/>
                      <w:lang w:val="en-US" w:eastAsia="zh-CN" w:bidi="ar"/>
                    </w:rPr>
                  </w:pPr>
                  <w:r>
                    <w:rPr>
                      <w:rFonts w:hint="eastAsia" w:cs="Times New Roman"/>
                      <w:kern w:val="2"/>
                      <w:sz w:val="21"/>
                      <w:szCs w:val="21"/>
                      <w:u w:val="none"/>
                      <w:lang w:val="en-US" w:eastAsia="zh-CN" w:bidi="ar"/>
                    </w:rPr>
                    <w:t>浓度</w:t>
                  </w:r>
                  <w:r>
                    <w:rPr>
                      <w:rFonts w:ascii="Times New Roman" w:hAnsi="Times New Roman" w:cs="Times New Roman"/>
                      <w:b w:val="0"/>
                      <w:bCs w:val="0"/>
                      <w:color w:val="auto"/>
                      <w:sz w:val="21"/>
                      <w:szCs w:val="21"/>
                    </w:rPr>
                    <w:t>排放</w:t>
                  </w:r>
                  <w:r>
                    <w:rPr>
                      <w:rFonts w:hint="eastAsia" w:cs="Times New Roman"/>
                      <w:b w:val="0"/>
                      <w:bCs w:val="0"/>
                      <w:color w:val="auto"/>
                      <w:sz w:val="21"/>
                      <w:szCs w:val="21"/>
                      <w:lang w:val="en-US" w:eastAsia="zh-CN"/>
                    </w:rPr>
                    <w:t>限制≤</w:t>
                  </w:r>
                  <w:r>
                    <w:rPr>
                      <w:rFonts w:ascii="Times New Roman" w:hAnsi="Times New Roman" w:cs="Times New Roman"/>
                      <w:b w:val="0"/>
                      <w:bCs w:val="0"/>
                      <w:color w:val="auto"/>
                      <w:sz w:val="21"/>
                      <w:szCs w:val="21"/>
                    </w:rPr>
                    <w:t>1</w:t>
                  </w:r>
                  <w:r>
                    <w:rPr>
                      <w:rFonts w:hint="eastAsia" w:cs="Times New Roman"/>
                      <w:b w:val="0"/>
                      <w:bCs w:val="0"/>
                      <w:color w:val="auto"/>
                      <w:sz w:val="21"/>
                      <w:szCs w:val="21"/>
                      <w:lang w:val="en-US" w:eastAsia="zh-CN"/>
                    </w:rPr>
                    <w:t>.0级</w:t>
                  </w:r>
                </w:p>
              </w:tc>
            </w:tr>
            <w:tr w14:paraId="6D15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70" w:type="dxa"/>
                  <w:vMerge w:val="restart"/>
                  <w:tcBorders>
                    <w:tl2br w:val="nil"/>
                    <w:tr2bl w:val="nil"/>
                  </w:tcBorders>
                  <w:noWrap w:val="0"/>
                  <w:vAlign w:val="center"/>
                </w:tcPr>
                <w:p w14:paraId="2AFCF58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废水</w:t>
                  </w:r>
                </w:p>
              </w:tc>
              <w:tc>
                <w:tcPr>
                  <w:tcW w:w="3337" w:type="dxa"/>
                  <w:vMerge w:val="restart"/>
                  <w:tcBorders>
                    <w:tl2br w:val="nil"/>
                    <w:tr2bl w:val="nil"/>
                  </w:tcBorders>
                  <w:noWrap w:val="0"/>
                  <w:vAlign w:val="center"/>
                </w:tcPr>
                <w:p w14:paraId="44A7318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r>
                    <w:rPr>
                      <w:color w:val="auto"/>
                      <w:sz w:val="21"/>
                      <w:szCs w:val="21"/>
                      <w:highlight w:val="none"/>
                    </w:rPr>
                    <w:t>《污水综合排放标准》</w:t>
                  </w:r>
                  <w:r>
                    <w:rPr>
                      <w:rFonts w:hint="eastAsia"/>
                      <w:color w:val="auto"/>
                      <w:sz w:val="21"/>
                      <w:szCs w:val="21"/>
                      <w:highlight w:val="none"/>
                    </w:rPr>
                    <w:t>（</w:t>
                  </w:r>
                  <w:r>
                    <w:rPr>
                      <w:color w:val="auto"/>
                      <w:sz w:val="21"/>
                      <w:szCs w:val="21"/>
                      <w:highlight w:val="none"/>
                    </w:rPr>
                    <w:t>GB8978-1996</w:t>
                  </w:r>
                  <w:r>
                    <w:rPr>
                      <w:rFonts w:hint="eastAsia"/>
                      <w:color w:val="auto"/>
                      <w:sz w:val="21"/>
                      <w:szCs w:val="21"/>
                      <w:highlight w:val="none"/>
                    </w:rPr>
                    <w:t>）</w:t>
                  </w:r>
                  <w:r>
                    <w:rPr>
                      <w:rFonts w:hint="eastAsia"/>
                      <w:color w:val="auto"/>
                      <w:sz w:val="21"/>
                      <w:szCs w:val="21"/>
                      <w:highlight w:val="none"/>
                      <w:lang w:eastAsia="zh-CN"/>
                    </w:rPr>
                    <w:t>表</w:t>
                  </w:r>
                  <w:r>
                    <w:rPr>
                      <w:rFonts w:hint="eastAsia"/>
                      <w:color w:val="auto"/>
                      <w:sz w:val="21"/>
                      <w:szCs w:val="21"/>
                      <w:highlight w:val="none"/>
                      <w:lang w:val="en-US" w:eastAsia="zh-CN"/>
                    </w:rPr>
                    <w:t>4</w:t>
                  </w:r>
                  <w:r>
                    <w:rPr>
                      <w:rFonts w:hint="eastAsia"/>
                      <w:color w:val="auto"/>
                      <w:sz w:val="21"/>
                      <w:szCs w:val="21"/>
                      <w:highlight w:val="none"/>
                    </w:rPr>
                    <w:t>三级标准</w:t>
                  </w:r>
                </w:p>
              </w:tc>
              <w:tc>
                <w:tcPr>
                  <w:tcW w:w="1113" w:type="dxa"/>
                  <w:tcBorders>
                    <w:tl2br w:val="nil"/>
                    <w:tr2bl w:val="nil"/>
                  </w:tcBorders>
                  <w:shd w:val="clear" w:color="auto" w:fill="auto"/>
                  <w:noWrap w:val="0"/>
                  <w:vAlign w:val="center"/>
                </w:tcPr>
                <w:p w14:paraId="659E6B88">
                  <w:pPr>
                    <w:pStyle w:val="15"/>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CO</w:t>
                  </w:r>
                  <w:r>
                    <w:rPr>
                      <w:rFonts w:hint="eastAsia"/>
                      <w:color w:val="auto"/>
                      <w:sz w:val="21"/>
                      <w:szCs w:val="21"/>
                      <w:highlight w:val="none"/>
                    </w:rPr>
                    <w:t>D</w:t>
                  </w:r>
                </w:p>
              </w:tc>
              <w:tc>
                <w:tcPr>
                  <w:tcW w:w="2778" w:type="dxa"/>
                  <w:tcBorders>
                    <w:tl2br w:val="nil"/>
                    <w:tr2bl w:val="nil"/>
                  </w:tcBorders>
                  <w:shd w:val="clear" w:color="auto" w:fill="auto"/>
                  <w:noWrap w:val="0"/>
                  <w:vAlign w:val="center"/>
                </w:tcPr>
                <w:p w14:paraId="2D95066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500mg/L</w:t>
                  </w:r>
                </w:p>
              </w:tc>
            </w:tr>
            <w:tr w14:paraId="3134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70" w:type="dxa"/>
                  <w:vMerge w:val="continue"/>
                  <w:tcBorders>
                    <w:tl2br w:val="nil"/>
                    <w:tr2bl w:val="nil"/>
                  </w:tcBorders>
                  <w:noWrap w:val="0"/>
                  <w:vAlign w:val="center"/>
                </w:tcPr>
                <w:p w14:paraId="370EFD8C">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37E55C2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3A636A6E">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SS</w:t>
                  </w:r>
                </w:p>
              </w:tc>
              <w:tc>
                <w:tcPr>
                  <w:tcW w:w="2778" w:type="dxa"/>
                  <w:tcBorders>
                    <w:tl2br w:val="nil"/>
                    <w:tr2bl w:val="nil"/>
                  </w:tcBorders>
                  <w:shd w:val="clear" w:color="auto" w:fill="auto"/>
                  <w:noWrap w:val="0"/>
                  <w:vAlign w:val="center"/>
                </w:tcPr>
                <w:p w14:paraId="42E6BD0A">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400mg/L</w:t>
                  </w:r>
                </w:p>
              </w:tc>
            </w:tr>
            <w:tr w14:paraId="620A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70" w:type="dxa"/>
                  <w:vMerge w:val="continue"/>
                  <w:tcBorders>
                    <w:tl2br w:val="nil"/>
                    <w:tr2bl w:val="nil"/>
                  </w:tcBorders>
                  <w:noWrap w:val="0"/>
                  <w:vAlign w:val="center"/>
                </w:tcPr>
                <w:p w14:paraId="3622191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11F6C47D">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38F270EA">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BOD</w:t>
                  </w:r>
                  <w:r>
                    <w:rPr>
                      <w:rFonts w:hint="eastAsia"/>
                      <w:color w:val="auto"/>
                      <w:sz w:val="21"/>
                      <w:szCs w:val="21"/>
                      <w:highlight w:val="none"/>
                      <w:vertAlign w:val="subscript"/>
                    </w:rPr>
                    <w:t>5</w:t>
                  </w:r>
                </w:p>
              </w:tc>
              <w:tc>
                <w:tcPr>
                  <w:tcW w:w="2778" w:type="dxa"/>
                  <w:tcBorders>
                    <w:tl2br w:val="nil"/>
                    <w:tr2bl w:val="nil"/>
                  </w:tcBorders>
                  <w:shd w:val="clear" w:color="auto" w:fill="auto"/>
                  <w:noWrap w:val="0"/>
                  <w:vAlign w:val="center"/>
                </w:tcPr>
                <w:p w14:paraId="6D18F8D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00mg/L</w:t>
                  </w:r>
                </w:p>
              </w:tc>
            </w:tr>
            <w:tr w14:paraId="3F96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70" w:type="dxa"/>
                  <w:vMerge w:val="continue"/>
                  <w:tcBorders>
                    <w:tl2br w:val="nil"/>
                    <w:tr2bl w:val="nil"/>
                  </w:tcBorders>
                  <w:noWrap w:val="0"/>
                  <w:vAlign w:val="center"/>
                </w:tcPr>
                <w:p w14:paraId="1AAC28B8">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2EF70F69">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6508A35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氨氮</w:t>
                  </w:r>
                </w:p>
              </w:tc>
              <w:tc>
                <w:tcPr>
                  <w:tcW w:w="2778" w:type="dxa"/>
                  <w:tcBorders>
                    <w:tl2br w:val="nil"/>
                    <w:tr2bl w:val="nil"/>
                  </w:tcBorders>
                  <w:shd w:val="clear" w:color="auto" w:fill="auto"/>
                  <w:noWrap w:val="0"/>
                  <w:vAlign w:val="center"/>
                </w:tcPr>
                <w:p w14:paraId="7487C011">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r>
            <w:tr w14:paraId="1728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70" w:type="dxa"/>
                  <w:vMerge w:val="continue"/>
                  <w:tcBorders>
                    <w:tl2br w:val="nil"/>
                    <w:tr2bl w:val="nil"/>
                  </w:tcBorders>
                  <w:noWrap w:val="0"/>
                  <w:vAlign w:val="center"/>
                </w:tcPr>
                <w:p w14:paraId="2A7E711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058DF52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76958EEB">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动植物油</w:t>
                  </w:r>
                </w:p>
              </w:tc>
              <w:tc>
                <w:tcPr>
                  <w:tcW w:w="2778" w:type="dxa"/>
                  <w:tcBorders>
                    <w:tl2br w:val="nil"/>
                    <w:tr2bl w:val="nil"/>
                  </w:tcBorders>
                  <w:noWrap w:val="0"/>
                  <w:vAlign w:val="center"/>
                </w:tcPr>
                <w:p w14:paraId="3B29CDA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00mg/L</w:t>
                  </w:r>
                </w:p>
              </w:tc>
            </w:tr>
            <w:tr w14:paraId="4E92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70" w:type="dxa"/>
                  <w:vMerge w:val="continue"/>
                  <w:tcBorders>
                    <w:tl2br w:val="nil"/>
                    <w:tr2bl w:val="nil"/>
                  </w:tcBorders>
                  <w:noWrap w:val="0"/>
                  <w:vAlign w:val="center"/>
                </w:tcPr>
                <w:p w14:paraId="0185A84F">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restart"/>
                  <w:tcBorders>
                    <w:tl2br w:val="nil"/>
                    <w:tr2bl w:val="nil"/>
                  </w:tcBorders>
                  <w:noWrap w:val="0"/>
                  <w:vAlign w:val="center"/>
                </w:tcPr>
                <w:p w14:paraId="1C65D33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cs="宋体"/>
                      <w:i w:val="0"/>
                      <w:iCs w:val="0"/>
                      <w:caps w:val="0"/>
                      <w:color w:val="000000"/>
                      <w:spacing w:val="0"/>
                      <w:sz w:val="21"/>
                      <w:szCs w:val="21"/>
                      <w:highlight w:val="none"/>
                      <w:lang w:val="en-US" w:eastAsia="zh-CN"/>
                    </w:rPr>
                  </w:pPr>
                  <w:r>
                    <w:rPr>
                      <w:rFonts w:hint="eastAsia" w:ascii="宋体" w:hAnsi="宋体" w:eastAsia="宋体" w:cs="宋体"/>
                      <w:i w:val="0"/>
                      <w:iCs w:val="0"/>
                      <w:caps w:val="0"/>
                      <w:color w:val="000000"/>
                      <w:spacing w:val="0"/>
                      <w:sz w:val="21"/>
                      <w:szCs w:val="21"/>
                      <w:highlight w:val="none"/>
                    </w:rPr>
                    <w:t>叶县</w:t>
                  </w:r>
                  <w:r>
                    <w:rPr>
                      <w:rFonts w:hint="eastAsia" w:ascii="宋体" w:hAnsi="宋体" w:cs="宋体"/>
                      <w:i w:val="0"/>
                      <w:iCs w:val="0"/>
                      <w:caps w:val="0"/>
                      <w:color w:val="000000"/>
                      <w:spacing w:val="0"/>
                      <w:sz w:val="21"/>
                      <w:szCs w:val="21"/>
                      <w:highlight w:val="none"/>
                      <w:lang w:val="en-US" w:eastAsia="zh-CN"/>
                    </w:rPr>
                    <w:t>廉村镇</w:t>
                  </w:r>
                  <w:r>
                    <w:rPr>
                      <w:rFonts w:hint="eastAsia" w:ascii="宋体" w:hAnsi="宋体" w:eastAsia="宋体" w:cs="宋体"/>
                      <w:i w:val="0"/>
                      <w:iCs w:val="0"/>
                      <w:caps w:val="0"/>
                      <w:color w:val="000000"/>
                      <w:spacing w:val="0"/>
                      <w:sz w:val="21"/>
                      <w:szCs w:val="21"/>
                      <w:highlight w:val="none"/>
                    </w:rPr>
                    <w:t>污水处理</w:t>
                  </w:r>
                  <w:r>
                    <w:rPr>
                      <w:rFonts w:hint="eastAsia" w:ascii="宋体" w:hAnsi="宋体" w:cs="宋体"/>
                      <w:i w:val="0"/>
                      <w:iCs w:val="0"/>
                      <w:caps w:val="0"/>
                      <w:color w:val="000000"/>
                      <w:spacing w:val="0"/>
                      <w:sz w:val="21"/>
                      <w:szCs w:val="21"/>
                      <w:highlight w:val="none"/>
                      <w:lang w:val="en-US" w:eastAsia="zh-CN"/>
                    </w:rPr>
                    <w:t>站</w:t>
                  </w:r>
                </w:p>
                <w:p w14:paraId="7DA796B5">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eastAsia="宋体"/>
                      <w:color w:val="auto"/>
                      <w:sz w:val="21"/>
                      <w:szCs w:val="21"/>
                      <w:highlight w:val="none"/>
                      <w:lang w:val="en-US" w:eastAsia="zh-CN"/>
                    </w:rPr>
                  </w:pPr>
                  <w:r>
                    <w:rPr>
                      <w:rFonts w:hint="eastAsia" w:ascii="宋体" w:hAnsi="宋体" w:eastAsia="宋体" w:cs="宋体"/>
                      <w:i w:val="0"/>
                      <w:iCs w:val="0"/>
                      <w:caps w:val="0"/>
                      <w:color w:val="000000"/>
                      <w:spacing w:val="0"/>
                      <w:sz w:val="21"/>
                      <w:szCs w:val="21"/>
                      <w:highlight w:val="none"/>
                    </w:rPr>
                    <w:t>进水水质要</w:t>
                  </w:r>
                  <w:r>
                    <w:rPr>
                      <w:rFonts w:hint="eastAsia" w:ascii="宋体" w:hAnsi="宋体" w:eastAsia="宋体" w:cs="宋体"/>
                      <w:i w:val="0"/>
                      <w:iCs w:val="0"/>
                      <w:caps w:val="0"/>
                      <w:color w:val="000000"/>
                      <w:spacing w:val="0"/>
                      <w:sz w:val="21"/>
                      <w:szCs w:val="21"/>
                      <w:highlight w:val="none"/>
                      <w:lang w:val="en-US" w:eastAsia="zh-CN"/>
                    </w:rPr>
                    <w:t>求</w:t>
                  </w:r>
                </w:p>
              </w:tc>
              <w:tc>
                <w:tcPr>
                  <w:tcW w:w="1113" w:type="dxa"/>
                  <w:tcBorders>
                    <w:tl2br w:val="nil"/>
                    <w:tr2bl w:val="nil"/>
                  </w:tcBorders>
                  <w:shd w:val="clear" w:color="auto" w:fill="auto"/>
                  <w:noWrap w:val="0"/>
                  <w:vAlign w:val="center"/>
                </w:tcPr>
                <w:p w14:paraId="2C8A24C2">
                  <w:pPr>
                    <w:pStyle w:val="15"/>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CO</w:t>
                  </w:r>
                  <w:r>
                    <w:rPr>
                      <w:rFonts w:hint="eastAsia"/>
                      <w:color w:val="auto"/>
                      <w:sz w:val="21"/>
                      <w:szCs w:val="21"/>
                      <w:highlight w:val="none"/>
                    </w:rPr>
                    <w:t>D</w:t>
                  </w:r>
                </w:p>
              </w:tc>
              <w:tc>
                <w:tcPr>
                  <w:tcW w:w="2778" w:type="dxa"/>
                  <w:tcBorders>
                    <w:tl2br w:val="nil"/>
                    <w:tr2bl w:val="nil"/>
                  </w:tcBorders>
                  <w:shd w:val="clear" w:color="auto" w:fill="auto"/>
                  <w:noWrap w:val="0"/>
                  <w:vAlign w:val="center"/>
                </w:tcPr>
                <w:p w14:paraId="66EB4ADD">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300</w:t>
                  </w:r>
                  <w:r>
                    <w:rPr>
                      <w:rFonts w:hint="eastAsia"/>
                      <w:color w:val="auto"/>
                      <w:sz w:val="21"/>
                      <w:szCs w:val="21"/>
                      <w:highlight w:val="none"/>
                    </w:rPr>
                    <w:t>mg/L</w:t>
                  </w:r>
                </w:p>
              </w:tc>
            </w:tr>
            <w:tr w14:paraId="243E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70" w:type="dxa"/>
                  <w:vMerge w:val="continue"/>
                  <w:tcBorders>
                    <w:tl2br w:val="nil"/>
                    <w:tr2bl w:val="nil"/>
                  </w:tcBorders>
                  <w:noWrap w:val="0"/>
                  <w:vAlign w:val="center"/>
                </w:tcPr>
                <w:p w14:paraId="3848C87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0B56B48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206E66A9">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SS</w:t>
                  </w:r>
                </w:p>
              </w:tc>
              <w:tc>
                <w:tcPr>
                  <w:tcW w:w="2778" w:type="dxa"/>
                  <w:tcBorders>
                    <w:tl2br w:val="nil"/>
                    <w:tr2bl w:val="nil"/>
                  </w:tcBorders>
                  <w:shd w:val="clear" w:color="auto" w:fill="auto"/>
                  <w:noWrap w:val="0"/>
                  <w:vAlign w:val="center"/>
                </w:tcPr>
                <w:p w14:paraId="22F3B856">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200</w:t>
                  </w:r>
                  <w:r>
                    <w:rPr>
                      <w:rFonts w:hint="eastAsia"/>
                      <w:color w:val="auto"/>
                      <w:sz w:val="21"/>
                      <w:szCs w:val="21"/>
                      <w:highlight w:val="none"/>
                    </w:rPr>
                    <w:t>mg/L</w:t>
                  </w:r>
                </w:p>
              </w:tc>
            </w:tr>
            <w:tr w14:paraId="6737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70" w:type="dxa"/>
                  <w:vMerge w:val="continue"/>
                  <w:tcBorders>
                    <w:tl2br w:val="nil"/>
                    <w:tr2bl w:val="nil"/>
                  </w:tcBorders>
                  <w:noWrap w:val="0"/>
                  <w:vAlign w:val="center"/>
                </w:tcPr>
                <w:p w14:paraId="09A7AB4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65A7C2AA">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4270B59D">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BOD</w:t>
                  </w:r>
                  <w:r>
                    <w:rPr>
                      <w:rFonts w:hint="eastAsia"/>
                      <w:color w:val="auto"/>
                      <w:sz w:val="21"/>
                      <w:szCs w:val="21"/>
                      <w:highlight w:val="none"/>
                      <w:vertAlign w:val="subscript"/>
                    </w:rPr>
                    <w:t>5</w:t>
                  </w:r>
                </w:p>
              </w:tc>
              <w:tc>
                <w:tcPr>
                  <w:tcW w:w="2778" w:type="dxa"/>
                  <w:tcBorders>
                    <w:tl2br w:val="nil"/>
                    <w:tr2bl w:val="nil"/>
                  </w:tcBorders>
                  <w:shd w:val="clear" w:color="auto" w:fill="auto"/>
                  <w:noWrap w:val="0"/>
                  <w:vAlign w:val="center"/>
                </w:tcPr>
                <w:p w14:paraId="13FC579E">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200</w:t>
                  </w:r>
                  <w:r>
                    <w:rPr>
                      <w:rFonts w:hint="eastAsia"/>
                      <w:color w:val="auto"/>
                      <w:sz w:val="21"/>
                      <w:szCs w:val="21"/>
                      <w:highlight w:val="none"/>
                    </w:rPr>
                    <w:t>mg/L</w:t>
                  </w:r>
                </w:p>
              </w:tc>
            </w:tr>
            <w:tr w14:paraId="2ED8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70" w:type="dxa"/>
                  <w:vMerge w:val="continue"/>
                  <w:tcBorders>
                    <w:tl2br w:val="nil"/>
                    <w:tr2bl w:val="nil"/>
                  </w:tcBorders>
                  <w:noWrap w:val="0"/>
                  <w:vAlign w:val="center"/>
                </w:tcPr>
                <w:p w14:paraId="274C9592">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p>
              </w:tc>
              <w:tc>
                <w:tcPr>
                  <w:tcW w:w="3337" w:type="dxa"/>
                  <w:vMerge w:val="continue"/>
                  <w:tcBorders>
                    <w:tl2br w:val="nil"/>
                    <w:tr2bl w:val="nil"/>
                  </w:tcBorders>
                  <w:noWrap w:val="0"/>
                  <w:vAlign w:val="center"/>
                </w:tcPr>
                <w:p w14:paraId="6FE33B8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lang w:val="en-US" w:eastAsia="zh-CN"/>
                    </w:rPr>
                  </w:pPr>
                </w:p>
              </w:tc>
              <w:tc>
                <w:tcPr>
                  <w:tcW w:w="1113" w:type="dxa"/>
                  <w:tcBorders>
                    <w:tl2br w:val="nil"/>
                    <w:tr2bl w:val="nil"/>
                  </w:tcBorders>
                  <w:shd w:val="clear" w:color="auto" w:fill="auto"/>
                  <w:noWrap w:val="0"/>
                  <w:vAlign w:val="center"/>
                </w:tcPr>
                <w:p w14:paraId="23464419">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氨氮</w:t>
                  </w:r>
                </w:p>
              </w:tc>
              <w:tc>
                <w:tcPr>
                  <w:tcW w:w="2778" w:type="dxa"/>
                  <w:tcBorders>
                    <w:tl2br w:val="nil"/>
                    <w:tr2bl w:val="nil"/>
                  </w:tcBorders>
                  <w:shd w:val="clear" w:color="auto" w:fill="auto"/>
                  <w:noWrap w:val="0"/>
                  <w:vAlign w:val="center"/>
                </w:tcPr>
                <w:p w14:paraId="796EA5E2">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w:t>
                  </w:r>
                  <w:r>
                    <w:rPr>
                      <w:rFonts w:hint="eastAsia"/>
                      <w:color w:val="auto"/>
                      <w:sz w:val="21"/>
                      <w:szCs w:val="21"/>
                      <w:highlight w:val="none"/>
                    </w:rPr>
                    <w:t>mg/L</w:t>
                  </w:r>
                </w:p>
              </w:tc>
            </w:tr>
            <w:tr w14:paraId="0940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70" w:type="dxa"/>
                  <w:vMerge w:val="restart"/>
                  <w:tcBorders>
                    <w:tl2br w:val="nil"/>
                    <w:tr2bl w:val="nil"/>
                  </w:tcBorders>
                  <w:noWrap w:val="0"/>
                  <w:vAlign w:val="center"/>
                </w:tcPr>
                <w:p w14:paraId="102D0A5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噪声</w:t>
                  </w:r>
                </w:p>
              </w:tc>
              <w:tc>
                <w:tcPr>
                  <w:tcW w:w="3337" w:type="dxa"/>
                  <w:vMerge w:val="restart"/>
                  <w:tcBorders>
                    <w:tl2br w:val="nil"/>
                    <w:tr2bl w:val="nil"/>
                  </w:tcBorders>
                  <w:noWrap w:val="0"/>
                  <w:vAlign w:val="center"/>
                </w:tcPr>
                <w:p w14:paraId="0221D0A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color w:val="auto"/>
                      <w:sz w:val="21"/>
                      <w:szCs w:val="21"/>
                      <w:highlight w:val="none"/>
                    </w:rPr>
                  </w:pPr>
                  <w:r>
                    <w:rPr>
                      <w:color w:val="auto"/>
                      <w:sz w:val="21"/>
                      <w:szCs w:val="21"/>
                      <w:highlight w:val="none"/>
                    </w:rPr>
                    <w:t>《工业企业厂界环境噪声排放标准》(GB12348-2008)</w:t>
                  </w:r>
                </w:p>
                <w:p w14:paraId="5F4E69C8">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2类</w:t>
                  </w:r>
                  <w:r>
                    <w:rPr>
                      <w:color w:val="auto"/>
                      <w:sz w:val="21"/>
                      <w:szCs w:val="21"/>
                      <w:highlight w:val="none"/>
                    </w:rPr>
                    <w:t>标准</w:t>
                  </w:r>
                </w:p>
              </w:tc>
              <w:tc>
                <w:tcPr>
                  <w:tcW w:w="1113" w:type="dxa"/>
                  <w:vMerge w:val="restart"/>
                  <w:tcBorders>
                    <w:tl2br w:val="nil"/>
                    <w:tr2bl w:val="nil"/>
                  </w:tcBorders>
                  <w:noWrap w:val="0"/>
                  <w:vAlign w:val="center"/>
                </w:tcPr>
                <w:p w14:paraId="53921B1E">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L</w:t>
                  </w:r>
                  <w:r>
                    <w:rPr>
                      <w:rFonts w:hint="eastAsia"/>
                      <w:color w:val="auto"/>
                      <w:sz w:val="21"/>
                      <w:szCs w:val="21"/>
                      <w:highlight w:val="none"/>
                      <w:vertAlign w:val="subscript"/>
                    </w:rPr>
                    <w:t>Aeq</w:t>
                  </w:r>
                </w:p>
              </w:tc>
              <w:tc>
                <w:tcPr>
                  <w:tcW w:w="2778" w:type="dxa"/>
                  <w:tcBorders>
                    <w:tl2br w:val="nil"/>
                    <w:tr2bl w:val="nil"/>
                  </w:tcBorders>
                  <w:noWrap w:val="0"/>
                  <w:vAlign w:val="center"/>
                </w:tcPr>
                <w:p w14:paraId="359826C1">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昼间60</w:t>
                  </w:r>
                  <w:r>
                    <w:rPr>
                      <w:color w:val="auto"/>
                      <w:sz w:val="21"/>
                      <w:szCs w:val="21"/>
                      <w:highlight w:val="none"/>
                    </w:rPr>
                    <w:t>dB(A)</w:t>
                  </w:r>
                </w:p>
              </w:tc>
            </w:tr>
            <w:tr w14:paraId="03EA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70" w:type="dxa"/>
                  <w:vMerge w:val="continue"/>
                  <w:tcBorders>
                    <w:tl2br w:val="nil"/>
                    <w:tr2bl w:val="nil"/>
                  </w:tcBorders>
                  <w:noWrap w:val="0"/>
                  <w:vAlign w:val="top"/>
                </w:tcPr>
                <w:p w14:paraId="47A14A8A">
                  <w:pPr>
                    <w:keepNext w:val="0"/>
                    <w:keepLines w:val="0"/>
                    <w:widowControl/>
                    <w:numPr>
                      <w:ilvl w:val="0"/>
                      <w:numId w:val="0"/>
                    </w:numPr>
                    <w:suppressLineNumbers w:val="0"/>
                    <w:spacing w:line="360" w:lineRule="auto"/>
                    <w:jc w:val="left"/>
                    <w:rPr>
                      <w:szCs w:val="22"/>
                      <w:vertAlign w:val="baseline"/>
                    </w:rPr>
                  </w:pPr>
                </w:p>
              </w:tc>
              <w:tc>
                <w:tcPr>
                  <w:tcW w:w="3337" w:type="dxa"/>
                  <w:vMerge w:val="continue"/>
                  <w:tcBorders>
                    <w:tl2br w:val="nil"/>
                    <w:tr2bl w:val="nil"/>
                  </w:tcBorders>
                  <w:noWrap w:val="0"/>
                  <w:vAlign w:val="top"/>
                </w:tcPr>
                <w:p w14:paraId="4E64A2F3">
                  <w:pPr>
                    <w:keepNext w:val="0"/>
                    <w:keepLines w:val="0"/>
                    <w:widowControl/>
                    <w:numPr>
                      <w:ilvl w:val="0"/>
                      <w:numId w:val="0"/>
                    </w:numPr>
                    <w:suppressLineNumbers w:val="0"/>
                    <w:spacing w:line="360" w:lineRule="auto"/>
                    <w:jc w:val="left"/>
                    <w:rPr>
                      <w:szCs w:val="22"/>
                      <w:vertAlign w:val="baseline"/>
                    </w:rPr>
                  </w:pPr>
                </w:p>
              </w:tc>
              <w:tc>
                <w:tcPr>
                  <w:tcW w:w="1113" w:type="dxa"/>
                  <w:vMerge w:val="continue"/>
                  <w:tcBorders>
                    <w:tl2br w:val="nil"/>
                    <w:tr2bl w:val="nil"/>
                  </w:tcBorders>
                  <w:noWrap w:val="0"/>
                  <w:vAlign w:val="top"/>
                </w:tcPr>
                <w:p w14:paraId="26A75DAA">
                  <w:pPr>
                    <w:keepNext w:val="0"/>
                    <w:keepLines w:val="0"/>
                    <w:widowControl/>
                    <w:numPr>
                      <w:ilvl w:val="0"/>
                      <w:numId w:val="0"/>
                    </w:numPr>
                    <w:suppressLineNumbers w:val="0"/>
                    <w:spacing w:line="360" w:lineRule="auto"/>
                    <w:jc w:val="left"/>
                    <w:rPr>
                      <w:szCs w:val="22"/>
                      <w:vertAlign w:val="baseline"/>
                    </w:rPr>
                  </w:pPr>
                </w:p>
              </w:tc>
              <w:tc>
                <w:tcPr>
                  <w:tcW w:w="2778" w:type="dxa"/>
                  <w:tcBorders>
                    <w:tl2br w:val="nil"/>
                    <w:tr2bl w:val="nil"/>
                  </w:tcBorders>
                  <w:noWrap w:val="0"/>
                  <w:vAlign w:val="center"/>
                </w:tcPr>
                <w:p w14:paraId="5579700B">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夜间50</w:t>
                  </w:r>
                  <w:r>
                    <w:rPr>
                      <w:color w:val="auto"/>
                      <w:sz w:val="21"/>
                      <w:szCs w:val="21"/>
                    </w:rPr>
                    <w:t>dB(A)</w:t>
                  </w:r>
                </w:p>
              </w:tc>
            </w:tr>
            <w:tr w14:paraId="648B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70" w:type="dxa"/>
                  <w:tcBorders>
                    <w:tl2br w:val="nil"/>
                    <w:tr2bl w:val="nil"/>
                  </w:tcBorders>
                  <w:noWrap w:val="0"/>
                  <w:vAlign w:val="center"/>
                </w:tcPr>
                <w:p w14:paraId="6F57DC67">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highlight w:val="none"/>
                    </w:rPr>
                  </w:pPr>
                  <w:r>
                    <w:rPr>
                      <w:rFonts w:hint="eastAsia"/>
                      <w:color w:val="auto"/>
                      <w:sz w:val="21"/>
                      <w:szCs w:val="21"/>
                      <w:highlight w:val="none"/>
                    </w:rPr>
                    <w:t>固体</w:t>
                  </w:r>
                </w:p>
                <w:p w14:paraId="4677020D">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rPr>
                    <w:t>废物</w:t>
                  </w:r>
                </w:p>
              </w:tc>
              <w:tc>
                <w:tcPr>
                  <w:tcW w:w="7228" w:type="dxa"/>
                  <w:gridSpan w:val="3"/>
                  <w:tcBorders>
                    <w:tl2br w:val="nil"/>
                    <w:tr2bl w:val="nil"/>
                  </w:tcBorders>
                  <w:noWrap w:val="0"/>
                  <w:vAlign w:val="center"/>
                </w:tcPr>
                <w:p w14:paraId="67FC8BC3">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一般固体废物执行《一般工业固体废物贮存和填埋污染控制标准》</w:t>
                  </w:r>
                </w:p>
                <w:p w14:paraId="17D4BA86">
                  <w:pPr>
                    <w:keepNext w:val="0"/>
                    <w:keepLines w:val="0"/>
                    <w:pageBreakBefore w:val="0"/>
                    <w:suppressLineNumbers w:val="0"/>
                    <w:kinsoku/>
                    <w:overflowPunct/>
                    <w:topLinePunct w:val="0"/>
                    <w:autoSpaceDN/>
                    <w:bidi w:val="0"/>
                    <w:spacing w:before="0" w:beforeAutospacing="0" w:after="0" w:afterAutospacing="0" w:line="240" w:lineRule="auto"/>
                    <w:ind w:left="0" w:right="0"/>
                    <w:jc w:val="center"/>
                    <w:rPr>
                      <w:rFonts w:hint="eastAsia" w:ascii="Times New Roman" w:hAnsi="Times New Roman" w:cs="Times New Roman"/>
                      <w:sz w:val="21"/>
                      <w:szCs w:val="21"/>
                      <w:lang w:val="en-US" w:eastAsia="zh-CN"/>
                    </w:rPr>
                  </w:pPr>
                  <w:r>
                    <w:rPr>
                      <w:rFonts w:hint="eastAsia" w:cs="Times New Roman"/>
                      <w:color w:val="auto"/>
                      <w:sz w:val="21"/>
                      <w:szCs w:val="21"/>
                      <w:lang w:val="en-US" w:eastAsia="zh-CN"/>
                    </w:rPr>
                    <w:t>（GB18599-2020）、危险废物执行</w:t>
                  </w:r>
                  <w:r>
                    <w:rPr>
                      <w:rFonts w:hint="eastAsia" w:ascii="Times New Roman" w:hAnsi="Times New Roman" w:cs="Times New Roman"/>
                      <w:sz w:val="21"/>
                      <w:szCs w:val="21"/>
                      <w:lang w:val="en-US" w:eastAsia="zh-CN"/>
                    </w:rPr>
                    <w:t>《危险废物贮存污染控制标准》</w:t>
                  </w:r>
                </w:p>
                <w:p w14:paraId="64883290">
                  <w:pPr>
                    <w:pStyle w:val="6"/>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color w:val="auto"/>
                      <w:sz w:val="21"/>
                      <w:szCs w:val="21"/>
                      <w:lang w:val="en-US" w:eastAsia="zh-CN"/>
                    </w:rPr>
                  </w:pPr>
                  <w:r>
                    <w:rPr>
                      <w:rFonts w:hint="eastAsia" w:ascii="Times New Roman" w:hAnsi="Times New Roman" w:cs="Times New Roman"/>
                      <w:sz w:val="21"/>
                      <w:szCs w:val="21"/>
                      <w:lang w:val="en-US" w:eastAsia="zh-CN"/>
                    </w:rPr>
                    <w:t>（GB 18597-2023）</w:t>
                  </w:r>
                  <w:r>
                    <w:rPr>
                      <w:rFonts w:hint="eastAsia" w:cs="Times New Roman"/>
                      <w:color w:val="auto"/>
                      <w:sz w:val="21"/>
                      <w:szCs w:val="21"/>
                      <w:lang w:val="en-US" w:eastAsia="zh-CN"/>
                    </w:rPr>
                    <w:t>中的规定</w:t>
                  </w:r>
                </w:p>
              </w:tc>
            </w:tr>
          </w:tbl>
          <w:p w14:paraId="159C1AF4">
            <w:pPr>
              <w:pStyle w:val="27"/>
              <w:ind w:left="0" w:leftChars="0" w:firstLine="0" w:firstLineChars="0"/>
              <w:rPr>
                <w:rFonts w:ascii="宋体" w:cs="宋体"/>
                <w:kern w:val="0"/>
              </w:rPr>
            </w:pPr>
          </w:p>
        </w:tc>
      </w:tr>
      <w:tr w14:paraId="50F01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637" w:type="dxa"/>
            <w:noWrap w:val="0"/>
            <w:vAlign w:val="center"/>
          </w:tcPr>
          <w:p w14:paraId="4E987CBF">
            <w:pPr>
              <w:adjustRightInd w:val="0"/>
              <w:snapToGrid w:val="0"/>
              <w:jc w:val="center"/>
              <w:rPr>
                <w:rFonts w:hint="eastAsia" w:ascii="宋体" w:hAnsi="宋体" w:cs="宋体"/>
                <w:b/>
                <w:kern w:val="0"/>
                <w:sz w:val="24"/>
              </w:rPr>
            </w:pPr>
            <w:r>
              <w:rPr>
                <w:rFonts w:hint="eastAsia" w:ascii="宋体" w:hAnsi="宋体" w:cs="宋体"/>
                <w:b/>
                <w:kern w:val="0"/>
                <w:sz w:val="24"/>
              </w:rPr>
              <w:t>总量</w:t>
            </w:r>
          </w:p>
          <w:p w14:paraId="12B71935">
            <w:pPr>
              <w:adjustRightInd w:val="0"/>
              <w:snapToGrid w:val="0"/>
              <w:jc w:val="center"/>
              <w:rPr>
                <w:rFonts w:hint="eastAsia" w:ascii="宋体" w:hAnsi="宋体" w:cs="宋体"/>
                <w:b/>
                <w:kern w:val="0"/>
                <w:sz w:val="24"/>
              </w:rPr>
            </w:pPr>
            <w:r>
              <w:rPr>
                <w:rFonts w:hint="eastAsia" w:ascii="宋体" w:hAnsi="宋体" w:cs="宋体"/>
                <w:b/>
                <w:kern w:val="0"/>
                <w:sz w:val="24"/>
              </w:rPr>
              <w:t>控制</w:t>
            </w:r>
          </w:p>
          <w:p w14:paraId="52AF68CF">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8353" w:type="dxa"/>
            <w:noWrap w:val="0"/>
            <w:vAlign w:val="center"/>
          </w:tcPr>
          <w:p w14:paraId="4E78025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Calibri" w:hAnsi="Calibri" w:cs="Calibri"/>
                <w:bCs/>
                <w:color w:val="auto"/>
                <w:sz w:val="24"/>
                <w:highlight w:val="none"/>
                <w:lang w:val="en-US" w:eastAsia="zh-CN" w:bidi="ar"/>
              </w:rPr>
            </w:pPr>
            <w:r>
              <w:rPr>
                <w:rFonts w:hint="default" w:ascii="Times New Roman" w:hAnsi="Times New Roman" w:cs="Times New Roman"/>
                <w:bCs/>
                <w:color w:val="auto"/>
                <w:sz w:val="24"/>
                <w:highlight w:val="none"/>
                <w:lang w:eastAsia="zh-CN" w:bidi="ar"/>
              </w:rPr>
              <w:t>根据平顶山市总量控制指标的要求，总量控制指标为</w:t>
            </w:r>
            <w:r>
              <w:rPr>
                <w:rFonts w:hint="default" w:ascii="Times New Roman" w:hAnsi="Times New Roman" w:cs="Times New Roman"/>
                <w:bCs/>
                <w:color w:val="auto"/>
                <w:sz w:val="24"/>
                <w:highlight w:val="none"/>
                <w:lang w:val="en-US" w:eastAsia="zh-CN" w:bidi="ar"/>
              </w:rPr>
              <w:t>COD、NH</w:t>
            </w:r>
            <w:r>
              <w:rPr>
                <w:rFonts w:hint="default" w:ascii="Times New Roman" w:hAnsi="Times New Roman" w:cs="Times New Roman"/>
                <w:bCs/>
                <w:color w:val="auto"/>
                <w:sz w:val="24"/>
                <w:highlight w:val="none"/>
                <w:vertAlign w:val="subscript"/>
                <w:lang w:val="en-US" w:eastAsia="zh-CN" w:bidi="ar"/>
              </w:rPr>
              <w:t>3</w:t>
            </w:r>
            <w:r>
              <w:rPr>
                <w:rFonts w:hint="default" w:ascii="Times New Roman" w:hAnsi="Times New Roman" w:cs="Times New Roman"/>
                <w:bCs/>
                <w:color w:val="auto"/>
                <w:sz w:val="24"/>
                <w:highlight w:val="none"/>
                <w:lang w:val="en-US" w:eastAsia="zh-CN" w:bidi="ar"/>
              </w:rPr>
              <w:t>-N、SO</w:t>
            </w:r>
            <w:r>
              <w:rPr>
                <w:rFonts w:hint="default" w:ascii="Times New Roman" w:hAnsi="Times New Roman" w:cs="Times New Roman"/>
                <w:bCs/>
                <w:color w:val="auto"/>
                <w:sz w:val="24"/>
                <w:highlight w:val="none"/>
                <w:vertAlign w:val="subscript"/>
                <w:lang w:val="en-US" w:eastAsia="zh-CN" w:bidi="ar"/>
              </w:rPr>
              <w:t>2</w:t>
            </w:r>
            <w:r>
              <w:rPr>
                <w:rFonts w:hint="default" w:ascii="Times New Roman" w:hAnsi="Times New Roman" w:cs="Times New Roman"/>
                <w:bCs/>
                <w:color w:val="auto"/>
                <w:sz w:val="24"/>
                <w:highlight w:val="none"/>
                <w:lang w:val="en-US" w:eastAsia="zh-CN" w:bidi="ar"/>
              </w:rPr>
              <w:t>、NO</w:t>
            </w:r>
            <w:r>
              <w:rPr>
                <w:rFonts w:hint="default" w:ascii="Times New Roman" w:hAnsi="Times New Roman" w:cs="Times New Roman"/>
                <w:bCs/>
                <w:color w:val="auto"/>
                <w:sz w:val="24"/>
                <w:highlight w:val="none"/>
                <w:vertAlign w:val="subscript"/>
                <w:lang w:val="en-US" w:eastAsia="zh-CN" w:bidi="ar"/>
              </w:rPr>
              <w:t>X</w:t>
            </w:r>
            <w:r>
              <w:rPr>
                <w:rFonts w:hint="default" w:ascii="Times New Roman" w:hAnsi="Times New Roman" w:cs="Times New Roman"/>
                <w:bCs/>
                <w:color w:val="auto"/>
                <w:sz w:val="24"/>
                <w:highlight w:val="none"/>
                <w:lang w:val="en-US" w:eastAsia="zh-CN" w:bidi="ar"/>
              </w:rPr>
              <w:t>、颗粒物</w:t>
            </w:r>
            <w:r>
              <w:rPr>
                <w:rFonts w:hint="eastAsia" w:cs="Times New Roman"/>
                <w:bCs/>
                <w:color w:val="auto"/>
                <w:sz w:val="24"/>
                <w:highlight w:val="none"/>
                <w:lang w:val="en-US" w:eastAsia="zh-CN" w:bidi="ar"/>
              </w:rPr>
              <w:t>等</w:t>
            </w:r>
            <w:r>
              <w:rPr>
                <w:rFonts w:hint="default" w:ascii="Times New Roman" w:hAnsi="Times New Roman" w:cs="Times New Roman"/>
                <w:bCs/>
                <w:color w:val="auto"/>
                <w:sz w:val="24"/>
                <w:highlight w:val="none"/>
                <w:lang w:val="en-US" w:eastAsia="zh-CN" w:bidi="ar"/>
              </w:rPr>
              <w:t>废气。</w:t>
            </w:r>
          </w:p>
          <w:p w14:paraId="4F505672">
            <w:pPr>
              <w:keepNext w:val="0"/>
              <w:keepLines w:val="0"/>
              <w:pageBreakBefore w:val="0"/>
              <w:widowControl w:val="0"/>
              <w:kinsoku/>
              <w:wordWrap/>
              <w:overflowPunct/>
              <w:topLinePunct w:val="0"/>
              <w:autoSpaceDE/>
              <w:autoSpaceDN/>
              <w:bidi w:val="0"/>
              <w:spacing w:line="440" w:lineRule="atLeast"/>
              <w:ind w:firstLine="480" w:firstLineChars="200"/>
              <w:rPr>
                <w:color w:val="000000"/>
                <w:sz w:val="24"/>
                <w:highlight w:val="none"/>
              </w:rPr>
            </w:pPr>
            <w:r>
              <w:rPr>
                <w:color w:val="000000"/>
                <w:sz w:val="24"/>
                <w:highlight w:val="none"/>
              </w:rPr>
              <w:t>本项目大气污染物</w:t>
            </w:r>
            <w:r>
              <w:rPr>
                <w:rFonts w:hint="eastAsia"/>
                <w:color w:val="000000"/>
                <w:sz w:val="24"/>
                <w:highlight w:val="none"/>
                <w:lang w:val="en-US" w:eastAsia="zh-CN"/>
              </w:rPr>
              <w:t>排放</w:t>
            </w:r>
            <w:bookmarkStart w:id="16" w:name="_GoBack"/>
            <w:bookmarkEnd w:id="16"/>
            <w:r>
              <w:rPr>
                <w:rFonts w:hint="eastAsia"/>
                <w:color w:val="000000"/>
                <w:sz w:val="24"/>
                <w:highlight w:val="none"/>
                <w:lang w:val="en-US" w:eastAsia="zh-CN"/>
              </w:rPr>
              <w:t>量</w:t>
            </w:r>
            <w:r>
              <w:rPr>
                <w:rFonts w:hint="eastAsia" w:ascii="Times New Roman" w:hAnsi="Times New Roman" w:eastAsia="宋体"/>
                <w:color w:val="auto"/>
                <w:sz w:val="24"/>
                <w:szCs w:val="21"/>
                <w:highlight w:val="none"/>
                <w:lang w:val="en-US" w:eastAsia="zh-CN"/>
              </w:rPr>
              <w:t>为</w:t>
            </w:r>
            <w:r>
              <w:rPr>
                <w:rFonts w:hint="eastAsia"/>
                <w:color w:val="auto"/>
                <w:sz w:val="24"/>
                <w:szCs w:val="21"/>
                <w:highlight w:val="none"/>
                <w:lang w:val="en-US" w:eastAsia="zh-CN"/>
              </w:rPr>
              <w:t>：油烟：0.0649</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bCs/>
                <w:color w:val="auto"/>
                <w:sz w:val="24"/>
                <w:highlight w:val="none"/>
                <w:lang w:val="en-US" w:eastAsia="zh-CN" w:bidi="ar"/>
              </w:rPr>
              <w:t>NO</w:t>
            </w:r>
            <w:r>
              <w:rPr>
                <w:rFonts w:hint="eastAsia" w:cs="Times New Roman"/>
                <w:bCs/>
                <w:color w:val="auto"/>
                <w:sz w:val="24"/>
                <w:highlight w:val="none"/>
                <w:vertAlign w:val="subscript"/>
                <w:lang w:val="en-US" w:eastAsia="zh-CN" w:bidi="ar"/>
              </w:rPr>
              <w:t>2</w:t>
            </w:r>
            <w:r>
              <w:rPr>
                <w:rFonts w:hint="eastAsia"/>
                <w:color w:val="auto"/>
                <w:sz w:val="24"/>
                <w:szCs w:val="21"/>
                <w:highlight w:val="none"/>
                <w:lang w:val="en-US" w:eastAsia="zh-CN"/>
              </w:rPr>
              <w:t>：</w:t>
            </w:r>
            <w:r>
              <w:rPr>
                <w:rFonts w:hint="eastAsia" w:cs="Times New Roman"/>
                <w:color w:val="auto"/>
                <w:kern w:val="0"/>
                <w:sz w:val="24"/>
                <w:szCs w:val="24"/>
                <w:highlight w:val="none"/>
                <w:lang w:val="en-US" w:eastAsia="zh-CN"/>
              </w:rPr>
              <w:t>0.0303</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bCs/>
                <w:color w:val="auto"/>
                <w:sz w:val="24"/>
                <w:highlight w:val="none"/>
                <w:lang w:val="en-US" w:eastAsia="zh-CN" w:bidi="ar"/>
              </w:rPr>
              <w:t>SO</w:t>
            </w:r>
            <w:r>
              <w:rPr>
                <w:rFonts w:hint="default" w:ascii="Times New Roman" w:hAnsi="Times New Roman" w:cs="Times New Roman"/>
                <w:bCs/>
                <w:color w:val="auto"/>
                <w:sz w:val="24"/>
                <w:highlight w:val="none"/>
                <w:vertAlign w:val="subscript"/>
                <w:lang w:val="en-US" w:eastAsia="zh-CN" w:bidi="ar"/>
              </w:rPr>
              <w:t>2</w:t>
            </w:r>
            <w:r>
              <w:rPr>
                <w:rFonts w:hint="eastAsia"/>
                <w:color w:val="auto"/>
                <w:sz w:val="24"/>
                <w:szCs w:val="21"/>
                <w:highlight w:val="none"/>
                <w:lang w:val="en-US" w:eastAsia="zh-CN"/>
              </w:rPr>
              <w:t>：</w:t>
            </w:r>
            <w:r>
              <w:rPr>
                <w:rFonts w:hint="eastAsia" w:cs="Times New Roman"/>
                <w:color w:val="auto"/>
                <w:kern w:val="0"/>
                <w:sz w:val="24"/>
                <w:szCs w:val="24"/>
                <w:highlight w:val="none"/>
                <w:lang w:val="en-US" w:eastAsia="zh-CN"/>
              </w:rPr>
              <w:t>0.008</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颗粒物：</w:t>
            </w:r>
            <w:r>
              <w:rPr>
                <w:rFonts w:hint="eastAsia" w:cs="Times New Roman"/>
                <w:color w:val="auto"/>
                <w:kern w:val="0"/>
                <w:sz w:val="24"/>
                <w:szCs w:val="24"/>
                <w:highlight w:val="none"/>
                <w:lang w:val="en-US" w:eastAsia="zh-CN"/>
              </w:rPr>
              <w:t>0.0053</w:t>
            </w:r>
            <w:r>
              <w:rPr>
                <w:rFonts w:hint="eastAsia" w:ascii="Times New Roman" w:hAnsi="Times New Roman" w:eastAsia="宋体" w:cs="Times New Roman"/>
                <w:color w:val="auto"/>
                <w:kern w:val="0"/>
                <w:sz w:val="24"/>
                <w:szCs w:val="24"/>
                <w:highlight w:val="none"/>
              </w:rPr>
              <w:t>t/a</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氨：0.00039t/a、硫化氢：0.000027t/a</w:t>
            </w:r>
            <w:r>
              <w:rPr>
                <w:color w:val="000000"/>
                <w:sz w:val="24"/>
                <w:highlight w:val="none"/>
              </w:rPr>
              <w:t>。</w:t>
            </w:r>
          </w:p>
          <w:p w14:paraId="11AF0C71">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baseline"/>
              <w:rPr>
                <w:rFonts w:hint="eastAsia" w:ascii="Times New Roman" w:hAnsi="Times New Roman" w:cs="Times New Roman"/>
                <w:color w:val="auto"/>
                <w:kern w:val="0"/>
                <w:sz w:val="24"/>
                <w:szCs w:val="24"/>
                <w:highlight w:val="none"/>
                <w:lang w:val="en-US" w:eastAsia="zh-CN"/>
              </w:rPr>
            </w:pPr>
            <w:r>
              <w:rPr>
                <w:color w:val="000000"/>
                <w:sz w:val="24"/>
                <w:highlight w:val="none"/>
              </w:rPr>
              <w:t>本项目</w:t>
            </w:r>
            <w:r>
              <w:rPr>
                <w:rFonts w:hint="eastAsia"/>
                <w:color w:val="000000"/>
                <w:sz w:val="24"/>
                <w:highlight w:val="none"/>
                <w:lang w:val="en-US" w:eastAsia="zh-CN"/>
              </w:rPr>
              <w:t>冷却水循环利用，不外排；</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ascii="Times New Roman" w:hAnsi="Times New Roman" w:eastAsia="宋体"/>
                <w:b w:val="0"/>
                <w:bCs w:val="0"/>
                <w:color w:val="auto"/>
                <w:sz w:val="24"/>
                <w:highlight w:val="none"/>
                <w:u w:val="none"/>
                <w:lang w:eastAsia="zh-CN"/>
              </w:rPr>
              <w:t>。</w:t>
            </w:r>
            <w:r>
              <w:rPr>
                <w:color w:val="000000"/>
                <w:sz w:val="24"/>
                <w:highlight w:val="none"/>
              </w:rPr>
              <w:t>因此</w:t>
            </w:r>
            <w:r>
              <w:rPr>
                <w:rFonts w:hint="default" w:ascii="Times New Roman" w:hAnsi="Times New Roman" w:cs="Times New Roman"/>
                <w:color w:val="auto"/>
                <w:kern w:val="0"/>
                <w:sz w:val="24"/>
                <w:szCs w:val="24"/>
                <w:highlight w:val="none"/>
                <w:lang w:val="en-US" w:eastAsia="zh-CN"/>
              </w:rPr>
              <w:t>COD</w:t>
            </w:r>
            <w:r>
              <w:rPr>
                <w:rFonts w:hint="eastAsia" w:cs="Times New Roman"/>
                <w:color w:val="auto"/>
                <w:kern w:val="0"/>
                <w:sz w:val="24"/>
                <w:szCs w:val="24"/>
                <w:highlight w:val="none"/>
                <w:lang w:val="en-US" w:eastAsia="zh-CN"/>
              </w:rPr>
              <w:t>出厂</w:t>
            </w:r>
            <w:r>
              <w:rPr>
                <w:rFonts w:hint="eastAsia" w:ascii="Times New Roman" w:hAnsi="Times New Roman" w:cs="Times New Roman"/>
                <w:color w:val="auto"/>
                <w:kern w:val="0"/>
                <w:sz w:val="24"/>
                <w:szCs w:val="24"/>
                <w:highlight w:val="none"/>
                <w:lang w:val="en-US" w:eastAsia="zh-CN"/>
              </w:rPr>
              <w:t>排放量：</w:t>
            </w:r>
            <w:r>
              <w:rPr>
                <w:rFonts w:hint="eastAsia" w:cs="Times New Roman"/>
                <w:color w:val="auto"/>
                <w:kern w:val="0"/>
                <w:sz w:val="24"/>
                <w:szCs w:val="24"/>
                <w:highlight w:val="none"/>
                <w:lang w:val="en-US" w:eastAsia="zh-CN"/>
              </w:rPr>
              <w:t>0.7242</w:t>
            </w:r>
            <w:r>
              <w:rPr>
                <w:rFonts w:hint="eastAsia" w:ascii="Times New Roman" w:hAnsi="Times New Roman" w:cs="Times New Roman"/>
                <w:color w:val="auto"/>
                <w:kern w:val="0"/>
                <w:sz w:val="24"/>
                <w:szCs w:val="24"/>
                <w:highlight w:val="none"/>
                <w:lang w:val="en-US" w:eastAsia="zh-CN"/>
              </w:rPr>
              <w:t>t/a，</w:t>
            </w:r>
            <w:r>
              <w:rPr>
                <w:rFonts w:hint="default" w:ascii="Times New Roman" w:hAnsi="Times New Roman" w:cs="Times New Roman"/>
                <w:color w:val="auto"/>
                <w:kern w:val="0"/>
                <w:sz w:val="24"/>
                <w:szCs w:val="24"/>
                <w:highlight w:val="none"/>
                <w:lang w:val="en-US" w:eastAsia="zh-CN"/>
              </w:rPr>
              <w:t>氨氮</w:t>
            </w:r>
            <w:r>
              <w:rPr>
                <w:rFonts w:hint="eastAsia" w:cs="Times New Roman"/>
                <w:color w:val="auto"/>
                <w:kern w:val="0"/>
                <w:sz w:val="24"/>
                <w:szCs w:val="24"/>
                <w:highlight w:val="none"/>
                <w:lang w:val="en-US" w:eastAsia="zh-CN"/>
              </w:rPr>
              <w:t>出厂</w:t>
            </w:r>
            <w:r>
              <w:rPr>
                <w:rFonts w:hint="eastAsia" w:ascii="Times New Roman" w:hAnsi="Times New Roman" w:cs="Times New Roman"/>
                <w:color w:val="auto"/>
                <w:kern w:val="0"/>
                <w:sz w:val="24"/>
                <w:szCs w:val="24"/>
                <w:highlight w:val="none"/>
                <w:lang w:val="en-US" w:eastAsia="zh-CN"/>
              </w:rPr>
              <w:t>排放量：0.</w:t>
            </w:r>
            <w:r>
              <w:rPr>
                <w:rFonts w:hint="eastAsia" w:cs="Times New Roman"/>
                <w:color w:val="auto"/>
                <w:kern w:val="0"/>
                <w:sz w:val="24"/>
                <w:szCs w:val="24"/>
                <w:highlight w:val="none"/>
                <w:lang w:val="en-US" w:eastAsia="zh-CN"/>
              </w:rPr>
              <w:t>0483</w:t>
            </w:r>
            <w:r>
              <w:rPr>
                <w:rFonts w:hint="eastAsia" w:ascii="Times New Roman" w:hAnsi="Times New Roman" w:cs="Times New Roman"/>
                <w:color w:val="auto"/>
                <w:kern w:val="0"/>
                <w:sz w:val="24"/>
                <w:szCs w:val="24"/>
                <w:highlight w:val="none"/>
                <w:lang w:val="en-US" w:eastAsia="zh-CN"/>
              </w:rPr>
              <w:t>t/a。</w:t>
            </w:r>
          </w:p>
          <w:p w14:paraId="660AFB13">
            <w:pPr>
              <w:pStyle w:val="2"/>
              <w:keepNext/>
              <w:keepLines/>
              <w:pageBreakBefore w:val="0"/>
              <w:widowControl w:val="0"/>
              <w:kinsoku/>
              <w:wordWrap/>
              <w:overflowPunct/>
              <w:topLinePunct w:val="0"/>
              <w:autoSpaceDE/>
              <w:autoSpaceDN/>
              <w:bidi w:val="0"/>
              <w:adjustRightInd/>
              <w:snapToGrid w:val="0"/>
              <w:spacing w:before="0" w:after="0" w:line="500" w:lineRule="exact"/>
              <w:ind w:firstLine="480" w:firstLineChars="200"/>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由于2023年叶县大气环境质量达标，故总量控制指标单倍替代，替代量</w:t>
            </w:r>
          </w:p>
          <w:p w14:paraId="0DDC4497">
            <w:pPr>
              <w:pStyle w:val="2"/>
              <w:keepNext/>
              <w:keepLines/>
              <w:pageBreakBefore w:val="0"/>
              <w:widowControl w:val="0"/>
              <w:kinsoku/>
              <w:wordWrap/>
              <w:overflowPunct/>
              <w:topLinePunct w:val="0"/>
              <w:autoSpaceDE/>
              <w:autoSpaceDN/>
              <w:bidi w:val="0"/>
              <w:adjustRightInd/>
              <w:snapToGrid w:val="0"/>
              <w:spacing w:before="0" w:after="0" w:line="500" w:lineRule="exac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为颗粒物0.00</w:t>
            </w:r>
            <w:r>
              <w:rPr>
                <w:rFonts w:hint="eastAsia" w:ascii="Times New Roman" w:hAnsi="Times New Roman" w:eastAsia="宋体" w:cs="Times New Roman"/>
                <w:b w:val="0"/>
                <w:bCs/>
                <w:sz w:val="24"/>
                <w:szCs w:val="24"/>
                <w:lang w:val="en-US" w:eastAsia="zh-CN"/>
              </w:rPr>
              <w:t>53</w:t>
            </w:r>
            <w:r>
              <w:rPr>
                <w:rFonts w:hint="default" w:ascii="Times New Roman" w:hAnsi="Times New Roman" w:eastAsia="宋体" w:cs="Times New Roman"/>
                <w:b w:val="0"/>
                <w:bCs/>
                <w:sz w:val="24"/>
                <w:szCs w:val="24"/>
              </w:rPr>
              <w:t>t/a、SO</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0.</w:t>
            </w:r>
            <w:r>
              <w:rPr>
                <w:rFonts w:hint="eastAsia" w:ascii="Times New Roman" w:hAnsi="Times New Roman" w:eastAsia="宋体" w:cs="Times New Roman"/>
                <w:b w:val="0"/>
                <w:bCs/>
                <w:sz w:val="24"/>
                <w:szCs w:val="24"/>
                <w:lang w:val="en-US" w:eastAsia="zh-CN"/>
              </w:rPr>
              <w:t>008</w:t>
            </w:r>
            <w:r>
              <w:rPr>
                <w:rFonts w:hint="default" w:ascii="Times New Roman" w:hAnsi="Times New Roman" w:eastAsia="宋体" w:cs="Times New Roman"/>
                <w:b w:val="0"/>
                <w:bCs/>
                <w:sz w:val="24"/>
                <w:szCs w:val="24"/>
              </w:rPr>
              <w:t>t/a、NOx</w:t>
            </w:r>
            <w:r>
              <w:rPr>
                <w:rFonts w:hint="eastAsia" w:ascii="Times New Roman" w:hAnsi="Times New Roman" w:eastAsia="宋体" w:cs="Times New Roman"/>
                <w:b w:val="0"/>
                <w:bCs/>
                <w:sz w:val="24"/>
                <w:szCs w:val="24"/>
                <w:lang w:val="en-US" w:eastAsia="zh-CN"/>
              </w:rPr>
              <w:t>0.0303</w:t>
            </w:r>
            <w:r>
              <w:rPr>
                <w:rFonts w:hint="default" w:ascii="Times New Roman" w:hAnsi="Times New Roman" w:eastAsia="宋体" w:cs="Times New Roman"/>
                <w:b w:val="0"/>
                <w:bCs/>
                <w:sz w:val="24"/>
                <w:szCs w:val="24"/>
              </w:rPr>
              <w:t>t/a，颗粒物、二氧化硫通过平顶山盈润环保科技有限公司关闭削减余量368.66754t/a、3.0197t/a来替代，氮氧化物通过叶县柴油货车淘汰余量106.135t/a来替代，可满足该项目需要。</w:t>
            </w:r>
          </w:p>
          <w:p w14:paraId="102F253A">
            <w:pPr>
              <w:pStyle w:val="2"/>
              <w:keepNext/>
              <w:keepLines/>
              <w:pageBreakBefore w:val="0"/>
              <w:widowControl w:val="0"/>
              <w:kinsoku/>
              <w:wordWrap/>
              <w:overflowPunct/>
              <w:topLinePunct w:val="0"/>
              <w:autoSpaceDE/>
              <w:autoSpaceDN/>
              <w:bidi w:val="0"/>
              <w:adjustRightInd/>
              <w:snapToGrid w:val="0"/>
              <w:spacing w:before="0" w:after="0" w:line="500" w:lineRule="exact"/>
              <w:ind w:firstLine="480" w:firstLineChars="200"/>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水污染物通过叶廉路黑臭水体治理削减量来替代，COD余量304.3628t/a，</w:t>
            </w:r>
          </w:p>
          <w:p w14:paraId="5E8609B0">
            <w:pPr>
              <w:pStyle w:val="2"/>
              <w:keepNext/>
              <w:keepLines/>
              <w:pageBreakBefore w:val="0"/>
              <w:widowControl w:val="0"/>
              <w:kinsoku/>
              <w:wordWrap/>
              <w:overflowPunct/>
              <w:topLinePunct w:val="0"/>
              <w:autoSpaceDE/>
              <w:autoSpaceDN/>
              <w:bidi w:val="0"/>
              <w:adjustRightInd/>
              <w:snapToGrid w:val="0"/>
              <w:spacing w:before="0" w:after="0" w:line="500" w:lineRule="exact"/>
              <w:textAlignment w:val="auto"/>
            </w:pPr>
            <w:r>
              <w:rPr>
                <w:rFonts w:hint="eastAsia" w:ascii="Times New Roman" w:hAnsi="Times New Roman" w:eastAsia="宋体" w:cs="Times New Roman"/>
                <w:b w:val="0"/>
                <w:bCs/>
                <w:sz w:val="24"/>
                <w:szCs w:val="24"/>
                <w:lang w:val="en-US" w:eastAsia="zh-CN"/>
              </w:rPr>
              <w:t>氨氮</w:t>
            </w:r>
            <w:r>
              <w:rPr>
                <w:rFonts w:hint="default" w:ascii="Times New Roman" w:hAnsi="Times New Roman" w:eastAsia="宋体" w:cs="Times New Roman"/>
                <w:b w:val="0"/>
                <w:bCs/>
                <w:sz w:val="24"/>
                <w:szCs w:val="24"/>
              </w:rPr>
              <w:t>余量32.4996t/a</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可满足本项目替代量需要。</w:t>
            </w:r>
          </w:p>
        </w:tc>
      </w:tr>
    </w:tbl>
    <w:p w14:paraId="5A987CA6">
      <w:pPr>
        <w:pStyle w:val="17"/>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D166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73BF60B3">
            <w:pPr>
              <w:pStyle w:val="17"/>
              <w:adjustRightInd w:val="0"/>
              <w:snapToGrid w:val="0"/>
              <w:spacing w:before="0" w:beforeAutospacing="0" w:after="0" w:afterAutospacing="0"/>
              <w:jc w:val="center"/>
              <w:rPr>
                <w:rFonts w:hint="eastAsia" w:cs="宋体"/>
                <w:b/>
                <w:kern w:val="2"/>
                <w:szCs w:val="24"/>
                <w:lang w:val="en-US" w:eastAsia="zh-CN"/>
              </w:rPr>
            </w:pPr>
            <w:r>
              <w:rPr>
                <w:rFonts w:hint="eastAsia" w:cs="宋体"/>
                <w:b/>
                <w:kern w:val="2"/>
                <w:szCs w:val="24"/>
                <w:lang w:val="en-US" w:eastAsia="zh-CN"/>
              </w:rPr>
              <w:t>施工</w:t>
            </w:r>
          </w:p>
          <w:p w14:paraId="7B85ADEA">
            <w:pPr>
              <w:pStyle w:val="17"/>
              <w:adjustRightInd w:val="0"/>
              <w:snapToGrid w:val="0"/>
              <w:spacing w:before="0" w:beforeAutospacing="0" w:after="0" w:afterAutospacing="0"/>
              <w:jc w:val="center"/>
              <w:rPr>
                <w:rFonts w:hint="eastAsia" w:cs="宋体"/>
                <w:b/>
                <w:kern w:val="2"/>
                <w:szCs w:val="24"/>
                <w:lang w:val="en-US" w:eastAsia="zh-CN"/>
              </w:rPr>
            </w:pPr>
            <w:r>
              <w:rPr>
                <w:rFonts w:hint="eastAsia" w:cs="宋体"/>
                <w:b/>
                <w:kern w:val="2"/>
                <w:szCs w:val="24"/>
                <w:lang w:val="en-US" w:eastAsia="zh-CN"/>
              </w:rPr>
              <w:t>期环</w:t>
            </w:r>
          </w:p>
          <w:p w14:paraId="22949F91">
            <w:pPr>
              <w:pStyle w:val="17"/>
              <w:adjustRightInd w:val="0"/>
              <w:snapToGrid w:val="0"/>
              <w:spacing w:before="0" w:beforeAutospacing="0" w:after="0" w:afterAutospacing="0"/>
              <w:jc w:val="center"/>
              <w:rPr>
                <w:rFonts w:hint="eastAsia" w:cs="宋体"/>
                <w:b/>
                <w:kern w:val="2"/>
                <w:szCs w:val="24"/>
                <w:lang w:val="en-US" w:eastAsia="zh-CN"/>
              </w:rPr>
            </w:pPr>
            <w:r>
              <w:rPr>
                <w:rFonts w:hint="eastAsia" w:cs="宋体"/>
                <w:b/>
                <w:kern w:val="2"/>
                <w:szCs w:val="24"/>
                <w:lang w:val="en-US" w:eastAsia="zh-CN"/>
              </w:rPr>
              <w:t>境保</w:t>
            </w:r>
          </w:p>
          <w:p w14:paraId="0E1CA13A">
            <w:pPr>
              <w:pStyle w:val="17"/>
              <w:adjustRightInd w:val="0"/>
              <w:snapToGrid w:val="0"/>
              <w:spacing w:before="0" w:beforeAutospacing="0" w:after="0" w:afterAutospacing="0"/>
              <w:jc w:val="center"/>
              <w:rPr>
                <w:rFonts w:hint="eastAsia" w:cs="宋体"/>
                <w:b/>
                <w:kern w:val="2"/>
                <w:szCs w:val="24"/>
                <w:lang w:val="en-US" w:eastAsia="zh-CN"/>
              </w:rPr>
            </w:pPr>
            <w:r>
              <w:rPr>
                <w:rFonts w:hint="eastAsia" w:cs="宋体"/>
                <w:b/>
                <w:kern w:val="2"/>
                <w:szCs w:val="24"/>
                <w:lang w:val="en-US" w:eastAsia="zh-CN"/>
              </w:rPr>
              <w:t>护措</w:t>
            </w:r>
          </w:p>
          <w:p w14:paraId="6DC8DC41">
            <w:pPr>
              <w:pStyle w:val="17"/>
              <w:adjustRightInd w:val="0"/>
              <w:snapToGrid w:val="0"/>
              <w:spacing w:before="0" w:beforeAutospacing="0" w:after="0" w:afterAutospacing="0"/>
              <w:jc w:val="center"/>
              <w:rPr>
                <w:rFonts w:hint="eastAsia" w:cs="宋体"/>
                <w:b/>
                <w:bCs/>
                <w:kern w:val="2"/>
                <w:sz w:val="21"/>
                <w:szCs w:val="21"/>
                <w:lang w:val="en-US" w:eastAsia="zh-CN"/>
              </w:rPr>
            </w:pPr>
            <w:r>
              <w:rPr>
                <w:rFonts w:hint="eastAsia" w:cs="宋体"/>
                <w:b/>
                <w:kern w:val="2"/>
                <w:szCs w:val="24"/>
                <w:lang w:val="en-US" w:eastAsia="zh-CN"/>
              </w:rPr>
              <w:t>施</w:t>
            </w:r>
          </w:p>
        </w:tc>
        <w:tc>
          <w:tcPr>
            <w:tcW w:w="8162" w:type="dxa"/>
            <w:noWrap w:val="0"/>
            <w:vAlign w:val="center"/>
          </w:tcPr>
          <w:p w14:paraId="5C001F2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firstLineChars="200"/>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cs="Times New Roman"/>
                <w:b/>
                <w:bCs/>
                <w:color w:val="auto"/>
                <w:kern w:val="0"/>
                <w:sz w:val="24"/>
                <w:szCs w:val="24"/>
                <w:lang w:val="en-US" w:eastAsia="zh-CN" w:bidi="ar-SA"/>
              </w:rPr>
              <w:t>一、</w:t>
            </w:r>
            <w:r>
              <w:rPr>
                <w:rFonts w:hint="eastAsia" w:ascii="Times New Roman" w:hAnsi="Times New Roman" w:eastAsia="宋体" w:cs="Times New Roman"/>
                <w:b/>
                <w:bCs/>
                <w:color w:val="auto"/>
                <w:kern w:val="0"/>
                <w:sz w:val="24"/>
                <w:szCs w:val="24"/>
                <w:lang w:val="en-US" w:eastAsia="zh-CN" w:bidi="ar-SA"/>
              </w:rPr>
              <w:t>施工期环境</w:t>
            </w:r>
            <w:r>
              <w:rPr>
                <w:rFonts w:hint="eastAsia" w:ascii="Times New Roman" w:hAnsi="Times New Roman" w:cs="Times New Roman"/>
                <w:b/>
                <w:bCs/>
                <w:color w:val="auto"/>
                <w:kern w:val="0"/>
                <w:sz w:val="24"/>
                <w:szCs w:val="24"/>
                <w:lang w:val="en-US" w:eastAsia="zh-CN" w:bidi="ar-SA"/>
              </w:rPr>
              <w:t>治理措施</w:t>
            </w:r>
          </w:p>
          <w:p w14:paraId="59963EC6">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rPr>
              <w:t>本项目选址位于</w:t>
            </w:r>
            <w:r>
              <w:rPr>
                <w:rFonts w:hint="default" w:ascii="Times New Roman" w:hAnsi="Times New Roman" w:cs="Times New Roman"/>
                <w:color w:val="auto"/>
                <w:sz w:val="24"/>
                <w:lang w:val="en-US" w:eastAsia="zh-CN"/>
              </w:rPr>
              <w:t>河南省平顶山市叶县廉村镇</w:t>
            </w:r>
            <w:r>
              <w:rPr>
                <w:rFonts w:hint="eastAsia" w:hAnsi="Times New Roman" w:cs="Times New Roman"/>
                <w:color w:val="auto"/>
                <w:sz w:val="24"/>
                <w:lang w:val="en-US" w:eastAsia="zh-CN"/>
              </w:rPr>
              <w:t>沙渡口</w:t>
            </w:r>
            <w:r>
              <w:rPr>
                <w:rFonts w:hint="default" w:ascii="Times New Roman" w:hAnsi="Times New Roman" w:cs="Times New Roman"/>
                <w:color w:val="auto"/>
                <w:sz w:val="24"/>
                <w:lang w:val="en-US" w:eastAsia="zh-CN"/>
              </w:rPr>
              <w:t>村</w:t>
            </w:r>
            <w:r>
              <w:rPr>
                <w:rFonts w:hint="eastAsia" w:hAnsi="Times New Roman" w:cs="Times New Roman"/>
                <w:color w:val="auto"/>
                <w:sz w:val="24"/>
                <w:lang w:val="en-US" w:eastAsia="zh-CN"/>
              </w:rPr>
              <w:t>二组1号</w:t>
            </w:r>
            <w:r>
              <w:rPr>
                <w:rFonts w:hint="default" w:ascii="Times New Roman" w:hAnsi="Times New Roman" w:cs="Times New Roman"/>
                <w:kern w:val="0"/>
              </w:rPr>
              <w:t>，占地面积约</w:t>
            </w:r>
            <w:r>
              <w:rPr>
                <w:rFonts w:hint="eastAsia" w:hAnsi="Times New Roman" w:cs="Times New Roman"/>
                <w:kern w:val="0"/>
                <w:lang w:val="en-US" w:eastAsia="zh-CN"/>
              </w:rPr>
              <w:t>13874平方米</w:t>
            </w:r>
            <w:r>
              <w:rPr>
                <w:rFonts w:hint="default" w:ascii="Times New Roman" w:hAnsi="Times New Roman" w:cs="Times New Roman"/>
                <w:kern w:val="0"/>
              </w:rPr>
              <w:t>。施工期主要建设主体装置、辅助设施、环保设施等构筑物。本项目施工期</w:t>
            </w:r>
            <w:r>
              <w:rPr>
                <w:rFonts w:hint="eastAsia" w:hAnsi="Times New Roman" w:cs="Times New Roman"/>
                <w:kern w:val="0"/>
                <w:lang w:val="en-US" w:eastAsia="zh-CN"/>
              </w:rPr>
              <w:t>1</w:t>
            </w:r>
            <w:r>
              <w:rPr>
                <w:rFonts w:hint="default" w:ascii="Times New Roman" w:hAnsi="Times New Roman" w:cs="Times New Roman"/>
                <w:kern w:val="0"/>
                <w:highlight w:val="none"/>
              </w:rPr>
              <w:t>个月</w:t>
            </w:r>
            <w:r>
              <w:rPr>
                <w:rFonts w:hint="default" w:ascii="Times New Roman" w:hAnsi="Times New Roman" w:cs="Times New Roman"/>
                <w:kern w:val="0"/>
              </w:rPr>
              <w:t>，根据现场踏勘，项目现状用地为</w:t>
            </w:r>
            <w:r>
              <w:rPr>
                <w:rFonts w:hint="eastAsia" w:hAnsi="Times New Roman" w:cs="Times New Roman"/>
                <w:kern w:val="0"/>
                <w:lang w:val="en-US" w:eastAsia="zh-CN"/>
              </w:rPr>
              <w:t>空地</w:t>
            </w:r>
            <w:r>
              <w:rPr>
                <w:rFonts w:hint="default" w:ascii="Times New Roman" w:hAnsi="Times New Roman" w:cs="Times New Roman"/>
                <w:kern w:val="0"/>
              </w:rPr>
              <w:t>，地表主要</w:t>
            </w:r>
            <w:r>
              <w:rPr>
                <w:rFonts w:hint="eastAsia" w:hAnsi="Times New Roman" w:cs="Times New Roman"/>
                <w:kern w:val="0"/>
                <w:lang w:val="en-US" w:eastAsia="zh-CN"/>
              </w:rPr>
              <w:t>需要进行平整装修</w:t>
            </w:r>
            <w:r>
              <w:rPr>
                <w:rFonts w:hint="default" w:ascii="Times New Roman" w:hAnsi="Times New Roman" w:cs="Times New Roman"/>
                <w:kern w:val="0"/>
              </w:rPr>
              <w:t>。本项目施工过程中产生的噪声、扬尘、废水、固废等会对周围环境产生一定影响，但影响持续时间短，强度低，施工期结束影响将随之消失。</w:t>
            </w:r>
          </w:p>
          <w:p w14:paraId="4523414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kern w:val="0"/>
              </w:rPr>
            </w:pPr>
            <w:r>
              <w:rPr>
                <w:rFonts w:hint="eastAsia" w:hAnsi="Times New Roman" w:cs="Times New Roman"/>
                <w:b/>
                <w:kern w:val="0"/>
                <w:lang w:val="en-US" w:eastAsia="zh-CN"/>
              </w:rPr>
              <w:t>1、</w:t>
            </w:r>
            <w:r>
              <w:rPr>
                <w:rFonts w:hint="default" w:ascii="Times New Roman" w:hAnsi="Times New Roman" w:cs="Times New Roman"/>
                <w:b/>
                <w:kern w:val="0"/>
              </w:rPr>
              <w:t>大气污染物防治措施</w:t>
            </w:r>
          </w:p>
          <w:p w14:paraId="4DDE62E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扬尘污染是施工期间重要的污染因素，项目在地基开挖过程以及施工建设期间，不可避免地会产生一些地面扬尘，这些扬尘尽管是短期行为，但会对附近区域带来不利的影响。为降低项目施工对周围环境敏感点的影响，建设单位应按照《河南省生态环境保护委员会办公室关于印发&lt;河南省202</w:t>
            </w:r>
            <w:r>
              <w:rPr>
                <w:rFonts w:hint="eastAsia" w:hAnsi="Times New Roman" w:cs="Times New Roman"/>
                <w:bCs/>
                <w:color w:val="auto"/>
                <w:lang w:val="en-US" w:eastAsia="zh-CN"/>
              </w:rPr>
              <w:t>4</w:t>
            </w:r>
            <w:r>
              <w:rPr>
                <w:rFonts w:hint="default" w:ascii="Times New Roman" w:hAnsi="Times New Roman" w:cs="Times New Roman"/>
                <w:bCs/>
                <w:color w:val="auto"/>
              </w:rPr>
              <w:t>年蓝天保卫战实施方案&gt;的通知》</w:t>
            </w:r>
            <w:r>
              <w:rPr>
                <w:rFonts w:hint="eastAsia" w:hAnsi="Times New Roman" w:cs="Times New Roman"/>
                <w:bCs/>
                <w:color w:val="auto"/>
                <w:lang w:val="en-US" w:eastAsia="zh-CN"/>
              </w:rPr>
              <w:t>以及平顶山市发布的</w:t>
            </w:r>
            <w:r>
              <w:rPr>
                <w:rFonts w:hint="eastAsia" w:cs="Times New Roman"/>
                <w:b w:val="0"/>
                <w:bCs w:val="0"/>
                <w:color w:val="000000"/>
                <w:sz w:val="24"/>
                <w:szCs w:val="24"/>
                <w:highlight w:val="none"/>
                <w:lang w:eastAsia="zh-CN"/>
              </w:rPr>
              <w:t>《</w:t>
            </w:r>
            <w:r>
              <w:rPr>
                <w:rFonts w:hint="eastAsia" w:cs="Times New Roman"/>
                <w:bCs/>
                <w:color w:val="000000"/>
                <w:sz w:val="24"/>
                <w:szCs w:val="24"/>
                <w:highlight w:val="none"/>
                <w:lang w:val="en-US" w:eastAsia="zh-CN"/>
              </w:rPr>
              <w:t>平顶山市2024年蓝天保卫站实施方案的通知</w:t>
            </w:r>
            <w:r>
              <w:rPr>
                <w:rFonts w:hint="eastAsia" w:cs="Times New Roman"/>
                <w:bCs/>
                <w:color w:val="000000"/>
                <w:sz w:val="24"/>
                <w:szCs w:val="24"/>
                <w:highlight w:val="none"/>
                <w:lang w:eastAsia="zh-CN"/>
              </w:rPr>
              <w:t>》（</w:t>
            </w:r>
            <w:r>
              <w:rPr>
                <w:rFonts w:hint="eastAsia" w:cs="Times New Roman"/>
                <w:bCs/>
                <w:color w:val="000000"/>
                <w:sz w:val="24"/>
                <w:szCs w:val="24"/>
                <w:highlight w:val="none"/>
                <w:lang w:val="en-US" w:eastAsia="zh-CN"/>
              </w:rPr>
              <w:t>平环委办</w:t>
            </w:r>
            <w:r>
              <w:rPr>
                <w:rFonts w:hint="default" w:ascii="Times New Roman" w:hAnsi="Times New Roman" w:cs="Times New Roman"/>
                <w:bCs/>
                <w:color w:val="000000"/>
                <w:sz w:val="24"/>
                <w:szCs w:val="24"/>
                <w:highlight w:val="none"/>
              </w:rPr>
              <w:t>〔202</w:t>
            </w:r>
            <w:r>
              <w:rPr>
                <w:rFonts w:hint="eastAsia" w:cs="Times New Roman"/>
                <w:bCs/>
                <w:color w:val="000000"/>
                <w:sz w:val="24"/>
                <w:szCs w:val="24"/>
                <w:highlight w:val="none"/>
                <w:lang w:val="en-US" w:eastAsia="zh-CN"/>
              </w:rPr>
              <w:t>4</w:t>
            </w:r>
            <w:r>
              <w:rPr>
                <w:rFonts w:hint="default" w:ascii="Times New Roman" w:hAnsi="Times New Roman" w:cs="Times New Roman"/>
                <w:bCs/>
                <w:color w:val="000000"/>
                <w:sz w:val="24"/>
                <w:szCs w:val="24"/>
                <w:highlight w:val="none"/>
              </w:rPr>
              <w:t>〕</w:t>
            </w:r>
            <w:r>
              <w:rPr>
                <w:rFonts w:hint="eastAsia" w:cs="Times New Roman"/>
                <w:bCs/>
                <w:color w:val="000000"/>
                <w:sz w:val="24"/>
                <w:szCs w:val="24"/>
                <w:highlight w:val="none"/>
                <w:lang w:val="en-US" w:eastAsia="zh-CN"/>
              </w:rPr>
              <w:t>13</w:t>
            </w:r>
            <w:r>
              <w:rPr>
                <w:rFonts w:hint="default" w:ascii="Times New Roman" w:hAnsi="Times New Roman" w:cs="Times New Roman"/>
                <w:bCs/>
                <w:color w:val="000000"/>
                <w:sz w:val="24"/>
                <w:szCs w:val="24"/>
                <w:highlight w:val="none"/>
              </w:rPr>
              <w:t>号</w:t>
            </w:r>
            <w:r>
              <w:rPr>
                <w:rFonts w:hint="eastAsia" w:cs="Times New Roman"/>
                <w:bCs/>
                <w:color w:val="000000"/>
                <w:sz w:val="24"/>
                <w:szCs w:val="24"/>
                <w:highlight w:val="none"/>
                <w:lang w:eastAsia="zh-CN"/>
              </w:rPr>
              <w:t>）</w:t>
            </w:r>
            <w:r>
              <w:rPr>
                <w:rFonts w:hint="default" w:ascii="Times New Roman" w:hAnsi="Times New Roman" w:cs="Times New Roman"/>
                <w:bCs/>
                <w:color w:val="auto"/>
              </w:rPr>
              <w:t>文件中的相关规定，采取如下扬尘防治措施，以防治施工扬尘，减小对周围环境空气的影响。</w:t>
            </w:r>
          </w:p>
          <w:p w14:paraId="281D01D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1）建筑施工现场施工扬尘防治工作坚持“属地管理、分级负责”和“谁主管、谁负责”的原则。建设单位应当将施工扬尘防治费用列入工程造价，在工程施工招标文件中明确施工现场扬尘防治的具体要求，在与中标单位签订的施工合同中明确施工现场扬尘防治的内容。</w:t>
            </w:r>
          </w:p>
          <w:p w14:paraId="4A923A9A">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（2）</w:t>
            </w:r>
            <w:r>
              <w:rPr>
                <w:rFonts w:hint="default" w:ascii="Times New Roman" w:hAnsi="Times New Roman" w:cs="Times New Roman"/>
                <w:bCs/>
                <w:color w:val="000000"/>
                <w:sz w:val="24"/>
                <w:szCs w:val="24"/>
              </w:rPr>
              <w:t>施工现场做到八个“100%”，即施工现场100%封闭管理，施工现场100%湿法作业，场区道路100%硬化，渣土物料100％覆盖，物料100％密闭运输，出入车辆100％清洗，远程视频监控100％安装，工地内非道路移动机械100％达标。</w:t>
            </w:r>
          </w:p>
          <w:p w14:paraId="452358E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）施工期在建筑工地必须做到“两个禁止”，即禁止现场搅拌混凝土、禁止现场配制砂浆。</w:t>
            </w:r>
          </w:p>
          <w:p w14:paraId="3011F86C">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4</w:t>
            </w:r>
            <w:r>
              <w:rPr>
                <w:rFonts w:hint="default" w:ascii="Times New Roman" w:hAnsi="Times New Roman" w:cs="Times New Roman"/>
                <w:bCs/>
                <w:color w:val="auto"/>
              </w:rPr>
              <w:t>）施工工地开工前必须做到“六个到位”，即“审批到位、报备到位、治理方案到位、配套措施到位、监控到位、人员（施工单位管理人员、责任部门监管人员）到位”。</w:t>
            </w:r>
          </w:p>
          <w:p w14:paraId="6DD0B3D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）封闭式施工及洒水抑尘</w:t>
            </w:r>
          </w:p>
          <w:p w14:paraId="66BD255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eastAsia="黑体" w:cs="Times New Roman"/>
                <w:b/>
                <w:color w:val="auto"/>
                <w:u w:val="single"/>
              </w:rPr>
            </w:pPr>
            <w:r>
              <w:rPr>
                <w:rFonts w:hint="default" w:ascii="Times New Roman" w:hAnsi="Times New Roman" w:cs="Times New Roman"/>
                <w:color w:val="auto"/>
              </w:rPr>
              <w:t>工程施工时，施工工地周边设置1.8m的硬质围墙，围挡下方设置不低于20cm高的防溢座以防止粉尘流失；任意两块围挡以及围挡与防溢座的拼接处都不能有大于0.5cm的缝隙，围挡不得有明显破损的漏洞。</w:t>
            </w:r>
            <w:r>
              <w:rPr>
                <w:rFonts w:hint="default" w:ascii="Times New Roman" w:hAnsi="Times New Roman" w:cs="Times New Roman"/>
                <w:bCs/>
                <w:color w:val="auto"/>
              </w:rPr>
              <w:t>此外，不得对围挡从事喷漆等作业。</w:t>
            </w:r>
            <w:r>
              <w:rPr>
                <w:rFonts w:hint="default" w:ascii="Times New Roman" w:hAnsi="Times New Roman" w:cs="Times New Roman"/>
                <w:color w:val="auto"/>
              </w:rPr>
              <w:t>施工期间对围挡落尘当定期进行了清洗，保证施工工地周围环境整洁。保证项目在施工场地“湿身”作业，道路及施工场地要每天定期洒水，抑制扬尘产生，在大风日加大洒水量及洒水次数或停止施工。</w:t>
            </w:r>
          </w:p>
          <w:p w14:paraId="19C01D67">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eastAsia" w:hAnsi="Times New Roman" w:cs="Times New Roman"/>
                <w:bCs/>
                <w:color w:val="auto"/>
                <w:lang w:val="en-US" w:eastAsia="zh-CN"/>
              </w:rPr>
              <w:t>6</w:t>
            </w:r>
            <w:r>
              <w:rPr>
                <w:rFonts w:hint="default" w:ascii="Times New Roman" w:hAnsi="Times New Roman" w:cs="Times New Roman"/>
                <w:bCs/>
                <w:color w:val="auto"/>
              </w:rPr>
              <w:t>）避免大风天气作业</w:t>
            </w:r>
          </w:p>
          <w:p w14:paraId="4DA430E6">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在遇有4级以上大风天气，不再进行土方回填、转运以及其他可能产生扬尘污染的施工。避免露天堆放起尘物（如回填用土、建筑砂石等），即使必须露天堆放，也要加盖苫布，减少大风造成的施工扬尘。</w:t>
            </w:r>
          </w:p>
          <w:p w14:paraId="77FD28D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eastAsia" w:hAnsi="Times New Roman" w:cs="Times New Roman"/>
                <w:bCs/>
                <w:color w:val="auto"/>
                <w:lang w:val="en-US" w:eastAsia="zh-CN"/>
              </w:rPr>
              <w:t>7</w:t>
            </w:r>
            <w:r>
              <w:rPr>
                <w:rFonts w:hint="default" w:ascii="Times New Roman" w:hAnsi="Times New Roman" w:cs="Times New Roman"/>
                <w:bCs/>
                <w:color w:val="auto"/>
              </w:rPr>
              <w:t>）采用商品混凝土浆</w:t>
            </w:r>
          </w:p>
          <w:p w14:paraId="0D05A62B">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项目施工期采用商品混凝土浆，大大减少了水泥、黄砂、石子等建筑材料在运输、装卸、堆放过程中产生的扬尘影响，同时还可减轻水泥搅拌机的噪声影响。</w:t>
            </w:r>
          </w:p>
          <w:p w14:paraId="2A717ED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eastAsia" w:hAnsi="Times New Roman" w:cs="Times New Roman"/>
                <w:bCs/>
                <w:color w:val="auto"/>
                <w:lang w:val="en-US" w:eastAsia="zh-CN"/>
              </w:rPr>
              <w:t>8</w:t>
            </w:r>
            <w:r>
              <w:rPr>
                <w:rFonts w:hint="default" w:ascii="Times New Roman" w:hAnsi="Times New Roman" w:cs="Times New Roman"/>
                <w:bCs/>
                <w:color w:val="auto"/>
              </w:rPr>
              <w:t>）及时绿化及覆盖</w:t>
            </w:r>
          </w:p>
          <w:p w14:paraId="6A23FA5A">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Cs/>
                <w:color w:val="auto"/>
              </w:rPr>
            </w:pPr>
            <w:r>
              <w:rPr>
                <w:rFonts w:hint="default" w:ascii="Times New Roman" w:hAnsi="Times New Roman" w:cs="Times New Roman"/>
                <w:bCs/>
                <w:color w:val="auto"/>
              </w:rPr>
              <w:t>对工程施工造成的裸露地面进行绿化，短时间裸露的地面要进行苫盖，至项目施工期结束时，实现绿化或苫盖，达到“黄土不露天”，防止地面扬尘对周围大气环境产生影响。对施工临时占地的暂存土方进行了遮盖处理或喷洒抑尘剂。从事散装货物运输的车辆，特别是运输建筑垃圾、建筑材料等易产生扬尘物料的车辆，必须封盖严密，不得撒漏。</w:t>
            </w:r>
          </w:p>
          <w:p w14:paraId="4E1293A0">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hAnsi="Times New Roman" w:cs="Times New Roman"/>
                <w:color w:val="auto"/>
                <w:lang w:val="en-US" w:eastAsia="zh-CN"/>
              </w:rPr>
              <w:t>9</w:t>
            </w:r>
            <w:r>
              <w:rPr>
                <w:rFonts w:hint="default" w:ascii="Times New Roman" w:hAnsi="Times New Roman" w:cs="Times New Roman"/>
                <w:color w:val="auto"/>
              </w:rPr>
              <w:t>）及时清运垃圾、渣土</w:t>
            </w:r>
          </w:p>
          <w:p w14:paraId="3A3F1C16">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建筑垃圾、工程渣土在48小时内不能完成清运的，在施工工地内设置临时堆放场，临时堆放场采取围挡、遮盖等防尘措施。渣土、建筑垃圾、拆除垃圾等运输过程中应当选择车况良好的密闭式车辆，以避免因车辆本身振动而造成土方或物料散落地面，从而产生扬尘污染。运输过程中限制车速，施工场地道路及时清扫，经常洒水，最大限度减轻道路运输扬尘的产生。</w:t>
            </w:r>
          </w:p>
          <w:p w14:paraId="3E2A22D0">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cs="Times New Roman"/>
                <w:sz w:val="24"/>
                <w:szCs w:val="24"/>
                <w:u w:val="none"/>
                <w:lang w:val="en-US" w:eastAsia="zh-CN"/>
              </w:rPr>
              <w:t>1.2、</w:t>
            </w:r>
            <w:r>
              <w:rPr>
                <w:rFonts w:hint="default" w:ascii="Times New Roman" w:hAnsi="Times New Roman" w:eastAsia="宋体" w:cs="Times New Roman"/>
                <w:sz w:val="24"/>
                <w:szCs w:val="24"/>
                <w:u w:val="none"/>
              </w:rPr>
              <w:t>施工运输车辆和作业机械产生的废气</w:t>
            </w:r>
          </w:p>
          <w:p w14:paraId="0AC38902">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施工阶段用到的施工机械主要包括挖掘机、铲车、物料运输车辆等，本项目</w:t>
            </w:r>
            <w:r>
              <w:rPr>
                <w:rFonts w:hint="eastAsia" w:cs="Times New Roman"/>
                <w:sz w:val="24"/>
                <w:szCs w:val="24"/>
                <w:u w:val="none"/>
                <w:lang w:val="en-US" w:eastAsia="zh-CN"/>
              </w:rPr>
              <w:t>使用车辆要符合非道路和道路的使用要求，</w:t>
            </w:r>
            <w:r>
              <w:rPr>
                <w:rFonts w:hint="default" w:ascii="Times New Roman" w:hAnsi="Times New Roman" w:eastAsia="宋体" w:cs="Times New Roman"/>
                <w:sz w:val="24"/>
                <w:szCs w:val="24"/>
                <w:u w:val="none"/>
              </w:rPr>
              <w:t>根据《车用柴油》（GB/T 19147-2003）标准规定，轻柴油中S含量＜0.05%，灰分＜0.01%。因此，燃油机械在使用轻质柴油时，燃烧废气中SO</w:t>
            </w:r>
            <w:r>
              <w:rPr>
                <w:rFonts w:hint="default" w:ascii="Times New Roman" w:hAnsi="Times New Roman" w:eastAsia="宋体" w:cs="Times New Roman"/>
                <w:sz w:val="24"/>
                <w:szCs w:val="24"/>
                <w:u w:val="none"/>
                <w:vertAlign w:val="subscript"/>
              </w:rPr>
              <w:t>2</w:t>
            </w:r>
            <w:r>
              <w:rPr>
                <w:rFonts w:hint="default" w:ascii="Times New Roman" w:hAnsi="Times New Roman" w:eastAsia="宋体" w:cs="Times New Roman"/>
                <w:sz w:val="24"/>
                <w:szCs w:val="24"/>
                <w:u w:val="none"/>
              </w:rPr>
              <w:t>和颗粒物排放量较少，对周边环境影响不大。根据</w:t>
            </w:r>
            <w:r>
              <w:rPr>
                <w:rFonts w:hint="default" w:ascii="Times New Roman" w:hAnsi="Times New Roman" w:cs="Times New Roman"/>
                <w:sz w:val="24"/>
                <w:szCs w:val="24"/>
                <w:u w:val="none"/>
                <w:lang w:val="en-US" w:eastAsia="zh-CN"/>
              </w:rPr>
              <w:t>河南省生态环境厅</w:t>
            </w:r>
            <w:r>
              <w:rPr>
                <w:rFonts w:hint="default" w:ascii="Times New Roman" w:hAnsi="Times New Roman" w:eastAsia="宋体" w:cs="Times New Roman"/>
                <w:sz w:val="24"/>
                <w:szCs w:val="24"/>
                <w:u w:val="none"/>
              </w:rPr>
              <w:t>印发</w:t>
            </w:r>
            <w:r>
              <w:rPr>
                <w:rFonts w:hint="default" w:ascii="Times New Roman" w:hAnsi="Times New Roman" w:cs="Times New Roman"/>
                <w:sz w:val="24"/>
                <w:szCs w:val="24"/>
                <w:u w:val="none"/>
                <w:lang w:eastAsia="zh-CN"/>
              </w:rPr>
              <w:t>《河南省重污染天气通用行业应急减排措施制定技术指南（2021 年修订版）》</w:t>
            </w:r>
            <w:r>
              <w:rPr>
                <w:rFonts w:hint="default" w:ascii="Times New Roman" w:hAnsi="Times New Roman" w:cs="Times New Roman"/>
                <w:sz w:val="24"/>
                <w:szCs w:val="24"/>
                <w:u w:val="none"/>
                <w:lang w:val="en-US" w:eastAsia="zh-CN"/>
              </w:rPr>
              <w:t>中对于运输方式的要求，厂内</w:t>
            </w:r>
            <w:r>
              <w:rPr>
                <w:rFonts w:hint="default" w:ascii="Times New Roman" w:hAnsi="Times New Roman" w:eastAsia="宋体" w:cs="Times New Roman"/>
                <w:sz w:val="24"/>
                <w:szCs w:val="24"/>
                <w:u w:val="none"/>
              </w:rPr>
              <w:t>非道路移动机械均采用国</w:t>
            </w:r>
            <w:r>
              <w:rPr>
                <w:rFonts w:hint="default" w:ascii="Times New Roman" w:hAnsi="Times New Roman" w:cs="Times New Roman"/>
                <w:sz w:val="24"/>
                <w:szCs w:val="24"/>
                <w:u w:val="none"/>
                <w:lang w:val="en-US" w:eastAsia="zh-CN"/>
              </w:rPr>
              <w:t>三</w:t>
            </w:r>
            <w:r>
              <w:rPr>
                <w:rFonts w:hint="default" w:ascii="Times New Roman" w:hAnsi="Times New Roman" w:eastAsia="宋体" w:cs="Times New Roman"/>
                <w:sz w:val="24"/>
                <w:szCs w:val="24"/>
                <w:u w:val="none"/>
              </w:rPr>
              <w:t>及以上</w:t>
            </w:r>
            <w:r>
              <w:rPr>
                <w:rFonts w:hint="default" w:ascii="Times New Roman" w:hAnsi="Times New Roman" w:cs="Times New Roman"/>
                <w:sz w:val="24"/>
                <w:szCs w:val="24"/>
                <w:u w:val="none"/>
                <w:lang w:val="en-US" w:eastAsia="zh-CN"/>
              </w:rPr>
              <w:t>排放标准，厂内运输车辆要达到达到国五及以上排放标准（重型燃气车辆达到国六排放标准）或使用新能源车辆的比例（A级100%，B级不低于80%）来</w:t>
            </w:r>
            <w:r>
              <w:rPr>
                <w:rFonts w:hint="default" w:ascii="Times New Roman" w:hAnsi="Times New Roman" w:eastAsia="宋体" w:cs="Times New Roman"/>
                <w:sz w:val="24"/>
                <w:szCs w:val="24"/>
                <w:u w:val="none"/>
              </w:rPr>
              <w:t>运输物料。此外，运输车辆禁止超载，不得使用劣质燃料；对车辆尾气的排放应进行监督管理，严格执行汽车排污监管办法相关规定，避免排放黑烟。经采取上述措施后对周围环境的影响较小。</w:t>
            </w:r>
          </w:p>
          <w:p w14:paraId="5E03274D">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highlight w:val="none"/>
              </w:rPr>
              <w:t>实际的施工经验表明，</w:t>
            </w:r>
            <w:r>
              <w:rPr>
                <w:rFonts w:hint="default" w:ascii="Times New Roman" w:hAnsi="Times New Roman" w:cs="Times New Roman"/>
                <w:bCs/>
                <w:color w:val="auto"/>
                <w:sz w:val="24"/>
                <w:highlight w:val="none"/>
                <w:lang w:val="en-US" w:eastAsia="zh-CN"/>
              </w:rPr>
              <w:t>施</w:t>
            </w:r>
            <w:r>
              <w:rPr>
                <w:rFonts w:hint="default" w:ascii="Times New Roman" w:hAnsi="Times New Roman" w:cs="Times New Roman"/>
                <w:bCs/>
                <w:color w:val="auto"/>
                <w:sz w:val="24"/>
                <w:lang w:val="en-US" w:eastAsia="zh-CN"/>
              </w:rPr>
              <w:t>工期</w:t>
            </w:r>
            <w:r>
              <w:rPr>
                <w:rFonts w:hint="default" w:ascii="Times New Roman" w:hAnsi="Times New Roman" w:cs="Times New Roman"/>
                <w:bCs/>
                <w:color w:val="auto"/>
                <w:sz w:val="24"/>
              </w:rPr>
              <w:t>污染</w:t>
            </w:r>
            <w:r>
              <w:rPr>
                <w:rFonts w:hint="default" w:ascii="Times New Roman" w:hAnsi="Times New Roman" w:cs="Times New Roman"/>
                <w:bCs/>
                <w:color w:val="auto"/>
                <w:sz w:val="24"/>
                <w:lang w:val="en-US" w:eastAsia="zh-CN"/>
              </w:rPr>
              <w:t>物</w:t>
            </w:r>
            <w:r>
              <w:rPr>
                <w:rFonts w:hint="default" w:ascii="Times New Roman" w:hAnsi="Times New Roman" w:cs="Times New Roman"/>
                <w:bCs/>
                <w:color w:val="auto"/>
                <w:sz w:val="24"/>
              </w:rPr>
              <w:t>的严重程度还和施工队作业的文明程度有关，施工单位还应该加强管理，严格约束施工行为，禁止乱挖多挖</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经采取上述措施后，施工期扬尘能得到有效控制，因此，扬尘污染控制措施可行。</w:t>
            </w:r>
          </w:p>
          <w:p w14:paraId="1712925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kern w:val="0"/>
              </w:rPr>
            </w:pPr>
            <w:r>
              <w:rPr>
                <w:rFonts w:hint="default" w:ascii="Times New Roman" w:hAnsi="Times New Roman" w:cs="Times New Roman"/>
                <w:b/>
                <w:kern w:val="0"/>
              </w:rPr>
              <w:t>2、水污染防治措施</w:t>
            </w:r>
          </w:p>
          <w:p w14:paraId="55EA7BE7">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施工期废水主要为施工</w:t>
            </w:r>
            <w:r>
              <w:rPr>
                <w:rFonts w:hint="default" w:ascii="Times New Roman" w:hAnsi="Times New Roman" w:cs="Times New Roman"/>
                <w:bCs/>
                <w:color w:val="auto"/>
                <w:sz w:val="24"/>
                <w:highlight w:val="none"/>
              </w:rPr>
              <w:t>生产废水和施工人员的生活污水</w:t>
            </w:r>
            <w:r>
              <w:rPr>
                <w:rFonts w:hint="default" w:ascii="Times New Roman" w:hAnsi="Times New Roman" w:cs="Times New Roman"/>
                <w:bCs/>
                <w:color w:val="auto"/>
                <w:sz w:val="24"/>
              </w:rPr>
              <w:t>，施工单位应采取合理的减缓措施，使施工活动对水环境的影响减少到最小限度。</w:t>
            </w:r>
          </w:p>
          <w:p w14:paraId="0AEBB801">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1</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生活污水</w:t>
            </w:r>
          </w:p>
          <w:p w14:paraId="3E0479BB">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施工人员</w:t>
            </w:r>
            <w:r>
              <w:rPr>
                <w:rFonts w:hint="default" w:ascii="Times New Roman" w:hAnsi="Times New Roman" w:cs="Times New Roman"/>
                <w:bCs/>
                <w:color w:val="auto"/>
                <w:sz w:val="24"/>
                <w:lang w:val="en-US" w:eastAsia="zh-CN"/>
              </w:rPr>
              <w:t>为1</w:t>
            </w:r>
            <w:r>
              <w:rPr>
                <w:rFonts w:hint="eastAsia" w:cs="Times New Roman"/>
                <w:bCs/>
                <w:color w:val="auto"/>
                <w:sz w:val="24"/>
                <w:lang w:val="en-US" w:eastAsia="zh-CN"/>
              </w:rPr>
              <w:t>0</w:t>
            </w:r>
            <w:r>
              <w:rPr>
                <w:rFonts w:hint="default" w:ascii="Times New Roman" w:hAnsi="Times New Roman" w:cs="Times New Roman"/>
                <w:bCs/>
                <w:color w:val="auto"/>
                <w:sz w:val="24"/>
                <w:lang w:val="en-US" w:eastAsia="zh-CN"/>
              </w:rPr>
              <w:t>人，</w:t>
            </w:r>
            <w:r>
              <w:rPr>
                <w:rFonts w:hint="default" w:ascii="Times New Roman" w:hAnsi="Times New Roman" w:cs="Times New Roman"/>
                <w:bCs/>
                <w:color w:val="auto"/>
                <w:sz w:val="24"/>
              </w:rPr>
              <w:t>生活污水产生量较小，因水质污染因子较简单，施工场地设置化粪池，厕所污水由专门清污车辆定期清理，做农田肥料使用，综合利用，不外排</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对周围地表水环境影响</w:t>
            </w:r>
            <w:r>
              <w:rPr>
                <w:rFonts w:hint="default" w:ascii="Times New Roman" w:hAnsi="Times New Roman" w:cs="Times New Roman"/>
                <w:bCs/>
                <w:color w:val="auto"/>
                <w:sz w:val="24"/>
                <w:lang w:val="en-US" w:eastAsia="zh-CN"/>
              </w:rPr>
              <w:t>较小</w:t>
            </w:r>
            <w:r>
              <w:rPr>
                <w:rFonts w:hint="default" w:ascii="Times New Roman" w:hAnsi="Times New Roman" w:cs="Times New Roman"/>
                <w:bCs/>
                <w:color w:val="auto"/>
                <w:sz w:val="24"/>
              </w:rPr>
              <w:t>。</w:t>
            </w:r>
          </w:p>
          <w:p w14:paraId="7910279F">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施工废水</w:t>
            </w:r>
          </w:p>
          <w:p w14:paraId="7CB42DB5">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施工期生产废水主要是施工过程中混凝土</w:t>
            </w:r>
            <w:r>
              <w:rPr>
                <w:rFonts w:hint="default" w:ascii="Times New Roman" w:hAnsi="Times New Roman" w:cs="Times New Roman"/>
                <w:color w:val="auto"/>
                <w:sz w:val="24"/>
                <w:lang w:val="en-US" w:eastAsia="zh-CN"/>
              </w:rPr>
              <w:t>喷洒</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车辆冲洗废水</w:t>
            </w:r>
            <w:r>
              <w:rPr>
                <w:rFonts w:hint="default" w:ascii="Times New Roman" w:hAnsi="Times New Roman" w:cs="Times New Roman"/>
                <w:color w:val="auto"/>
                <w:sz w:val="24"/>
              </w:rPr>
              <w:t>等过程产生的冲洗</w:t>
            </w:r>
            <w:r>
              <w:rPr>
                <w:rFonts w:hint="default" w:ascii="Times New Roman" w:hAnsi="Times New Roman" w:cs="Times New Roman"/>
                <w:color w:val="auto"/>
                <w:sz w:val="24"/>
                <w:lang w:val="en-US" w:eastAsia="zh-CN"/>
              </w:rPr>
              <w:t>废</w:t>
            </w:r>
            <w:r>
              <w:rPr>
                <w:rFonts w:hint="default" w:ascii="Times New Roman" w:hAnsi="Times New Roman" w:cs="Times New Roman"/>
                <w:color w:val="auto"/>
                <w:sz w:val="24"/>
              </w:rPr>
              <w:t>水，施工单位应做好以下防治措施：</w:t>
            </w:r>
          </w:p>
          <w:p w14:paraId="3B86C3B7">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①</w:t>
            </w:r>
            <w:r>
              <w:rPr>
                <w:rFonts w:hint="default" w:ascii="Times New Roman" w:hAnsi="Times New Roman" w:cs="Times New Roman"/>
                <w:color w:val="auto"/>
                <w:sz w:val="24"/>
              </w:rPr>
              <w:t>严禁施工废水乱排、乱流，不</w:t>
            </w:r>
            <w:r>
              <w:rPr>
                <w:rFonts w:hint="default" w:ascii="Times New Roman" w:hAnsi="Times New Roman" w:cs="Times New Roman"/>
                <w:color w:val="auto"/>
                <w:sz w:val="24"/>
                <w:lang w:val="en-US" w:eastAsia="zh-CN"/>
              </w:rPr>
              <w:t>能</w:t>
            </w:r>
            <w:r>
              <w:rPr>
                <w:rFonts w:hint="default" w:ascii="Times New Roman" w:hAnsi="Times New Roman" w:cs="Times New Roman"/>
                <w:color w:val="auto"/>
                <w:sz w:val="24"/>
              </w:rPr>
              <w:t>随意排放</w:t>
            </w:r>
            <w:r>
              <w:rPr>
                <w:rFonts w:hint="default" w:ascii="Times New Roman" w:hAnsi="Times New Roman" w:cs="Times New Roman"/>
                <w:color w:val="auto"/>
                <w:sz w:val="24"/>
                <w:lang w:val="en-US" w:eastAsia="zh-CN"/>
              </w:rPr>
              <w:t>而</w:t>
            </w:r>
            <w:r>
              <w:rPr>
                <w:rFonts w:hint="default" w:ascii="Times New Roman" w:hAnsi="Times New Roman" w:cs="Times New Roman"/>
                <w:color w:val="auto"/>
                <w:sz w:val="24"/>
              </w:rPr>
              <w:t>对周围地表水体造成影响。</w:t>
            </w:r>
          </w:p>
          <w:p w14:paraId="1E4DC295">
            <w:pPr>
              <w:keepNext w:val="0"/>
              <w:keepLines w:val="0"/>
              <w:pageBreakBefore w:val="0"/>
              <w:widowControl w:val="0"/>
              <w:tabs>
                <w:tab w:val="left" w:pos="4395"/>
              </w:tabs>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②</w:t>
            </w:r>
            <w:r>
              <w:rPr>
                <w:rFonts w:hint="default" w:ascii="Times New Roman" w:hAnsi="Times New Roman" w:cs="Times New Roman"/>
                <w:color w:val="auto"/>
                <w:sz w:val="24"/>
              </w:rPr>
              <w:t>施工场地应及时清理，施工废水由于SS含量较高，</w:t>
            </w:r>
            <w:r>
              <w:rPr>
                <w:rFonts w:hint="default" w:ascii="Times New Roman" w:hAnsi="Times New Roman" w:cs="Times New Roman"/>
                <w:color w:val="auto"/>
                <w:sz w:val="24"/>
                <w:lang w:val="en-US" w:eastAsia="zh-CN"/>
              </w:rPr>
              <w:t>水质污染因子较为简单，施工场地建设临时沉淀池，</w:t>
            </w:r>
            <w:r>
              <w:rPr>
                <w:rFonts w:hint="default" w:ascii="Times New Roman" w:hAnsi="Times New Roman" w:eastAsia="宋体" w:cs="Times New Roman"/>
                <w:sz w:val="24"/>
                <w:szCs w:val="24"/>
                <w:u w:val="none"/>
              </w:rPr>
              <w:t>施工废水</w:t>
            </w:r>
            <w:r>
              <w:rPr>
                <w:rFonts w:hint="default" w:ascii="Times New Roman" w:hAnsi="Times New Roman" w:cs="Times New Roman"/>
                <w:sz w:val="24"/>
                <w:szCs w:val="24"/>
                <w:u w:val="none"/>
                <w:lang w:val="en-US" w:eastAsia="zh-CN"/>
              </w:rPr>
              <w:t>经过</w:t>
            </w:r>
            <w:r>
              <w:rPr>
                <w:rFonts w:hint="default" w:ascii="Times New Roman" w:hAnsi="Times New Roman" w:eastAsia="宋体" w:cs="Times New Roman"/>
                <w:sz w:val="24"/>
                <w:szCs w:val="24"/>
                <w:u w:val="none"/>
              </w:rPr>
              <w:t>收集、沉淀处理后回用或用于施工场地及道路洒水抑尘，不外排。</w:t>
            </w:r>
          </w:p>
          <w:p w14:paraId="796680B6">
            <w:pPr>
              <w:keepNext w:val="0"/>
              <w:keepLines w:val="0"/>
              <w:pageBreakBefore w:val="0"/>
              <w:widowControl w:val="0"/>
              <w:kinsoku/>
              <w:wordWrap/>
              <w:overflowPunct/>
              <w:topLinePunct w:val="0"/>
              <w:autoSpaceDE/>
              <w:autoSpaceDN/>
              <w:bidi w:val="0"/>
              <w:spacing w:line="500" w:lineRule="exact"/>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③</w:t>
            </w:r>
            <w:r>
              <w:rPr>
                <w:rFonts w:hint="default" w:ascii="Times New Roman" w:hAnsi="Times New Roman" w:cs="Times New Roman"/>
                <w:color w:val="auto"/>
                <w:sz w:val="24"/>
              </w:rPr>
              <w:t>加强</w:t>
            </w:r>
            <w:r>
              <w:rPr>
                <w:rFonts w:hint="default" w:ascii="Times New Roman" w:hAnsi="Times New Roman" w:cs="Times New Roman"/>
                <w:color w:val="auto"/>
                <w:sz w:val="24"/>
                <w:lang w:val="en-US" w:eastAsia="zh-CN"/>
              </w:rPr>
              <w:t>施工期</w:t>
            </w:r>
            <w:r>
              <w:rPr>
                <w:rFonts w:hint="default" w:ascii="Times New Roman" w:hAnsi="Times New Roman" w:cs="Times New Roman"/>
                <w:color w:val="auto"/>
                <w:sz w:val="24"/>
              </w:rPr>
              <w:t>管理，节约用水，提高施工人员的环保意识，</w:t>
            </w:r>
            <w:r>
              <w:rPr>
                <w:rFonts w:hint="default" w:ascii="Times New Roman" w:hAnsi="Times New Roman" w:cs="Times New Roman"/>
                <w:color w:val="auto"/>
                <w:sz w:val="24"/>
                <w:lang w:val="en-US" w:eastAsia="zh-CN"/>
              </w:rPr>
              <w:t>减少</w:t>
            </w:r>
            <w:r>
              <w:rPr>
                <w:rFonts w:hint="default" w:ascii="Times New Roman" w:hAnsi="Times New Roman" w:cs="Times New Roman"/>
                <w:color w:val="auto"/>
                <w:sz w:val="24"/>
              </w:rPr>
              <w:t>对周围环境造成影响。</w:t>
            </w:r>
          </w:p>
          <w:p w14:paraId="3E64C20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color w:val="auto"/>
                <w:sz w:val="24"/>
              </w:rPr>
              <w:t>综上所述，本评价认为上述施工期废水污染防治措施有效可行，采取上述防治措施后，可以有效地减小施工期废水对周围地表水体的影响。</w:t>
            </w:r>
          </w:p>
          <w:p w14:paraId="16FB7FEC">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kern w:val="0"/>
              </w:rPr>
            </w:pPr>
            <w:r>
              <w:rPr>
                <w:rFonts w:hint="default" w:ascii="Times New Roman" w:hAnsi="Times New Roman" w:cs="Times New Roman"/>
                <w:b/>
                <w:kern w:val="0"/>
              </w:rPr>
              <w:t>3、噪声污染防治措施</w:t>
            </w:r>
          </w:p>
          <w:p w14:paraId="0FD46925">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施工期噪声主要可分为</w:t>
            </w:r>
            <w:r>
              <w:rPr>
                <w:rFonts w:hint="eastAsia" w:cs="Times New Roman"/>
                <w:sz w:val="24"/>
                <w:szCs w:val="24"/>
                <w:u w:val="none"/>
                <w:lang w:val="en-US" w:eastAsia="zh-CN"/>
              </w:rPr>
              <w:t>设备</w:t>
            </w:r>
            <w:r>
              <w:rPr>
                <w:rFonts w:hint="default" w:ascii="Times New Roman" w:hAnsi="Times New Roman" w:eastAsia="宋体" w:cs="Times New Roman"/>
                <w:sz w:val="24"/>
                <w:szCs w:val="24"/>
                <w:u w:val="none"/>
              </w:rPr>
              <w:t>机械噪声、施工作业噪声和施工车辆噪声</w:t>
            </w:r>
            <w:r>
              <w:rPr>
                <w:rFonts w:hint="default" w:ascii="Times New Roman" w:hAnsi="Times New Roman" w:cs="Times New Roman"/>
                <w:sz w:val="24"/>
                <w:szCs w:val="24"/>
                <w:u w:val="none"/>
                <w:lang w:eastAsia="zh-CN"/>
              </w:rPr>
              <w:t>。</w:t>
            </w:r>
            <w:r>
              <w:rPr>
                <w:rFonts w:hint="default" w:ascii="Times New Roman" w:hAnsi="Times New Roman" w:eastAsia="宋体" w:cs="Times New Roman"/>
                <w:sz w:val="24"/>
                <w:szCs w:val="24"/>
                <w:u w:val="none"/>
              </w:rPr>
              <w:t>本项目使用的施工机械主要有如挖土机、</w:t>
            </w:r>
            <w:r>
              <w:rPr>
                <w:rFonts w:hint="default" w:ascii="Times New Roman" w:hAnsi="Times New Roman" w:cs="Times New Roman"/>
                <w:sz w:val="24"/>
                <w:szCs w:val="24"/>
                <w:u w:val="none"/>
                <w:lang w:val="en-US" w:eastAsia="zh-CN"/>
              </w:rPr>
              <w:t>铲车</w:t>
            </w:r>
            <w:r>
              <w:rPr>
                <w:rFonts w:hint="default" w:ascii="Times New Roman" w:hAnsi="Times New Roman" w:eastAsia="宋体" w:cs="Times New Roman"/>
                <w:sz w:val="24"/>
                <w:szCs w:val="24"/>
                <w:u w:val="none"/>
              </w:rPr>
              <w:t>等，多为点声源；施工作业噪声主要指一些零星的敲打声、</w:t>
            </w:r>
            <w:r>
              <w:rPr>
                <w:rFonts w:hint="eastAsia" w:cs="Times New Roman"/>
                <w:sz w:val="24"/>
                <w:szCs w:val="24"/>
                <w:u w:val="none"/>
                <w:lang w:val="en-US" w:eastAsia="zh-CN"/>
              </w:rPr>
              <w:t>设备安装噪声</w:t>
            </w:r>
            <w:r>
              <w:rPr>
                <w:rFonts w:hint="default" w:ascii="Times New Roman" w:hAnsi="Times New Roman" w:eastAsia="宋体" w:cs="Times New Roman"/>
                <w:sz w:val="24"/>
                <w:szCs w:val="24"/>
                <w:u w:val="none"/>
              </w:rPr>
              <w:t>等，多为瞬时噪声；施工车辆的噪声属于交通噪声，为减轻施工期噪声对周围敏感点的影响，评价建议施工作业时应采取以下措施：</w:t>
            </w:r>
          </w:p>
          <w:p w14:paraId="7DE57FEC">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①选用低噪声设备和工艺；加强检查、维护和保养机械设备，保持紧固各部件，减少运行震动噪声。整体设备应安放稳固，并于地面保持良好接触，有条件的应使用减振机座，降低噪声。</w:t>
            </w:r>
            <w:r>
              <w:rPr>
                <w:rFonts w:hint="default" w:ascii="Times New Roman" w:hAnsi="Times New Roman" w:cs="Times New Roman"/>
                <w:bCs/>
                <w:color w:val="000000"/>
                <w:sz w:val="24"/>
                <w:szCs w:val="24"/>
                <w:u w:val="none"/>
              </w:rPr>
              <w:t>控制施工场界噪声不超过《建筑施工场界环境噪声排放标准》（GB12523-2011）。</w:t>
            </w:r>
          </w:p>
          <w:p w14:paraId="41990D8A">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Times New Roman" w:eastAsia="宋体" w:cs="Times New Roman"/>
                <w:sz w:val="24"/>
                <w:szCs w:val="24"/>
                <w:u w:val="none"/>
                <w:lang w:eastAsia="zh-CN"/>
              </w:rPr>
            </w:pPr>
            <w:r>
              <w:rPr>
                <w:rFonts w:hint="eastAsia" w:cs="Times New Roman"/>
                <w:sz w:val="24"/>
                <w:szCs w:val="24"/>
                <w:u w:val="none"/>
                <w:lang w:val="en-US" w:eastAsia="zh-CN"/>
              </w:rPr>
              <w:t>②</w:t>
            </w:r>
            <w:r>
              <w:rPr>
                <w:rFonts w:hint="default" w:ascii="Times New Roman" w:hAnsi="Times New Roman" w:eastAsia="宋体" w:cs="Times New Roman"/>
                <w:sz w:val="24"/>
                <w:szCs w:val="24"/>
                <w:u w:val="none"/>
              </w:rPr>
              <w:t>合理安排施工时间，</w:t>
            </w:r>
            <w:r>
              <w:rPr>
                <w:rFonts w:hint="default" w:ascii="Times New Roman" w:hAnsi="Times New Roman" w:cs="Times New Roman"/>
                <w:bCs/>
                <w:color w:val="000000"/>
                <w:sz w:val="24"/>
                <w:szCs w:val="24"/>
                <w:u w:val="none"/>
                <w:lang w:val="en-US" w:eastAsia="zh-CN"/>
              </w:rPr>
              <w:t>严禁夜间进行高噪声施工，</w:t>
            </w:r>
            <w:r>
              <w:rPr>
                <w:rFonts w:hint="default" w:ascii="Times New Roman" w:hAnsi="Times New Roman" w:eastAsia="宋体" w:cs="Times New Roman"/>
                <w:sz w:val="24"/>
                <w:szCs w:val="24"/>
                <w:u w:val="none"/>
              </w:rPr>
              <w:t>尽可能避免大量高噪声设备同时施工</w:t>
            </w:r>
            <w:r>
              <w:rPr>
                <w:rFonts w:hint="eastAsia" w:cs="Times New Roman"/>
                <w:sz w:val="24"/>
                <w:szCs w:val="24"/>
                <w:u w:val="none"/>
                <w:lang w:eastAsia="zh-CN"/>
              </w:rPr>
              <w:t>，</w:t>
            </w:r>
            <w:r>
              <w:rPr>
                <w:rFonts w:hint="default" w:ascii="Times New Roman" w:hAnsi="Times New Roman" w:eastAsia="宋体" w:cs="Times New Roman"/>
                <w:sz w:val="24"/>
                <w:szCs w:val="24"/>
                <w:u w:val="none"/>
              </w:rPr>
              <w:t>加强管理，防止因工作失当或措施未落实到位造成噪声扰民</w:t>
            </w:r>
            <w:r>
              <w:rPr>
                <w:rFonts w:hint="eastAsia" w:ascii="Times New Roman" w:hAnsi="Times New Roman" w:eastAsia="宋体" w:cs="Times New Roman"/>
                <w:sz w:val="24"/>
                <w:szCs w:val="24"/>
                <w:u w:val="none"/>
                <w:lang w:eastAsia="zh-CN"/>
              </w:rPr>
              <w:t>。</w:t>
            </w:r>
          </w:p>
          <w:p w14:paraId="5F26E231">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sz w:val="24"/>
                <w:szCs w:val="24"/>
                <w:u w:val="none"/>
              </w:rPr>
            </w:pPr>
            <w:r>
              <w:rPr>
                <w:rFonts w:hint="eastAsia" w:cs="Times New Roman"/>
                <w:sz w:val="24"/>
                <w:szCs w:val="24"/>
                <w:u w:val="none"/>
                <w:lang w:val="en-US" w:eastAsia="zh-CN"/>
              </w:rPr>
              <w:t>③</w:t>
            </w:r>
            <w:r>
              <w:rPr>
                <w:rFonts w:hint="default" w:ascii="Times New Roman" w:hAnsi="Times New Roman" w:eastAsia="宋体" w:cs="Times New Roman"/>
                <w:sz w:val="24"/>
                <w:szCs w:val="24"/>
                <w:u w:val="none"/>
              </w:rPr>
              <w:t>合理划定运输路线，尽量避开敏感点，适当限制大型载重车的车速，车辆进入施工场地时应限速禁鸣；定期对运输车辆维修、养护</w:t>
            </w:r>
            <w:r>
              <w:rPr>
                <w:rFonts w:hint="eastAsia" w:cs="Times New Roman"/>
                <w:sz w:val="24"/>
                <w:szCs w:val="24"/>
                <w:u w:val="none"/>
                <w:lang w:eastAsia="zh-CN"/>
              </w:rPr>
              <w:t>。</w:t>
            </w:r>
          </w:p>
          <w:p w14:paraId="6427B4BF">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u w:val="none"/>
              </w:rPr>
            </w:pPr>
            <w:r>
              <w:rPr>
                <w:rFonts w:hint="default" w:ascii="Times New Roman" w:hAnsi="Times New Roman" w:eastAsia="宋体" w:cs="Times New Roman"/>
                <w:sz w:val="24"/>
                <w:szCs w:val="24"/>
                <w:u w:val="none"/>
              </w:rPr>
              <w:t>由于施工噪声为临时影响，项目施工期在认真落实上述环保措施后，能够有效降低噪声对周围环境敏感点的影响。项目施工期噪声对环境影响是暂时的，随着施工期的结束，该影响随之消失。</w:t>
            </w:r>
          </w:p>
          <w:p w14:paraId="44DF91C1">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kern w:val="0"/>
              </w:rPr>
            </w:pPr>
            <w:r>
              <w:rPr>
                <w:rFonts w:hint="default" w:ascii="Times New Roman" w:hAnsi="Times New Roman" w:cs="Times New Roman"/>
                <w:b/>
                <w:kern w:val="0"/>
              </w:rPr>
              <w:t>4、固废污染防治措施</w:t>
            </w:r>
          </w:p>
          <w:p w14:paraId="37D0EC65">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eastAsia="宋体" w:cs="Times New Roman"/>
                <w:kern w:val="0"/>
                <w:lang w:eastAsia="zh-CN"/>
              </w:rPr>
            </w:pPr>
            <w:r>
              <w:rPr>
                <w:rFonts w:hint="default" w:ascii="Times New Roman" w:hAnsi="Times New Roman" w:cs="Times New Roman"/>
                <w:kern w:val="0"/>
              </w:rPr>
              <w:t>（1）</w:t>
            </w:r>
            <w:r>
              <w:rPr>
                <w:rFonts w:hint="default" w:ascii="Times New Roman" w:hAnsi="Times New Roman" w:cs="Times New Roman"/>
                <w:kern w:val="0"/>
                <w:lang w:eastAsia="zh-CN"/>
              </w:rPr>
              <w:t>建筑垃圾</w:t>
            </w:r>
          </w:p>
          <w:p w14:paraId="1E1A2C1A">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rPr>
              <w:t>建筑垃圾主要是一些包装袋、</w:t>
            </w:r>
            <w:r>
              <w:rPr>
                <w:rFonts w:hint="eastAsia" w:hAnsi="Times New Roman" w:cs="Times New Roman"/>
                <w:kern w:val="0"/>
                <w:lang w:val="en-US" w:eastAsia="zh-CN"/>
              </w:rPr>
              <w:t>废石块</w:t>
            </w:r>
            <w:r>
              <w:rPr>
                <w:rFonts w:hint="default" w:ascii="Times New Roman" w:hAnsi="Times New Roman" w:cs="Times New Roman"/>
                <w:kern w:val="0"/>
                <w:lang w:val="en-US" w:eastAsia="zh-CN"/>
              </w:rPr>
              <w:t>和废金属垃圾</w:t>
            </w:r>
            <w:r>
              <w:rPr>
                <w:rFonts w:hint="default" w:ascii="Times New Roman" w:hAnsi="Times New Roman" w:cs="Times New Roman"/>
                <w:kern w:val="0"/>
              </w:rPr>
              <w:t>等，首先应对其中可回收利用部分进行回收</w:t>
            </w:r>
            <w:r>
              <w:rPr>
                <w:rFonts w:hint="default" w:ascii="Times New Roman" w:hAnsi="Times New Roman" w:cs="Times New Roman"/>
                <w:kern w:val="0"/>
                <w:lang w:val="en-US" w:eastAsia="zh-CN"/>
              </w:rPr>
              <w:t>收集外售</w:t>
            </w:r>
            <w:r>
              <w:rPr>
                <w:rFonts w:hint="default" w:ascii="Times New Roman" w:hAnsi="Times New Roman" w:cs="Times New Roman"/>
                <w:kern w:val="0"/>
              </w:rPr>
              <w:t>，其次对</w:t>
            </w:r>
            <w:r>
              <w:rPr>
                <w:rFonts w:hint="default" w:ascii="Times New Roman" w:hAnsi="Times New Roman" w:cs="Times New Roman"/>
                <w:kern w:val="0"/>
                <w:lang w:val="en-US" w:eastAsia="zh-CN"/>
              </w:rPr>
              <w:t>不能回收的</w:t>
            </w:r>
            <w:r>
              <w:rPr>
                <w:rFonts w:hint="default" w:ascii="Times New Roman" w:hAnsi="Times New Roman" w:cs="Times New Roman"/>
                <w:kern w:val="0"/>
              </w:rPr>
              <w:t>建筑垃圾要定点堆放，及时送往当地指定的建筑垃圾堆场，运输过程中加盖篷布，以降低对周围环境的影响。为进一步降低建筑垃圾对周围环境的影响，要求施工单位应同时做好以下防治措施：</w:t>
            </w:r>
          </w:p>
          <w:p w14:paraId="7FC1F039">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lang w:eastAsia="zh-CN"/>
              </w:rPr>
              <w:t>①</w:t>
            </w:r>
            <w:r>
              <w:rPr>
                <w:rFonts w:hint="default" w:ascii="Times New Roman" w:hAnsi="Times New Roman" w:cs="Times New Roman"/>
                <w:kern w:val="0"/>
              </w:rPr>
              <w:t>建设单位应加强施工现场的施工管理工作，施工前材料选购应精确计量，避免材料浪费；应尽量控制工程的变更，产生不必要的施工建筑垃圾。</w:t>
            </w:r>
          </w:p>
          <w:p w14:paraId="20AD27DB">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lang w:eastAsia="zh-CN"/>
              </w:rPr>
              <w:t>②</w:t>
            </w:r>
            <w:r>
              <w:rPr>
                <w:rFonts w:hint="default" w:ascii="Times New Roman" w:hAnsi="Times New Roman" w:cs="Times New Roman"/>
                <w:kern w:val="0"/>
              </w:rPr>
              <w:t>施工现场禁止焚烧废弃物；施工垃圾不得随意丢弃，应分类集中堆放。</w:t>
            </w:r>
          </w:p>
          <w:p w14:paraId="09BC9215">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lang w:eastAsia="zh-CN"/>
              </w:rPr>
              <w:t>③</w:t>
            </w:r>
            <w:r>
              <w:rPr>
                <w:rFonts w:hint="default" w:ascii="Times New Roman" w:hAnsi="Times New Roman" w:cs="Times New Roman"/>
                <w:kern w:val="0"/>
              </w:rPr>
              <w:t>作好土石方平衡，对于不可回填的土石方、不可回用的建筑垃圾，施工单位在处理时应严格执行《城市建筑垃圾管理规定》中的相关要求合理处置，运送至当地指定的垃圾堆放场地，不得随意外排。</w:t>
            </w:r>
          </w:p>
          <w:p w14:paraId="7404ED0C">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lang w:val="en-US" w:eastAsia="zh-CN"/>
              </w:rPr>
              <w:t>④</w:t>
            </w:r>
            <w:r>
              <w:rPr>
                <w:rFonts w:hint="default" w:ascii="Times New Roman" w:hAnsi="Times New Roman" w:cs="Times New Roman"/>
                <w:kern w:val="0"/>
              </w:rPr>
              <w:t>建筑施工垃圾在运输时应选择合适的车辆运输路线，避开沿线居民区、学校，运输车辆四周封闭，车顶应加盖逢布，保证有一定的含水率，避免风力起尘，避免对运输道路两侧敏感点造成大的影响。场地内运输道路应每天定时洒水，保证地面整洁。</w:t>
            </w:r>
          </w:p>
          <w:p w14:paraId="5BA0E395">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eastAsia="宋体" w:cs="Times New Roman"/>
                <w:kern w:val="0"/>
                <w:lang w:eastAsia="zh-CN"/>
              </w:rPr>
            </w:pPr>
            <w:r>
              <w:rPr>
                <w:rFonts w:hint="default" w:ascii="Times New Roman" w:hAnsi="Times New Roman" w:cs="Times New Roman"/>
                <w:kern w:val="0"/>
              </w:rPr>
              <w:t>（2）</w:t>
            </w:r>
            <w:r>
              <w:rPr>
                <w:rFonts w:hint="default" w:ascii="Times New Roman" w:hAnsi="Times New Roman" w:cs="Times New Roman"/>
                <w:kern w:val="0"/>
                <w:lang w:eastAsia="zh-CN"/>
              </w:rPr>
              <w:t>弃土</w:t>
            </w:r>
          </w:p>
          <w:p w14:paraId="619CF027">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本项目施工场地地势平坦，施工期土方开挖土方量较小，施工过程中产生的挖方全部回填，整个施工期可以做到土石方平衡，无弃土外运，为减小水土流失，开挖的土方应及时回填，压实。</w:t>
            </w:r>
          </w:p>
          <w:p w14:paraId="72B38122">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3</w:t>
            </w:r>
            <w:r>
              <w:rPr>
                <w:rFonts w:hint="default" w:ascii="Times New Roman" w:hAnsi="Times New Roman" w:cs="Times New Roman"/>
                <w:kern w:val="0"/>
                <w:lang w:eastAsia="zh-CN"/>
              </w:rPr>
              <w:t>）</w:t>
            </w:r>
            <w:r>
              <w:rPr>
                <w:rFonts w:hint="default" w:ascii="Times New Roman" w:hAnsi="Times New Roman" w:cs="Times New Roman"/>
                <w:kern w:val="0"/>
              </w:rPr>
              <w:t>生活垃圾</w:t>
            </w:r>
          </w:p>
          <w:p w14:paraId="50D62A46">
            <w:pPr>
              <w:pStyle w:val="27"/>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kern w:val="0"/>
              </w:rPr>
            </w:pPr>
            <w:r>
              <w:rPr>
                <w:rFonts w:hint="default" w:ascii="Times New Roman" w:hAnsi="Times New Roman" w:cs="Times New Roman"/>
                <w:kern w:val="0"/>
              </w:rPr>
              <w:t>本项目施工人员产生的生活垃圾要收集到指定的垃圾箱内，</w:t>
            </w:r>
            <w:r>
              <w:rPr>
                <w:rFonts w:hint="default" w:ascii="Times New Roman" w:hAnsi="Times New Roman" w:cs="Times New Roman"/>
                <w:bCs/>
                <w:color w:val="auto"/>
                <w:sz w:val="24"/>
              </w:rPr>
              <w:t>集中收集后及时送集聚区垃圾中转站，由环卫部门集中清运并合理处置</w:t>
            </w:r>
            <w:r>
              <w:rPr>
                <w:rFonts w:hint="default" w:ascii="Times New Roman" w:hAnsi="Times New Roman" w:cs="Times New Roman"/>
                <w:kern w:val="0"/>
              </w:rPr>
              <w:t>，</w:t>
            </w:r>
            <w:r>
              <w:rPr>
                <w:rFonts w:hint="default" w:ascii="Times New Roman" w:hAnsi="Times New Roman" w:cs="Times New Roman"/>
                <w:kern w:val="0"/>
                <w:lang w:val="en-US" w:eastAsia="zh-CN"/>
              </w:rPr>
              <w:t>生活垃圾</w:t>
            </w:r>
            <w:r>
              <w:rPr>
                <w:rFonts w:hint="default" w:ascii="Times New Roman" w:hAnsi="Times New Roman" w:cs="Times New Roman"/>
                <w:kern w:val="0"/>
              </w:rPr>
              <w:t>对周围环境影响</w:t>
            </w:r>
            <w:r>
              <w:rPr>
                <w:rFonts w:hint="default" w:ascii="Times New Roman" w:hAnsi="Times New Roman" w:cs="Times New Roman"/>
                <w:kern w:val="0"/>
                <w:lang w:val="en-US" w:eastAsia="zh-CN"/>
              </w:rPr>
              <w:t>较少</w:t>
            </w:r>
            <w:r>
              <w:rPr>
                <w:rFonts w:hint="default" w:ascii="Times New Roman" w:hAnsi="Times New Roman" w:cs="Times New Roman"/>
                <w:kern w:val="0"/>
              </w:rPr>
              <w:t>。</w:t>
            </w:r>
          </w:p>
          <w:p w14:paraId="6FDDBC8A">
            <w:pPr>
              <w:pStyle w:val="27"/>
              <w:keepNext w:val="0"/>
              <w:keepLines w:val="0"/>
              <w:pageBreakBefore w:val="0"/>
              <w:widowControl w:val="0"/>
              <w:kinsoku/>
              <w:wordWrap/>
              <w:overflowPunct/>
              <w:topLinePunct w:val="0"/>
              <w:autoSpaceDE/>
              <w:autoSpaceDN/>
              <w:bidi w:val="0"/>
              <w:spacing w:line="500" w:lineRule="exact"/>
              <w:textAlignment w:val="auto"/>
              <w:rPr>
                <w:rFonts w:hint="default"/>
                <w:lang w:val="en-US" w:eastAsia="zh-CN"/>
              </w:rPr>
            </w:pPr>
            <w:r>
              <w:rPr>
                <w:rFonts w:hint="default" w:ascii="Times New Roman" w:hAnsi="Times New Roman" w:cs="Times New Roman"/>
                <w:bCs/>
                <w:color w:val="000000"/>
                <w:sz w:val="24"/>
                <w:szCs w:val="24"/>
              </w:rPr>
              <w:t>以上污染因素均伴随施工而产生，且呈间歇式排放。若严格控制</w:t>
            </w:r>
            <w:r>
              <w:rPr>
                <w:rFonts w:hint="eastAsia" w:cs="Times New Roman"/>
                <w:bCs/>
                <w:color w:val="000000"/>
                <w:sz w:val="24"/>
                <w:szCs w:val="24"/>
                <w:lang w:val="en-US" w:eastAsia="zh-CN"/>
              </w:rPr>
              <w:t>施工</w:t>
            </w:r>
            <w:r>
              <w:rPr>
                <w:rFonts w:hint="default" w:ascii="Times New Roman" w:hAnsi="Times New Roman" w:cs="Times New Roman"/>
                <w:bCs/>
                <w:color w:val="000000"/>
                <w:sz w:val="24"/>
                <w:szCs w:val="24"/>
              </w:rPr>
              <w:t>作业时间</w:t>
            </w:r>
            <w:r>
              <w:rPr>
                <w:rFonts w:hint="eastAsia" w:cs="Times New Roman"/>
                <w:bCs/>
                <w:color w:val="000000"/>
                <w:sz w:val="24"/>
                <w:szCs w:val="24"/>
                <w:lang w:val="en-US" w:eastAsia="zh-CN"/>
              </w:rPr>
              <w:t>和</w:t>
            </w:r>
            <w:r>
              <w:rPr>
                <w:rFonts w:hint="default" w:ascii="Times New Roman" w:hAnsi="Times New Roman" w:cs="Times New Roman"/>
                <w:bCs/>
                <w:color w:val="000000"/>
                <w:sz w:val="24"/>
                <w:szCs w:val="24"/>
              </w:rPr>
              <w:t>加强施工管理，可以避免或减缓其对周围环境所产生的不利影响。建设项目完成后，上述环境影响将随之消失。</w:t>
            </w:r>
          </w:p>
          <w:p w14:paraId="2FD8021A">
            <w:pPr>
              <w:pStyle w:val="27"/>
              <w:ind w:left="0" w:leftChars="0" w:firstLine="0" w:firstLineChars="0"/>
              <w:rPr>
                <w:rFonts w:ascii="宋体" w:cs="宋体"/>
                <w:bCs/>
                <w:spacing w:val="-10"/>
              </w:rPr>
            </w:pPr>
          </w:p>
        </w:tc>
      </w:tr>
      <w:tr w14:paraId="50CA5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82" w:hRule="atLeast"/>
          <w:jc w:val="center"/>
        </w:trPr>
        <w:tc>
          <w:tcPr>
            <w:tcW w:w="746" w:type="dxa"/>
            <w:noWrap w:val="0"/>
            <w:tcMar>
              <w:left w:w="28" w:type="dxa"/>
              <w:right w:w="28" w:type="dxa"/>
            </w:tcMar>
            <w:vAlign w:val="center"/>
          </w:tcPr>
          <w:p w14:paraId="6EE6B592">
            <w:pPr>
              <w:adjustRightInd w:val="0"/>
              <w:snapToGrid w:val="0"/>
              <w:jc w:val="center"/>
              <w:rPr>
                <w:rFonts w:hint="eastAsia" w:ascii="宋体" w:hAnsi="宋体" w:cs="宋体"/>
                <w:b/>
                <w:bCs/>
                <w:sz w:val="24"/>
              </w:rPr>
            </w:pPr>
            <w:r>
              <w:rPr>
                <w:rFonts w:hint="eastAsia" w:ascii="宋体" w:hAnsi="宋体" w:cs="宋体"/>
                <w:b/>
                <w:bCs/>
                <w:sz w:val="24"/>
              </w:rPr>
              <w:t>运营</w:t>
            </w:r>
          </w:p>
          <w:p w14:paraId="5C07AAB7">
            <w:pPr>
              <w:adjustRightInd w:val="0"/>
              <w:snapToGrid w:val="0"/>
              <w:jc w:val="center"/>
              <w:rPr>
                <w:rFonts w:hint="eastAsia" w:ascii="宋体" w:hAnsi="宋体" w:cs="宋体"/>
                <w:b/>
                <w:bCs/>
                <w:sz w:val="24"/>
              </w:rPr>
            </w:pPr>
            <w:r>
              <w:rPr>
                <w:rFonts w:hint="eastAsia" w:ascii="宋体" w:hAnsi="宋体" w:cs="宋体"/>
                <w:b/>
                <w:bCs/>
                <w:sz w:val="24"/>
              </w:rPr>
              <w:t>期环</w:t>
            </w:r>
          </w:p>
          <w:p w14:paraId="0E6DB88E">
            <w:pPr>
              <w:adjustRightInd w:val="0"/>
              <w:snapToGrid w:val="0"/>
              <w:jc w:val="center"/>
              <w:rPr>
                <w:rFonts w:hint="eastAsia" w:ascii="宋体" w:hAnsi="宋体" w:cs="宋体"/>
                <w:b/>
                <w:bCs/>
                <w:sz w:val="24"/>
              </w:rPr>
            </w:pPr>
            <w:r>
              <w:rPr>
                <w:rFonts w:hint="eastAsia" w:ascii="宋体" w:hAnsi="宋体" w:cs="宋体"/>
                <w:b/>
                <w:bCs/>
                <w:sz w:val="24"/>
              </w:rPr>
              <w:t>境影</w:t>
            </w:r>
          </w:p>
          <w:p w14:paraId="7F11A962">
            <w:pPr>
              <w:adjustRightInd w:val="0"/>
              <w:snapToGrid w:val="0"/>
              <w:jc w:val="center"/>
              <w:rPr>
                <w:rFonts w:hint="eastAsia" w:ascii="宋体" w:hAnsi="宋体" w:cs="宋体"/>
                <w:b/>
                <w:bCs/>
                <w:sz w:val="24"/>
              </w:rPr>
            </w:pPr>
            <w:r>
              <w:rPr>
                <w:rFonts w:hint="eastAsia" w:ascii="宋体" w:hAnsi="宋体" w:cs="宋体"/>
                <w:b/>
                <w:bCs/>
                <w:sz w:val="24"/>
              </w:rPr>
              <w:t>响和</w:t>
            </w:r>
          </w:p>
          <w:p w14:paraId="5FB66C1D">
            <w:pPr>
              <w:adjustRightInd w:val="0"/>
              <w:snapToGrid w:val="0"/>
              <w:jc w:val="center"/>
              <w:rPr>
                <w:rFonts w:hint="eastAsia" w:ascii="宋体" w:hAnsi="宋体" w:cs="宋体"/>
                <w:b/>
                <w:bCs/>
                <w:sz w:val="24"/>
              </w:rPr>
            </w:pPr>
            <w:r>
              <w:rPr>
                <w:rFonts w:hint="eastAsia" w:ascii="宋体" w:hAnsi="宋体" w:cs="宋体"/>
                <w:b/>
                <w:bCs/>
                <w:sz w:val="24"/>
              </w:rPr>
              <w:t>保护</w:t>
            </w:r>
          </w:p>
          <w:p w14:paraId="3E2E713E">
            <w:pPr>
              <w:adjustRightInd w:val="0"/>
              <w:snapToGrid w:val="0"/>
              <w:jc w:val="center"/>
              <w:rPr>
                <w:rFonts w:ascii="宋体" w:hAnsi="宋体" w:cs="宋体"/>
                <w:b/>
                <w:bCs/>
              </w:rPr>
            </w:pPr>
            <w:r>
              <w:rPr>
                <w:rFonts w:hint="eastAsia" w:ascii="宋体" w:hAnsi="宋体" w:cs="宋体"/>
                <w:b/>
                <w:bCs/>
                <w:sz w:val="24"/>
              </w:rPr>
              <w:t>措施</w:t>
            </w:r>
          </w:p>
        </w:tc>
        <w:tc>
          <w:tcPr>
            <w:tcW w:w="8162" w:type="dxa"/>
            <w:noWrap w:val="0"/>
            <w:vAlign w:val="center"/>
          </w:tcPr>
          <w:p w14:paraId="74AB1036">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lang w:val="en-US" w:eastAsia="zh-CN"/>
              </w:rPr>
            </w:pPr>
            <w:r>
              <w:rPr>
                <w:rFonts w:hint="eastAsia" w:cs="Times New Roman"/>
                <w:b/>
                <w:bCs/>
                <w:color w:val="auto"/>
                <w:sz w:val="24"/>
                <w:szCs w:val="24"/>
                <w:lang w:val="en-US" w:eastAsia="zh-CN"/>
              </w:rPr>
              <w:t>二、</w:t>
            </w:r>
            <w:r>
              <w:rPr>
                <w:rFonts w:hint="default" w:ascii="Times New Roman" w:hAnsi="Times New Roman" w:eastAsia="宋体" w:cs="Times New Roman"/>
                <w:b/>
                <w:bCs/>
                <w:color w:val="auto"/>
                <w:sz w:val="24"/>
                <w:szCs w:val="24"/>
              </w:rPr>
              <w:t>营运期环境影响分析</w:t>
            </w:r>
          </w:p>
          <w:p w14:paraId="720CB2BF">
            <w:pPr>
              <w:keepNext w:val="0"/>
              <w:keepLines w:val="0"/>
              <w:pageBreakBefore w:val="0"/>
              <w:widowControl w:val="0"/>
              <w:tabs>
                <w:tab w:val="left" w:pos="4395"/>
              </w:tabs>
              <w:kinsoku/>
              <w:wordWrap/>
              <w:overflowPunct/>
              <w:topLinePunct w:val="0"/>
              <w:autoSpaceDE/>
              <w:autoSpaceDN/>
              <w:bidi w:val="0"/>
              <w:adjustRightInd w:val="0"/>
              <w:snapToGrid w:val="0"/>
              <w:spacing w:line="500" w:lineRule="exact"/>
              <w:ind w:firstLine="482" w:firstLineChars="200"/>
              <w:jc w:val="left"/>
              <w:textAlignment w:val="auto"/>
              <w:rPr>
                <w:rFonts w:hint="eastAsia" w:ascii="宋体" w:hAnsi="宋体" w:eastAsia="宋体" w:cs="宋体"/>
                <w:b/>
                <w:bCs w:val="0"/>
                <w:sz w:val="24"/>
              </w:rPr>
            </w:pPr>
            <w:r>
              <w:rPr>
                <w:rFonts w:hint="eastAsia" w:ascii="宋体" w:hAnsi="宋体" w:eastAsia="宋体" w:cs="宋体"/>
                <w:b/>
                <w:bCs w:val="0"/>
                <w:sz w:val="24"/>
              </w:rPr>
              <w:t>1</w:t>
            </w:r>
            <w:r>
              <w:rPr>
                <w:rFonts w:hint="eastAsia" w:ascii="宋体" w:hAnsi="宋体" w:cs="宋体"/>
                <w:b/>
                <w:bCs w:val="0"/>
                <w:sz w:val="24"/>
                <w:lang w:eastAsia="zh-CN"/>
              </w:rPr>
              <w:t>、</w:t>
            </w:r>
            <w:r>
              <w:rPr>
                <w:rFonts w:hint="eastAsia" w:ascii="宋体" w:hAnsi="宋体" w:cs="宋体"/>
                <w:b/>
                <w:bCs w:val="0"/>
                <w:sz w:val="24"/>
                <w:lang w:val="en-US" w:eastAsia="zh-CN"/>
              </w:rPr>
              <w:t>大</w:t>
            </w:r>
            <w:r>
              <w:rPr>
                <w:rFonts w:hint="eastAsia" w:ascii="宋体" w:hAnsi="宋体" w:eastAsia="宋体" w:cs="宋体"/>
                <w:b/>
                <w:bCs w:val="0"/>
                <w:sz w:val="24"/>
              </w:rPr>
              <w:t>气</w:t>
            </w:r>
            <w:r>
              <w:rPr>
                <w:rFonts w:hint="default" w:ascii="Times New Roman" w:hAnsi="Times New Roman" w:cs="Times New Roman"/>
                <w:b/>
                <w:kern w:val="0"/>
                <w:sz w:val="24"/>
                <w:szCs w:val="24"/>
                <w:lang w:val="en-US" w:eastAsia="zh-CN"/>
              </w:rPr>
              <w:t>环境影响分析</w:t>
            </w:r>
          </w:p>
          <w:p w14:paraId="229B2953">
            <w:pPr>
              <w:keepNext w:val="0"/>
              <w:keepLines w:val="0"/>
              <w:pageBreakBefore w:val="0"/>
              <w:widowControl w:val="0"/>
              <w:tabs>
                <w:tab w:val="left" w:pos="4395"/>
              </w:tabs>
              <w:kinsoku/>
              <w:wordWrap/>
              <w:overflowPunct/>
              <w:topLinePunct w:val="0"/>
              <w:autoSpaceDE/>
              <w:autoSpaceDN/>
              <w:bidi w:val="0"/>
              <w:adjustRightInd w:val="0"/>
              <w:snapToGrid w:val="0"/>
              <w:spacing w:line="500" w:lineRule="exact"/>
              <w:ind w:firstLine="480" w:firstLineChars="200"/>
              <w:jc w:val="left"/>
              <w:textAlignment w:val="auto"/>
              <w:rPr>
                <w:bCs/>
                <w:sz w:val="24"/>
                <w:highlight w:val="none"/>
              </w:rPr>
            </w:pPr>
            <w:r>
              <w:rPr>
                <w:bCs/>
                <w:sz w:val="24"/>
                <w:highlight w:val="none"/>
              </w:rPr>
              <w:t>1.1污染物产排环节及污染物种类</w:t>
            </w:r>
          </w:p>
          <w:p w14:paraId="19CEA247">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sz w:val="24"/>
                <w:highlight w:val="none"/>
              </w:rPr>
            </w:pPr>
            <w:r>
              <w:rPr>
                <w:sz w:val="24"/>
                <w:highlight w:val="none"/>
              </w:rPr>
              <w:t>项目</w:t>
            </w:r>
            <w:r>
              <w:rPr>
                <w:rFonts w:hint="eastAsia"/>
                <w:sz w:val="24"/>
                <w:highlight w:val="none"/>
                <w:lang w:val="en-US" w:eastAsia="zh-CN"/>
              </w:rPr>
              <w:t>生产</w:t>
            </w:r>
            <w:r>
              <w:rPr>
                <w:sz w:val="24"/>
                <w:highlight w:val="none"/>
              </w:rPr>
              <w:t>废气主要包括</w:t>
            </w:r>
            <w:r>
              <w:rPr>
                <w:rFonts w:hint="eastAsia"/>
                <w:sz w:val="24"/>
                <w:highlight w:val="none"/>
                <w:lang w:val="en-US" w:eastAsia="zh-CN"/>
              </w:rPr>
              <w:t>蒸汽锅炉废气、油辣椒炒制废气、包装封口废气、污水处理废气</w:t>
            </w:r>
            <w:r>
              <w:rPr>
                <w:sz w:val="24"/>
                <w:highlight w:val="none"/>
              </w:rPr>
              <w:t>。</w:t>
            </w:r>
          </w:p>
          <w:p w14:paraId="2B23893D">
            <w:pPr>
              <w:keepNext w:val="0"/>
              <w:keepLines w:val="0"/>
              <w:pageBreakBefore w:val="0"/>
              <w:widowControl w:val="0"/>
              <w:kinsoku/>
              <w:wordWrap w:val="0"/>
              <w:overflowPunct/>
              <w:topLinePunct w:val="0"/>
              <w:autoSpaceDE/>
              <w:autoSpaceDN/>
              <w:bidi w:val="0"/>
              <w:adjustRightInd/>
              <w:snapToGrid/>
              <w:spacing w:line="500" w:lineRule="exact"/>
              <w:ind w:firstLine="482" w:firstLineChars="200"/>
              <w:textAlignment w:val="auto"/>
              <w:rPr>
                <w:rFonts w:hint="eastAsia"/>
                <w:b/>
                <w:bCs w:val="0"/>
                <w:color w:val="000000"/>
                <w:sz w:val="24"/>
                <w:highlight w:val="none"/>
                <w:u w:val="none"/>
              </w:rPr>
            </w:pPr>
            <w:r>
              <w:rPr>
                <w:rFonts w:hint="eastAsia"/>
                <w:b/>
                <w:bCs w:val="0"/>
                <w:color w:val="000000"/>
                <w:sz w:val="24"/>
                <w:highlight w:val="none"/>
                <w:u w:val="none"/>
              </w:rPr>
              <w:t>（</w:t>
            </w:r>
            <w:r>
              <w:rPr>
                <w:rFonts w:hint="eastAsia"/>
                <w:b/>
                <w:bCs w:val="0"/>
                <w:color w:val="000000"/>
                <w:sz w:val="24"/>
                <w:highlight w:val="none"/>
                <w:u w:val="none"/>
                <w:lang w:val="en-US" w:eastAsia="zh-CN"/>
              </w:rPr>
              <w:t>1</w:t>
            </w:r>
            <w:r>
              <w:rPr>
                <w:rFonts w:hint="eastAsia"/>
                <w:b/>
                <w:bCs w:val="0"/>
                <w:color w:val="000000"/>
                <w:sz w:val="24"/>
                <w:highlight w:val="none"/>
                <w:u w:val="none"/>
              </w:rPr>
              <w:t>）</w:t>
            </w:r>
            <w:r>
              <w:rPr>
                <w:rFonts w:hint="eastAsia"/>
                <w:b/>
                <w:bCs w:val="0"/>
                <w:color w:val="000000"/>
                <w:sz w:val="24"/>
                <w:highlight w:val="none"/>
                <w:u w:val="none"/>
                <w:lang w:val="en-US" w:eastAsia="zh-CN"/>
              </w:rPr>
              <w:t>蒸汽锅炉废气</w:t>
            </w:r>
            <w:r>
              <w:rPr>
                <w:rFonts w:hint="eastAsia" w:cs="宋体"/>
                <w:b/>
                <w:bCs w:val="0"/>
                <w:color w:val="000000"/>
                <w:kern w:val="0"/>
                <w:sz w:val="24"/>
                <w:highlight w:val="none"/>
                <w:lang w:val="en-US" w:eastAsia="zh-CN"/>
              </w:rPr>
              <w:t>产污情况分析</w:t>
            </w:r>
          </w:p>
          <w:p w14:paraId="69D484EE">
            <w:pPr>
              <w:pStyle w:val="17"/>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cs="Times New Roman"/>
                <w:color w:val="auto"/>
                <w:kern w:val="2"/>
                <w:sz w:val="24"/>
                <w:szCs w:val="24"/>
                <w:highlight w:val="none"/>
                <w:lang w:val="en-US" w:eastAsia="zh-CN" w:bidi="ar-SA"/>
              </w:rPr>
              <w:t>蒸汽锅炉</w:t>
            </w:r>
            <w:r>
              <w:rPr>
                <w:rFonts w:hint="default" w:ascii="Times New Roman" w:hAnsi="Times New Roman" w:eastAsia="宋体" w:cs="Times New Roman"/>
                <w:color w:val="auto"/>
                <w:kern w:val="2"/>
                <w:sz w:val="24"/>
                <w:szCs w:val="24"/>
                <w:highlight w:val="none"/>
                <w:lang w:val="en-US" w:eastAsia="zh-CN" w:bidi="ar-SA"/>
              </w:rPr>
              <w:t>产生的废气主要污染因子为SO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、NOx、</w:t>
            </w:r>
            <w:r>
              <w:rPr>
                <w:rFonts w:hint="default" w:ascii="Times New Roman" w:hAnsi="Times New Roman" w:eastAsia="宋体" w:cs="Times New Roman"/>
                <w:color w:val="auto"/>
                <w:kern w:val="2"/>
                <w:sz w:val="24"/>
                <w:szCs w:val="24"/>
                <w:lang w:val="en-US" w:eastAsia="zh-CN" w:bidi="ar-SA"/>
              </w:rPr>
              <w:t>烟尘。</w:t>
            </w:r>
            <w:r>
              <w:rPr>
                <w:rFonts w:hint="eastAsia" w:ascii="Times New Roman" w:hAnsi="Times New Roman" w:cs="Times New Roman"/>
                <w:color w:val="auto"/>
                <w:kern w:val="2"/>
                <w:sz w:val="24"/>
                <w:szCs w:val="24"/>
                <w:lang w:val="en-US" w:eastAsia="zh-CN" w:bidi="ar-SA"/>
              </w:rPr>
              <w:t>燃气锅炉</w:t>
            </w:r>
            <w:r>
              <w:rPr>
                <w:rFonts w:hint="default" w:ascii="Times New Roman" w:hAnsi="Times New Roman" w:eastAsia="宋体" w:cs="Times New Roman"/>
                <w:color w:val="auto"/>
                <w:kern w:val="2"/>
                <w:sz w:val="24"/>
                <w:szCs w:val="24"/>
                <w:lang w:val="en-US" w:eastAsia="zh-CN" w:bidi="ar-SA"/>
              </w:rPr>
              <w:t>烟气通过</w:t>
            </w:r>
            <w:r>
              <w:rPr>
                <w:rFonts w:hint="eastAsia" w:ascii="Times New Roman" w:hAnsi="Times New Roman"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m高排气筒排放；</w:t>
            </w:r>
            <w:bookmarkStart w:id="7" w:name="OLE_LINK8"/>
            <w:r>
              <w:rPr>
                <w:rFonts w:hint="default" w:ascii="Times New Roman" w:hAnsi="Times New Roman" w:eastAsia="宋体" w:cs="Times New Roman"/>
                <w:color w:val="auto"/>
                <w:kern w:val="2"/>
                <w:sz w:val="24"/>
                <w:szCs w:val="24"/>
                <w:lang w:val="en-US" w:eastAsia="zh-CN" w:bidi="ar-SA"/>
              </w:rPr>
              <w:t>本项目天然气消耗量</w:t>
            </w:r>
            <w:r>
              <w:rPr>
                <w:rFonts w:hint="eastAsia" w:ascii="Times New Roman" w:hAnsi="Times New Roman" w:eastAsia="宋体" w:cs="Times New Roman"/>
                <w:color w:val="auto"/>
                <w:kern w:val="2"/>
                <w:sz w:val="24"/>
                <w:szCs w:val="24"/>
                <w:lang w:val="en-US" w:eastAsia="zh-CN" w:bidi="ar-SA"/>
              </w:rPr>
              <w:t>约</w:t>
            </w:r>
            <w:r>
              <w:rPr>
                <w:rFonts w:hint="default" w:ascii="Times New Roman" w:hAnsi="Times New Roman" w:eastAsia="宋体" w:cs="Times New Roman"/>
                <w:color w:val="auto"/>
                <w:kern w:val="2"/>
                <w:sz w:val="24"/>
                <w:szCs w:val="24"/>
                <w:lang w:val="en-US" w:eastAsia="zh-CN" w:bidi="ar-SA"/>
              </w:rPr>
              <w:t>为</w:t>
            </w:r>
            <w:r>
              <w:rPr>
                <w:rFonts w:hint="eastAsia" w:ascii="Times New Roman" w:hAnsi="Times New Roman"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lang w:val="en-US" w:eastAsia="zh-CN" w:bidi="ar-SA"/>
              </w:rPr>
              <w:t>万m³</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a</w:t>
            </w:r>
            <w:bookmarkEnd w:id="7"/>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rPr>
              <w:t>评价要求确保氮氧化物满足超低排放要求。根据《生态环境部关于发布&lt;排放源统计调查产排污核算方法和系数手册&gt;的公告》（公告2021年第24号），</w:t>
            </w:r>
            <w:r>
              <w:rPr>
                <w:rFonts w:hint="default" w:ascii="Times New Roman" w:hAnsi="Times New Roman" w:eastAsia="宋体" w:cs="Times New Roman"/>
                <w:color w:val="auto"/>
                <w:kern w:val="2"/>
                <w:sz w:val="24"/>
                <w:szCs w:val="24"/>
                <w:lang w:val="en-US" w:eastAsia="zh-CN" w:bidi="ar-SA"/>
              </w:rPr>
              <w:t>第二次全国污染源普查4430工业锅炉（热力生产和供应行业）产污系数表-燃气工业锅炉产污系数：107753标立方米/万立方米-原料</w:t>
            </w:r>
            <w:r>
              <w:rPr>
                <w:rFonts w:hint="default" w:ascii="Times New Roman" w:hAnsi="Times New Roman" w:eastAsia="宋体" w:cs="Times New Roman"/>
                <w:color w:val="auto"/>
                <w:sz w:val="24"/>
                <w:szCs w:val="24"/>
              </w:rPr>
              <w:t>，氮氧化物产污系数为</w:t>
            </w:r>
            <w:r>
              <w:rPr>
                <w:rFonts w:hint="default" w:ascii="Times New Roman" w:hAnsi="Times New Roman" w:eastAsia="宋体" w:cs="Times New Roman"/>
                <w:color w:val="auto"/>
                <w:kern w:val="2"/>
                <w:sz w:val="24"/>
                <w:szCs w:val="24"/>
                <w:lang w:val="en-US" w:eastAsia="zh-CN" w:bidi="ar-SA"/>
              </w:rPr>
              <w:t>3.03</w:t>
            </w:r>
            <w:r>
              <w:rPr>
                <w:rFonts w:hint="default" w:ascii="Times New Roman" w:hAnsi="Times New Roman" w:eastAsia="宋体" w:cs="Times New Roman"/>
                <w:color w:val="auto"/>
                <w:sz w:val="24"/>
                <w:szCs w:val="24"/>
              </w:rPr>
              <w:t>千克/万立方米-原料（低氮燃烧-国际领先）</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sz w:val="24"/>
                <w:szCs w:val="24"/>
              </w:rPr>
              <w:t xml:space="preserve">产污系数为 </w:t>
            </w:r>
            <w:r>
              <w:rPr>
                <w:rFonts w:hint="default" w:ascii="Times New Roman" w:hAnsi="Times New Roman" w:eastAsia="宋体" w:cs="Times New Roman"/>
                <w:color w:val="auto"/>
                <w:kern w:val="2"/>
                <w:sz w:val="24"/>
                <w:szCs w:val="24"/>
                <w:lang w:val="en-US" w:eastAsia="zh-CN" w:bidi="ar-SA"/>
              </w:rPr>
              <w:t xml:space="preserve">0.02S </w:t>
            </w:r>
            <w:r>
              <w:rPr>
                <w:rFonts w:hint="default" w:ascii="Times New Roman" w:hAnsi="Times New Roman" w:eastAsia="宋体" w:cs="Times New Roman"/>
                <w:color w:val="auto"/>
                <w:sz w:val="24"/>
                <w:szCs w:val="24"/>
              </w:rPr>
              <w:t>千克/万立方米-原料（天然气含硫量取值40mg/m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），即</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sz w:val="24"/>
                <w:szCs w:val="24"/>
              </w:rPr>
              <w:t xml:space="preserve">产污系数为 </w:t>
            </w:r>
            <w:r>
              <w:rPr>
                <w:rFonts w:hint="default" w:ascii="Times New Roman" w:hAnsi="Times New Roman" w:eastAsia="宋体" w:cs="Times New Roman"/>
                <w:color w:val="auto"/>
                <w:kern w:val="2"/>
                <w:sz w:val="24"/>
                <w:szCs w:val="24"/>
                <w:lang w:val="en-US" w:eastAsia="zh-CN" w:bidi="ar-SA"/>
              </w:rPr>
              <w:t>0.8</w:t>
            </w:r>
            <w:r>
              <w:rPr>
                <w:rFonts w:hint="default" w:ascii="Times New Roman" w:hAnsi="Times New Roman" w:eastAsia="宋体" w:cs="Times New Roman"/>
                <w:color w:val="auto"/>
                <w:sz w:val="24"/>
                <w:szCs w:val="24"/>
              </w:rPr>
              <w:t xml:space="preserve"> 千克/万立方米-原料；烟尘参考《北京环境总体规划研究》中的数据，产污系数以</w:t>
            </w:r>
            <w:r>
              <w:rPr>
                <w:rFonts w:hint="default" w:ascii="Times New Roman" w:hAnsi="Times New Roman" w:eastAsia="宋体" w:cs="Times New Roman"/>
                <w:color w:val="auto"/>
                <w:kern w:val="2"/>
                <w:sz w:val="24"/>
                <w:szCs w:val="24"/>
                <w:lang w:val="en-US" w:eastAsia="zh-CN" w:bidi="ar-SA"/>
              </w:rPr>
              <w:t>0.53</w:t>
            </w: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sz w:val="24"/>
                <w:szCs w:val="24"/>
                <w:highlight w:val="none"/>
              </w:rPr>
              <w:t>千克/万立方米-原料计算，则本项目</w:t>
            </w:r>
            <w:r>
              <w:rPr>
                <w:rFonts w:hint="eastAsia" w:ascii="Times New Roman" w:hAnsi="Times New Roman" w:cs="Times New Roman"/>
                <w:color w:val="auto"/>
                <w:sz w:val="24"/>
                <w:szCs w:val="24"/>
                <w:highlight w:val="none"/>
                <w:lang w:val="en-US" w:eastAsia="zh-CN"/>
              </w:rPr>
              <w:t>蒸汽锅炉</w:t>
            </w:r>
            <w:r>
              <w:rPr>
                <w:rFonts w:hint="default" w:ascii="Times New Roman" w:hAnsi="Times New Roman" w:eastAsia="宋体" w:cs="Times New Roman"/>
                <w:color w:val="auto"/>
                <w:sz w:val="24"/>
                <w:szCs w:val="24"/>
                <w:highlight w:val="none"/>
              </w:rPr>
              <w:t>废气产生量为</w:t>
            </w:r>
            <w:r>
              <w:rPr>
                <w:rFonts w:hint="eastAsia" w:ascii="Times New Roman" w:hAnsi="Times New Roman" w:cs="Times New Roman"/>
                <w:color w:val="auto"/>
                <w:kern w:val="2"/>
                <w:sz w:val="24"/>
                <w:szCs w:val="24"/>
                <w:highlight w:val="none"/>
                <w:lang w:val="en-US" w:eastAsia="zh-CN" w:bidi="ar-SA"/>
              </w:rPr>
              <w:t>107.7</w:t>
            </w:r>
            <w:r>
              <w:rPr>
                <w:rFonts w:hint="default" w:ascii="Times New Roman" w:hAnsi="Times New Roman" w:eastAsia="宋体" w:cs="Times New Roman"/>
                <w:color w:val="auto"/>
                <w:kern w:val="2"/>
                <w:sz w:val="24"/>
                <w:szCs w:val="24"/>
                <w:highlight w:val="none"/>
                <w:lang w:val="en-US" w:eastAsia="zh-CN" w:bidi="ar-SA"/>
              </w:rPr>
              <w:t>万m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sz w:val="24"/>
                <w:szCs w:val="24"/>
                <w:highlight w:val="none"/>
              </w:rPr>
              <w:t>烟尘产排量为</w:t>
            </w:r>
            <w:r>
              <w:rPr>
                <w:rFonts w:hint="eastAsia" w:ascii="Times New Roman" w:hAnsi="Times New Roman" w:cs="Times New Roman"/>
                <w:color w:val="auto"/>
                <w:kern w:val="2"/>
                <w:sz w:val="24"/>
                <w:szCs w:val="24"/>
                <w:highlight w:val="none"/>
                <w:lang w:val="en-US" w:eastAsia="zh-CN" w:bidi="ar-SA"/>
              </w:rPr>
              <w:t>0.0053</w:t>
            </w:r>
            <w:r>
              <w:rPr>
                <w:rFonts w:hint="default" w:ascii="Times New Roman" w:hAnsi="Times New Roman" w:eastAsia="宋体" w:cs="Times New Roman"/>
                <w:color w:val="auto"/>
                <w:kern w:val="2"/>
                <w:sz w:val="24"/>
                <w:szCs w:val="24"/>
                <w:highlight w:val="none"/>
                <w:lang w:val="en-US" w:eastAsia="zh-CN" w:bidi="ar-SA"/>
              </w:rPr>
              <w:t>t/a，SO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产排量为</w:t>
            </w:r>
            <w:r>
              <w:rPr>
                <w:rFonts w:hint="eastAsia" w:ascii="Times New Roman" w:hAnsi="Times New Roman" w:cs="Times New Roman"/>
                <w:color w:val="auto"/>
                <w:kern w:val="2"/>
                <w:sz w:val="24"/>
                <w:szCs w:val="24"/>
                <w:highlight w:val="none"/>
                <w:lang w:val="en-US" w:eastAsia="zh-CN" w:bidi="ar-SA"/>
              </w:rPr>
              <w:t>0.008</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产排量为</w:t>
            </w:r>
            <w:r>
              <w:rPr>
                <w:rFonts w:hint="eastAsia" w:ascii="Times New Roman" w:hAnsi="Times New Roman" w:cs="Times New Roman"/>
                <w:color w:val="auto"/>
                <w:sz w:val="24"/>
                <w:szCs w:val="24"/>
                <w:highlight w:val="none"/>
                <w:lang w:val="en-US" w:eastAsia="zh-CN"/>
              </w:rPr>
              <w:t>0.0303</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sz w:val="24"/>
                <w:szCs w:val="24"/>
                <w:highlight w:val="none"/>
              </w:rPr>
              <w:t>经计算颗粒</w:t>
            </w:r>
            <w:r>
              <w:rPr>
                <w:rFonts w:hint="default" w:ascii="Times New Roman" w:hAnsi="Times New Roman" w:eastAsia="宋体" w:cs="Times New Roman"/>
                <w:color w:val="auto"/>
                <w:sz w:val="24"/>
                <w:szCs w:val="24"/>
              </w:rPr>
              <w:t>物产排浓度</w:t>
            </w:r>
            <w:r>
              <w:rPr>
                <w:rFonts w:hint="default" w:ascii="Times New Roman" w:hAnsi="Times New Roman" w:eastAsia="宋体" w:cs="Times New Roman"/>
                <w:color w:val="auto"/>
                <w:kern w:val="2"/>
                <w:sz w:val="24"/>
                <w:szCs w:val="24"/>
                <w:lang w:val="en-US" w:eastAsia="zh-CN" w:bidi="ar-SA"/>
              </w:rPr>
              <w:t>4.9mg/m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sz w:val="24"/>
                <w:szCs w:val="24"/>
              </w:rPr>
              <w:t>产排浓度</w:t>
            </w:r>
            <w:r>
              <w:rPr>
                <w:rFonts w:hint="default" w:ascii="Times New Roman" w:hAnsi="Times New Roman" w:eastAsia="宋体" w:cs="Times New Roman"/>
                <w:color w:val="auto"/>
                <w:kern w:val="2"/>
                <w:sz w:val="24"/>
                <w:szCs w:val="24"/>
                <w:lang w:val="en-US" w:eastAsia="zh-CN" w:bidi="ar-SA"/>
              </w:rPr>
              <w:t>7.</w:t>
            </w:r>
            <w:r>
              <w:rPr>
                <w:rFonts w:hint="eastAsia" w:ascii="Times New Roman" w:hAnsi="Times New Roman" w:cs="Times New Roman"/>
                <w:color w:val="auto"/>
                <w:kern w:val="2"/>
                <w:sz w:val="24"/>
                <w:szCs w:val="24"/>
                <w:lang w:val="en-US" w:eastAsia="zh-CN" w:bidi="ar-SA"/>
              </w:rPr>
              <w:t>42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lang w:val="en-US" w:eastAsia="zh-CN" w:bidi="ar-SA"/>
              </w:rPr>
              <w:t>NOx</w:t>
            </w:r>
            <w:r>
              <w:rPr>
                <w:rFonts w:hint="default" w:ascii="Times New Roman" w:hAnsi="Times New Roman" w:eastAsia="宋体" w:cs="Times New Roman"/>
                <w:color w:val="auto"/>
                <w:sz w:val="24"/>
                <w:szCs w:val="24"/>
              </w:rPr>
              <w:t>产排浓度</w:t>
            </w:r>
            <w:r>
              <w:rPr>
                <w:rFonts w:hint="default" w:ascii="Times New Roman" w:hAnsi="Times New Roman" w:eastAsia="宋体" w:cs="Times New Roman"/>
                <w:color w:val="auto"/>
                <w:kern w:val="2"/>
                <w:sz w:val="24"/>
                <w:szCs w:val="24"/>
                <w:lang w:val="en-US" w:eastAsia="zh-CN" w:bidi="ar-SA"/>
              </w:rPr>
              <w:t>28.</w:t>
            </w:r>
            <w:r>
              <w:rPr>
                <w:rFonts w:hint="eastAsia" w:ascii="Times New Roman" w:hAnsi="Times New Roman"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，最终</w:t>
            </w:r>
            <w:r>
              <w:rPr>
                <w:rFonts w:hint="eastAsia" w:ascii="Times New Roman" w:hAnsi="Times New Roman" w:cs="Times New Roman"/>
                <w:color w:val="auto"/>
                <w:kern w:val="2"/>
                <w:sz w:val="24"/>
                <w:szCs w:val="24"/>
                <w:lang w:val="en-US" w:eastAsia="zh-CN" w:bidi="ar-SA"/>
              </w:rPr>
              <w:t>蒸汽锅炉</w:t>
            </w:r>
            <w:r>
              <w:rPr>
                <w:rFonts w:hint="eastAsia" w:ascii="Times New Roman" w:hAnsi="Times New Roman" w:eastAsia="宋体" w:cs="Times New Roman"/>
                <w:color w:val="auto"/>
                <w:kern w:val="2"/>
                <w:sz w:val="24"/>
                <w:szCs w:val="24"/>
                <w:lang w:val="en-US" w:eastAsia="zh-CN" w:bidi="ar-SA"/>
              </w:rPr>
              <w:t>加装低氮燃烧装置，天然气锅炉燃烧废气通过1根</w:t>
            </w:r>
            <w:r>
              <w:rPr>
                <w:rFonts w:hint="eastAsia" w:ascii="Times New Roman" w:hAnsi="Times New Roman"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米高的排气筒排放（DA001）。排放浓度</w:t>
            </w:r>
            <w:r>
              <w:rPr>
                <w:rFonts w:hint="default" w:ascii="Times New Roman" w:hAnsi="Times New Roman" w:eastAsia="宋体" w:cs="Times New Roman"/>
                <w:color w:val="auto"/>
                <w:kern w:val="2"/>
                <w:sz w:val="24"/>
                <w:szCs w:val="24"/>
                <w:highlight w:val="none"/>
                <w:lang w:val="en-US" w:eastAsia="zh-CN" w:bidi="ar-SA"/>
              </w:rPr>
              <w:t>满足</w:t>
            </w:r>
            <w:r>
              <w:rPr>
                <w:rFonts w:hint="default" w:ascii="Times New Roman" w:hAnsi="Times New Roman" w:eastAsia="宋体" w:cs="Times New Roman"/>
                <w:b w:val="0"/>
                <w:bCs w:val="0"/>
                <w:color w:val="auto"/>
                <w:kern w:val="2"/>
                <w:sz w:val="24"/>
                <w:szCs w:val="20"/>
                <w:lang w:val="en-US" w:eastAsia="zh-CN" w:bidi="ar-SA"/>
              </w:rPr>
              <w:t>《河南省锅炉大气污染物排放标准》(DB41/2089—2021)</w:t>
            </w:r>
            <w:r>
              <w:rPr>
                <w:rFonts w:hint="default" w:ascii="Times New Roman" w:hAnsi="Times New Roman" w:eastAsia="宋体" w:cs="Times New Roman"/>
                <w:color w:val="auto"/>
                <w:sz w:val="24"/>
              </w:rPr>
              <w:t>标准要求</w:t>
            </w:r>
            <w:r>
              <w:rPr>
                <w:rFonts w:hint="default" w:ascii="Times New Roman" w:hAnsi="Times New Roman" w:eastAsia="宋体" w:cs="Times New Roman"/>
                <w:color w:val="auto"/>
                <w:sz w:val="24"/>
                <w:lang w:val="en-US" w:eastAsia="zh-CN"/>
              </w:rPr>
              <w:t>中表1排放限值（燃气锅炉）</w:t>
            </w:r>
            <w:r>
              <w:rPr>
                <w:rFonts w:hint="default" w:ascii="Times New Roman" w:hAnsi="Times New Roman" w:eastAsia="宋体" w:cs="Times New Roman"/>
                <w:color w:val="auto"/>
                <w:kern w:val="2"/>
                <w:sz w:val="24"/>
                <w:szCs w:val="24"/>
                <w:lang w:val="en-US" w:eastAsia="zh-CN" w:bidi="ar-SA"/>
              </w:rPr>
              <w:t>，即颗粒物</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5mg/m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，氮氧化物</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，烟气黑度</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1级</w:t>
            </w:r>
            <w:r>
              <w:rPr>
                <w:rFonts w:hint="eastAsia" w:ascii="Times New Roman" w:hAnsi="Times New Roman" w:eastAsia="宋体" w:cs="Times New Roman"/>
                <w:color w:val="auto"/>
                <w:kern w:val="2"/>
                <w:sz w:val="24"/>
                <w:szCs w:val="24"/>
                <w:lang w:val="en-US" w:eastAsia="zh-CN" w:bidi="ar-SA"/>
              </w:rPr>
              <w:t>，同时也满足</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kern w:val="28"/>
                <w:sz w:val="24"/>
                <w:szCs w:val="24"/>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4"/>
                <w:szCs w:val="24"/>
                <w:highlight w:val="none"/>
                <w:lang w:val="en-US" w:eastAsia="zh-CN" w:bidi="ar-SA"/>
              </w:rPr>
              <w:t>》</w:t>
            </w:r>
            <w:r>
              <w:rPr>
                <w:rFonts w:hint="eastAsia" w:ascii="Times New Roman" w:hAnsi="Times New Roman" w:cs="Times New Roman"/>
                <w:b w:val="0"/>
                <w:bCs w:val="0"/>
                <w:color w:val="auto"/>
                <w:kern w:val="28"/>
                <w:sz w:val="24"/>
                <w:szCs w:val="24"/>
                <w:highlight w:val="none"/>
                <w:lang w:val="en-US" w:eastAsia="zh-CN" w:bidi="ar-SA"/>
              </w:rPr>
              <w:t>中锅炉的排放限值。</w:t>
            </w:r>
          </w:p>
          <w:p w14:paraId="0DEF2553">
            <w:pPr>
              <w:keepNext w:val="0"/>
              <w:keepLines w:val="0"/>
              <w:pageBreakBefore w:val="0"/>
              <w:widowControl w:val="0"/>
              <w:kinsoku/>
              <w:wordWrap w:val="0"/>
              <w:overflowPunct/>
              <w:topLinePunct w:val="0"/>
              <w:autoSpaceDE/>
              <w:autoSpaceDN/>
              <w:bidi w:val="0"/>
              <w:adjustRightInd/>
              <w:snapToGrid/>
              <w:spacing w:line="500" w:lineRule="exact"/>
              <w:ind w:firstLine="482" w:firstLineChars="200"/>
              <w:textAlignment w:val="auto"/>
              <w:rPr>
                <w:rFonts w:hint="default" w:ascii="Times New Roman" w:hAnsi="Times New Roman" w:cs="Times New Roman"/>
                <w:b/>
                <w:bCs w:val="0"/>
                <w:color w:val="000000"/>
                <w:sz w:val="24"/>
                <w:highlight w:val="none"/>
                <w:u w:val="none"/>
              </w:rPr>
            </w:pPr>
            <w:r>
              <w:rPr>
                <w:rFonts w:hint="default" w:ascii="Times New Roman" w:hAnsi="Times New Roman" w:cs="Times New Roman"/>
                <w:b/>
                <w:bCs w:val="0"/>
                <w:color w:val="000000"/>
                <w:sz w:val="24"/>
                <w:highlight w:val="none"/>
                <w:u w:val="none"/>
              </w:rPr>
              <w:t>（</w:t>
            </w:r>
            <w:r>
              <w:rPr>
                <w:rFonts w:hint="default" w:ascii="Times New Roman" w:hAnsi="Times New Roman" w:cs="Times New Roman"/>
                <w:b/>
                <w:bCs w:val="0"/>
                <w:color w:val="000000"/>
                <w:sz w:val="24"/>
                <w:highlight w:val="none"/>
                <w:u w:val="none"/>
                <w:lang w:val="en-US" w:eastAsia="zh-CN"/>
              </w:rPr>
              <w:t>2</w:t>
            </w:r>
            <w:r>
              <w:rPr>
                <w:rFonts w:hint="default" w:ascii="Times New Roman" w:hAnsi="Times New Roman" w:cs="Times New Roman"/>
                <w:b/>
                <w:bCs w:val="0"/>
                <w:color w:val="000000"/>
                <w:sz w:val="24"/>
                <w:highlight w:val="none"/>
                <w:u w:val="none"/>
              </w:rPr>
              <w:t>）</w:t>
            </w:r>
            <w:r>
              <w:rPr>
                <w:rFonts w:hint="default" w:ascii="Times New Roman" w:hAnsi="Times New Roman" w:cs="Times New Roman"/>
                <w:b/>
                <w:bCs w:val="0"/>
                <w:color w:val="000000"/>
                <w:sz w:val="24"/>
                <w:highlight w:val="none"/>
                <w:u w:val="none"/>
                <w:lang w:val="en-US" w:eastAsia="zh-CN"/>
              </w:rPr>
              <w:t>油辣椒炒制废气</w:t>
            </w:r>
            <w:r>
              <w:rPr>
                <w:rFonts w:hint="default" w:ascii="Times New Roman" w:hAnsi="Times New Roman" w:cs="Times New Roman"/>
                <w:b/>
                <w:bCs w:val="0"/>
                <w:color w:val="000000"/>
                <w:kern w:val="0"/>
                <w:sz w:val="24"/>
                <w:highlight w:val="none"/>
                <w:lang w:val="en-US" w:eastAsia="zh-CN"/>
              </w:rPr>
              <w:t>产污情况分析</w:t>
            </w:r>
          </w:p>
          <w:p w14:paraId="47CAEA8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u w:val="none"/>
              </w:rPr>
            </w:pPr>
            <w:r>
              <w:rPr>
                <w:rFonts w:hint="default" w:ascii="Times New Roman" w:hAnsi="Times New Roman" w:eastAsia="宋体" w:cs="Times New Roman"/>
                <w:kern w:val="2"/>
                <w:sz w:val="24"/>
                <w:lang w:val="en-US" w:eastAsia="zh-CN" w:bidi="ar-SA"/>
              </w:rPr>
              <w:t>项目</w:t>
            </w:r>
            <w:r>
              <w:rPr>
                <w:rFonts w:hint="default" w:ascii="Times New Roman" w:hAnsi="Times New Roman" w:cs="Times New Roman"/>
                <w:kern w:val="2"/>
                <w:sz w:val="24"/>
                <w:lang w:val="en-US" w:eastAsia="zh-CN" w:bidi="ar-SA"/>
              </w:rPr>
              <w:t>油辣椒（</w:t>
            </w:r>
            <w:r>
              <w:rPr>
                <w:rFonts w:hint="default" w:ascii="Times New Roman" w:hAnsi="Times New Roman" w:eastAsia="宋体" w:cs="Times New Roman"/>
                <w:kern w:val="2"/>
                <w:sz w:val="24"/>
                <w:lang w:val="en-US" w:eastAsia="zh-CN" w:bidi="ar-SA"/>
              </w:rPr>
              <w:t>复合调味料</w:t>
            </w:r>
            <w:r>
              <w:rPr>
                <w:rFonts w:hint="default" w:ascii="Times New Roman" w:hAnsi="Times New Roman" w:cs="Times New Roman"/>
                <w:kern w:val="2"/>
                <w:sz w:val="24"/>
                <w:lang w:val="en-US" w:eastAsia="zh-CN" w:bidi="ar-SA"/>
              </w:rPr>
              <w:t>）</w:t>
            </w:r>
            <w:r>
              <w:rPr>
                <w:rFonts w:hint="default" w:ascii="Times New Roman" w:hAnsi="Times New Roman" w:eastAsia="宋体" w:cs="Times New Roman"/>
                <w:kern w:val="2"/>
                <w:sz w:val="24"/>
                <w:lang w:val="en-US" w:eastAsia="zh-CN" w:bidi="ar-SA"/>
              </w:rPr>
              <w:t>生产线</w:t>
            </w:r>
            <w:r>
              <w:rPr>
                <w:rFonts w:hint="eastAsia" w:cs="Times New Roman"/>
                <w:kern w:val="2"/>
                <w:sz w:val="24"/>
                <w:lang w:val="en-US" w:eastAsia="zh-CN" w:bidi="ar-SA"/>
              </w:rPr>
              <w:t>利用电炒锅</w:t>
            </w:r>
            <w:r>
              <w:rPr>
                <w:rFonts w:hint="default" w:ascii="Times New Roman" w:hAnsi="Times New Roman" w:eastAsia="宋体" w:cs="Times New Roman"/>
                <w:kern w:val="2"/>
                <w:sz w:val="24"/>
                <w:lang w:val="en-US" w:eastAsia="zh-CN" w:bidi="ar-SA"/>
              </w:rPr>
              <w:t>炒制工序会产生一定量的油烟，根据《社会区域类环境影响评价》（环境保护部环境影响评价工程师职业资格登记管理办公室编）可知，未安装油烟净化器每吨植物油产生油烟3.815kg，本项</w:t>
            </w:r>
            <w:r>
              <w:rPr>
                <w:rFonts w:hint="default" w:ascii="Times New Roman" w:hAnsi="Times New Roman" w:eastAsia="宋体" w:cs="Times New Roman"/>
                <w:kern w:val="2"/>
                <w:sz w:val="24"/>
                <w:highlight w:val="none"/>
                <w:lang w:val="en-US" w:eastAsia="zh-CN" w:bidi="ar-SA"/>
              </w:rPr>
              <w:t>目植物油使用量为</w:t>
            </w:r>
            <w:r>
              <w:rPr>
                <w:rFonts w:hint="default" w:ascii="Times New Roman" w:hAnsi="Times New Roman" w:cs="Times New Roman"/>
                <w:kern w:val="2"/>
                <w:sz w:val="24"/>
                <w:highlight w:val="none"/>
                <w:lang w:val="en-US" w:eastAsia="zh-CN" w:bidi="ar-SA"/>
              </w:rPr>
              <w:t>20</w:t>
            </w:r>
            <w:r>
              <w:rPr>
                <w:rFonts w:hint="default" w:ascii="Times New Roman" w:hAnsi="Times New Roman" w:eastAsia="宋体" w:cs="Times New Roman"/>
                <w:kern w:val="2"/>
                <w:sz w:val="24"/>
                <w:highlight w:val="none"/>
                <w:lang w:val="en-US" w:eastAsia="zh-CN" w:bidi="ar-SA"/>
              </w:rPr>
              <w:t>0t/a，则项目油烟产生量为0.</w:t>
            </w:r>
            <w:r>
              <w:rPr>
                <w:rFonts w:hint="default" w:ascii="Times New Roman" w:hAnsi="Times New Roman" w:cs="Times New Roman"/>
                <w:kern w:val="2"/>
                <w:sz w:val="24"/>
                <w:highlight w:val="none"/>
                <w:lang w:val="en-US" w:eastAsia="zh-CN" w:bidi="ar-SA"/>
              </w:rPr>
              <w:t>763</w:t>
            </w:r>
            <w:r>
              <w:rPr>
                <w:rFonts w:hint="default" w:ascii="Times New Roman" w:hAnsi="Times New Roman" w:eastAsia="宋体" w:cs="Times New Roman"/>
                <w:kern w:val="2"/>
                <w:sz w:val="24"/>
                <w:highlight w:val="none"/>
                <w:lang w:val="en-US" w:eastAsia="zh-CN" w:bidi="ar-SA"/>
              </w:rPr>
              <w:t>t/a</w:t>
            </w:r>
            <w:r>
              <w:rPr>
                <w:rFonts w:hint="default" w:ascii="Times New Roman" w:hAnsi="Times New Roman" w:cs="Times New Roman"/>
                <w:kern w:val="2"/>
                <w:sz w:val="24"/>
                <w:highlight w:val="none"/>
                <w:lang w:val="en-US" w:eastAsia="zh-CN" w:bidi="ar-SA"/>
              </w:rPr>
              <w:t>、产生</w:t>
            </w:r>
            <w:r>
              <w:rPr>
                <w:rFonts w:hint="default" w:ascii="Times New Roman" w:hAnsi="Times New Roman" w:eastAsia="宋体" w:cs="Times New Roman"/>
                <w:kern w:val="2"/>
                <w:sz w:val="24"/>
                <w:highlight w:val="none"/>
                <w:lang w:val="en-US" w:eastAsia="zh-CN" w:bidi="ar-SA"/>
              </w:rPr>
              <w:t>浓度为15.9mg/m</w:t>
            </w:r>
            <w:r>
              <w:rPr>
                <w:rFonts w:hint="default" w:ascii="Times New Roman" w:hAnsi="Times New Roman" w:eastAsia="宋体" w:cs="Times New Roman"/>
                <w:kern w:val="2"/>
                <w:sz w:val="24"/>
                <w:highlight w:val="none"/>
                <w:vertAlign w:val="superscript"/>
                <w:lang w:val="en-US" w:eastAsia="zh-CN" w:bidi="ar-SA"/>
              </w:rPr>
              <w:t>3</w:t>
            </w:r>
            <w:r>
              <w:rPr>
                <w:rFonts w:hint="default" w:ascii="Times New Roman" w:hAnsi="Times New Roman" w:eastAsia="宋体" w:cs="Times New Roman"/>
                <w:kern w:val="2"/>
                <w:sz w:val="24"/>
                <w:highlight w:val="none"/>
                <w:lang w:val="en-US" w:eastAsia="zh-CN" w:bidi="ar-SA"/>
              </w:rPr>
              <w:t>，产生</w:t>
            </w:r>
            <w:r>
              <w:rPr>
                <w:rFonts w:hint="default" w:ascii="Times New Roman" w:hAnsi="Times New Roman" w:cs="Times New Roman"/>
                <w:color w:val="000000"/>
                <w:sz w:val="24"/>
                <w:highlight w:val="none"/>
                <w:u w:val="none"/>
              </w:rPr>
              <w:t>速率为</w:t>
            </w:r>
            <w:r>
              <w:rPr>
                <w:rFonts w:hint="default" w:ascii="Times New Roman" w:hAnsi="Times New Roman" w:cs="Times New Roman"/>
                <w:color w:val="000000"/>
                <w:sz w:val="24"/>
                <w:highlight w:val="none"/>
                <w:u w:val="none"/>
                <w:lang w:val="en-US" w:eastAsia="zh-CN"/>
              </w:rPr>
              <w:t>0.3179</w:t>
            </w:r>
            <w:r>
              <w:rPr>
                <w:rFonts w:hint="default" w:ascii="Times New Roman" w:hAnsi="Times New Roman" w:cs="Times New Roman"/>
                <w:color w:val="000000"/>
                <w:sz w:val="24"/>
                <w:highlight w:val="none"/>
                <w:u w:val="none"/>
              </w:rPr>
              <w:t>kg/h</w:t>
            </w:r>
            <w:r>
              <w:rPr>
                <w:rFonts w:hint="default" w:ascii="Times New Roman" w:hAnsi="Times New Roman" w:cs="Times New Roman"/>
                <w:kern w:val="2"/>
                <w:sz w:val="24"/>
                <w:highlight w:val="none"/>
                <w:lang w:val="en-US" w:eastAsia="zh-CN" w:bidi="ar-SA"/>
              </w:rPr>
              <w:t>。</w:t>
            </w:r>
            <w:r>
              <w:rPr>
                <w:rFonts w:hint="default" w:ascii="Times New Roman" w:hAnsi="Times New Roman" w:eastAsia="宋体" w:cs="Times New Roman"/>
                <w:kern w:val="2"/>
                <w:sz w:val="24"/>
                <w:highlight w:val="none"/>
                <w:lang w:val="en-US" w:eastAsia="zh-CN" w:bidi="ar-SA"/>
              </w:rPr>
              <w:t>项目设置3台炒锅，油烟</w:t>
            </w:r>
            <w:r>
              <w:rPr>
                <w:rFonts w:hint="default" w:ascii="Times New Roman" w:hAnsi="Times New Roman" w:cs="Times New Roman"/>
                <w:kern w:val="2"/>
                <w:sz w:val="24"/>
                <w:highlight w:val="none"/>
                <w:lang w:val="en-US" w:eastAsia="zh-CN" w:bidi="ar-SA"/>
              </w:rPr>
              <w:t>均</w:t>
            </w:r>
            <w:r>
              <w:rPr>
                <w:rFonts w:hint="default" w:ascii="Times New Roman" w:hAnsi="Times New Roman" w:eastAsia="宋体" w:cs="Times New Roman"/>
                <w:kern w:val="2"/>
                <w:sz w:val="24"/>
                <w:highlight w:val="none"/>
                <w:lang w:val="en-US" w:eastAsia="zh-CN" w:bidi="ar-SA"/>
              </w:rPr>
              <w:t>经</w:t>
            </w:r>
            <w:r>
              <w:rPr>
                <w:rFonts w:hint="default" w:ascii="Times New Roman" w:hAnsi="Times New Roman" w:cs="Times New Roman"/>
                <w:kern w:val="2"/>
                <w:sz w:val="24"/>
                <w:highlight w:val="none"/>
                <w:lang w:val="en-US" w:eastAsia="zh-CN" w:bidi="ar-SA"/>
              </w:rPr>
              <w:t>过</w:t>
            </w:r>
            <w:r>
              <w:rPr>
                <w:rFonts w:hint="default" w:ascii="Times New Roman" w:hAnsi="Times New Roman" w:eastAsia="宋体" w:cs="Times New Roman"/>
                <w:kern w:val="2"/>
                <w:sz w:val="24"/>
                <w:highlight w:val="none"/>
                <w:lang w:val="en-US" w:eastAsia="zh-CN" w:bidi="ar-SA"/>
              </w:rPr>
              <w:t>集气罩收集后，引入一套油烟净化器处理，处理达标后通过</w:t>
            </w:r>
            <w:r>
              <w:rPr>
                <w:rFonts w:hint="eastAsia" w:ascii="Times New Roman" w:hAnsi="Times New Roman" w:cs="Times New Roman"/>
                <w:kern w:val="2"/>
                <w:sz w:val="24"/>
                <w:highlight w:val="none"/>
                <w:lang w:val="en-US" w:eastAsia="zh-CN" w:bidi="ar-SA"/>
              </w:rPr>
              <w:t>1根15m</w:t>
            </w:r>
            <w:r>
              <w:rPr>
                <w:rFonts w:hint="default" w:ascii="Times New Roman" w:hAnsi="Times New Roman" w:eastAsia="宋体" w:cs="Times New Roman"/>
                <w:kern w:val="2"/>
                <w:sz w:val="24"/>
                <w:highlight w:val="none"/>
                <w:lang w:val="en-US" w:eastAsia="zh-CN" w:bidi="ar-SA"/>
              </w:rPr>
              <w:t>高</w:t>
            </w:r>
            <w:r>
              <w:rPr>
                <w:rFonts w:hint="eastAsia" w:ascii="Times New Roman" w:hAnsi="Times New Roman" w:cs="Times New Roman"/>
                <w:kern w:val="2"/>
                <w:sz w:val="24"/>
                <w:highlight w:val="none"/>
                <w:lang w:val="en-US" w:eastAsia="zh-CN" w:bidi="ar-SA"/>
              </w:rPr>
              <w:t>的</w:t>
            </w:r>
            <w:r>
              <w:rPr>
                <w:rFonts w:hint="default" w:ascii="Times New Roman" w:hAnsi="Times New Roman" w:eastAsia="宋体" w:cs="Times New Roman"/>
                <w:kern w:val="2"/>
                <w:sz w:val="24"/>
                <w:highlight w:val="none"/>
                <w:lang w:val="en-US" w:eastAsia="zh-CN" w:bidi="ar-SA"/>
              </w:rPr>
              <w:t>排气筒（DA00</w:t>
            </w:r>
            <w:r>
              <w:rPr>
                <w:rFonts w:hint="eastAsia" w:ascii="Times New Roman" w:hAnsi="Times New Roman" w:cs="Times New Roman"/>
                <w:kern w:val="2"/>
                <w:sz w:val="24"/>
                <w:highlight w:val="none"/>
                <w:lang w:val="en-US" w:eastAsia="zh-CN" w:bidi="ar-SA"/>
              </w:rPr>
              <w:t>2</w:t>
            </w:r>
            <w:r>
              <w:rPr>
                <w:rFonts w:hint="default" w:ascii="Times New Roman" w:hAnsi="Times New Roman" w:eastAsia="宋体" w:cs="Times New Roman"/>
                <w:kern w:val="2"/>
                <w:sz w:val="24"/>
                <w:highlight w:val="none"/>
                <w:lang w:val="en-US" w:eastAsia="zh-CN" w:bidi="ar-SA"/>
              </w:rPr>
              <w:t>）排放。</w:t>
            </w:r>
            <w:r>
              <w:rPr>
                <w:rFonts w:hint="default" w:ascii="Times New Roman" w:hAnsi="Times New Roman" w:cs="Times New Roman"/>
                <w:color w:val="000000"/>
                <w:sz w:val="24"/>
                <w:highlight w:val="none"/>
                <w:u w:val="none"/>
              </w:rPr>
              <w:t>废气集气效率按</w:t>
            </w:r>
            <w:r>
              <w:rPr>
                <w:rFonts w:hint="default" w:ascii="Times New Roman" w:hAnsi="Times New Roman" w:cs="Times New Roman"/>
                <w:color w:val="000000"/>
                <w:sz w:val="24"/>
                <w:highlight w:val="none"/>
                <w:u w:val="none"/>
                <w:lang w:val="en-US" w:eastAsia="zh-CN"/>
              </w:rPr>
              <w:t>85</w:t>
            </w:r>
            <w:r>
              <w:rPr>
                <w:rFonts w:hint="default" w:ascii="Times New Roman" w:hAnsi="Times New Roman" w:cs="Times New Roman"/>
                <w:color w:val="000000"/>
                <w:sz w:val="24"/>
                <w:highlight w:val="none"/>
                <w:u w:val="none"/>
              </w:rPr>
              <w:t>%计，</w:t>
            </w:r>
            <w:r>
              <w:rPr>
                <w:rFonts w:hint="default" w:ascii="Times New Roman" w:hAnsi="Times New Roman" w:cs="Times New Roman"/>
                <w:color w:val="000000"/>
                <w:sz w:val="24"/>
                <w:highlight w:val="none"/>
                <w:u w:val="none"/>
                <w:lang w:val="en-US" w:eastAsia="zh-CN"/>
              </w:rPr>
              <w:t>炒制工作时间为2400h/a，油烟净化器处理</w:t>
            </w:r>
            <w:r>
              <w:rPr>
                <w:rFonts w:hint="default" w:ascii="Times New Roman" w:hAnsi="Times New Roman" w:cs="Times New Roman"/>
                <w:color w:val="000000"/>
                <w:sz w:val="24"/>
                <w:highlight w:val="none"/>
                <w:u w:val="none"/>
              </w:rPr>
              <w:t>效率按</w:t>
            </w:r>
            <w:r>
              <w:rPr>
                <w:rFonts w:hint="eastAsia" w:cs="Times New Roman"/>
                <w:color w:val="000000"/>
                <w:sz w:val="24"/>
                <w:highlight w:val="none"/>
                <w:u w:val="none"/>
                <w:lang w:val="en-US" w:eastAsia="zh-CN"/>
              </w:rPr>
              <w:t>90</w:t>
            </w:r>
            <w:r>
              <w:rPr>
                <w:rFonts w:hint="default" w:ascii="Times New Roman" w:hAnsi="Times New Roman" w:cs="Times New Roman"/>
                <w:color w:val="000000"/>
                <w:sz w:val="24"/>
                <w:highlight w:val="none"/>
                <w:u w:val="none"/>
              </w:rPr>
              <w:t>%计，风机风量为</w:t>
            </w:r>
            <w:r>
              <w:rPr>
                <w:rFonts w:hint="default" w:ascii="Times New Roman" w:hAnsi="Times New Roman" w:cs="Times New Roman"/>
                <w:color w:val="000000"/>
                <w:sz w:val="24"/>
                <w:highlight w:val="none"/>
                <w:u w:val="none"/>
                <w:lang w:val="en-US" w:eastAsia="zh-CN"/>
              </w:rPr>
              <w:t>20000</w:t>
            </w:r>
            <w:r>
              <w:rPr>
                <w:rFonts w:hint="default" w:ascii="Times New Roman" w:hAnsi="Times New Roman" w:cs="Times New Roman"/>
                <w:color w:val="000000"/>
                <w:sz w:val="24"/>
                <w:highlight w:val="none"/>
                <w:u w:val="none"/>
              </w:rPr>
              <w:t>m</w:t>
            </w:r>
            <w:r>
              <w:rPr>
                <w:rFonts w:hint="default" w:ascii="Times New Roman" w:hAnsi="Times New Roman" w:cs="Times New Roman"/>
                <w:color w:val="000000"/>
                <w:sz w:val="24"/>
                <w:highlight w:val="none"/>
                <w:u w:val="none"/>
                <w:vertAlign w:val="superscript"/>
              </w:rPr>
              <w:t>3</w:t>
            </w:r>
            <w:r>
              <w:rPr>
                <w:rFonts w:hint="default" w:ascii="Times New Roman" w:hAnsi="Times New Roman" w:cs="Times New Roman"/>
                <w:color w:val="000000"/>
                <w:sz w:val="24"/>
                <w:highlight w:val="none"/>
                <w:u w:val="none"/>
              </w:rPr>
              <w:t>/h。</w:t>
            </w:r>
            <w:r>
              <w:rPr>
                <w:rFonts w:hint="default" w:ascii="Times New Roman" w:hAnsi="Times New Roman" w:cs="Times New Roman"/>
                <w:color w:val="000000"/>
                <w:sz w:val="24"/>
                <w:highlight w:val="none"/>
                <w:u w:val="none"/>
                <w:lang w:val="en-US" w:eastAsia="zh-CN"/>
              </w:rPr>
              <w:t>经过</w:t>
            </w:r>
            <w:r>
              <w:rPr>
                <w:rFonts w:hint="default" w:ascii="Times New Roman" w:hAnsi="Times New Roman" w:eastAsia="宋体" w:cs="Times New Roman"/>
                <w:kern w:val="2"/>
                <w:sz w:val="24"/>
                <w:highlight w:val="none"/>
                <w:lang w:val="en-US" w:eastAsia="zh-CN" w:bidi="ar-SA"/>
              </w:rPr>
              <w:t>处理后</w:t>
            </w:r>
            <w:r>
              <w:rPr>
                <w:rFonts w:hint="default" w:ascii="Times New Roman" w:hAnsi="Times New Roman" w:cs="Times New Roman"/>
                <w:kern w:val="2"/>
                <w:sz w:val="24"/>
                <w:highlight w:val="none"/>
                <w:lang w:val="en-US" w:eastAsia="zh-CN" w:bidi="ar-SA"/>
              </w:rPr>
              <w:t>油烟</w:t>
            </w:r>
            <w:r>
              <w:rPr>
                <w:rFonts w:hint="default" w:ascii="Times New Roman" w:hAnsi="Times New Roman" w:eastAsia="宋体" w:cs="Times New Roman"/>
                <w:kern w:val="2"/>
                <w:sz w:val="24"/>
                <w:highlight w:val="none"/>
                <w:lang w:val="en-US" w:eastAsia="zh-CN" w:bidi="ar-SA"/>
              </w:rPr>
              <w:t>排放量为0.0</w:t>
            </w:r>
            <w:r>
              <w:rPr>
                <w:rFonts w:hint="default" w:ascii="Times New Roman" w:hAnsi="Times New Roman" w:cs="Times New Roman"/>
                <w:kern w:val="2"/>
                <w:sz w:val="24"/>
                <w:highlight w:val="none"/>
                <w:lang w:val="en-US" w:eastAsia="zh-CN" w:bidi="ar-SA"/>
              </w:rPr>
              <w:t>649</w:t>
            </w:r>
            <w:r>
              <w:rPr>
                <w:rFonts w:hint="default" w:ascii="Times New Roman" w:hAnsi="Times New Roman" w:eastAsia="宋体" w:cs="Times New Roman"/>
                <w:kern w:val="2"/>
                <w:sz w:val="24"/>
                <w:highlight w:val="none"/>
                <w:lang w:val="en-US" w:eastAsia="zh-CN" w:bidi="ar-SA"/>
              </w:rPr>
              <w:t>t/a，排放浓度为</w:t>
            </w:r>
            <w:r>
              <w:rPr>
                <w:rFonts w:hint="default" w:ascii="Times New Roman" w:hAnsi="Times New Roman" w:cs="Times New Roman"/>
                <w:kern w:val="2"/>
                <w:sz w:val="24"/>
                <w:highlight w:val="none"/>
                <w:lang w:val="en-US" w:eastAsia="zh-CN" w:bidi="ar-SA"/>
              </w:rPr>
              <w:t>1.35</w:t>
            </w:r>
            <w:r>
              <w:rPr>
                <w:rFonts w:hint="default" w:ascii="Times New Roman" w:hAnsi="Times New Roman" w:eastAsia="宋体" w:cs="Times New Roman"/>
                <w:kern w:val="2"/>
                <w:sz w:val="24"/>
                <w:highlight w:val="none"/>
                <w:lang w:val="en-US" w:eastAsia="zh-CN" w:bidi="ar-SA"/>
              </w:rPr>
              <w:t>m</w:t>
            </w:r>
            <w:r>
              <w:rPr>
                <w:rFonts w:hint="default" w:ascii="Times New Roman" w:hAnsi="Times New Roman" w:eastAsia="宋体" w:cs="Times New Roman"/>
                <w:kern w:val="2"/>
                <w:sz w:val="24"/>
                <w:lang w:val="en-US" w:eastAsia="zh-CN" w:bidi="ar-SA"/>
              </w:rPr>
              <w:t>g/m</w:t>
            </w:r>
            <w:r>
              <w:rPr>
                <w:rFonts w:hint="default" w:ascii="Times New Roman" w:hAnsi="Times New Roman" w:eastAsia="宋体" w:cs="Times New Roman"/>
                <w:kern w:val="2"/>
                <w:sz w:val="24"/>
                <w:vertAlign w:val="superscript"/>
                <w:lang w:val="en-US" w:eastAsia="zh-CN" w:bidi="ar-SA"/>
              </w:rPr>
              <w:t>3</w:t>
            </w:r>
            <w:r>
              <w:rPr>
                <w:rFonts w:hint="default" w:ascii="Times New Roman" w:hAnsi="Times New Roman" w:eastAsia="宋体" w:cs="Times New Roman"/>
                <w:kern w:val="2"/>
                <w:sz w:val="24"/>
                <w:lang w:val="en-US" w:eastAsia="zh-CN" w:bidi="ar-SA"/>
              </w:rPr>
              <w:t>，</w:t>
            </w:r>
            <w:r>
              <w:rPr>
                <w:rFonts w:hint="default" w:ascii="Times New Roman" w:hAnsi="Times New Roman" w:cs="Times New Roman"/>
                <w:color w:val="000000"/>
                <w:sz w:val="24"/>
                <w:highlight w:val="none"/>
                <w:u w:val="none"/>
              </w:rPr>
              <w:t>排放速率为</w:t>
            </w:r>
            <w:r>
              <w:rPr>
                <w:rFonts w:hint="default" w:ascii="Times New Roman" w:hAnsi="Times New Roman" w:cs="Times New Roman"/>
                <w:color w:val="000000"/>
                <w:sz w:val="24"/>
                <w:highlight w:val="none"/>
                <w:u w:val="none"/>
                <w:lang w:val="en-US" w:eastAsia="zh-CN"/>
              </w:rPr>
              <w:t>0.027</w:t>
            </w:r>
            <w:r>
              <w:rPr>
                <w:rFonts w:hint="default" w:ascii="Times New Roman" w:hAnsi="Times New Roman" w:cs="Times New Roman"/>
                <w:color w:val="000000"/>
                <w:sz w:val="24"/>
                <w:highlight w:val="none"/>
                <w:u w:val="none"/>
              </w:rPr>
              <w:t>kg/h</w:t>
            </w:r>
            <w:r>
              <w:rPr>
                <w:rFonts w:hint="default" w:ascii="Times New Roman" w:hAnsi="Times New Roman" w:eastAsia="宋体" w:cs="Times New Roman"/>
                <w:kern w:val="2"/>
                <w:sz w:val="24"/>
                <w:lang w:val="en-US" w:eastAsia="zh-CN" w:bidi="ar-SA"/>
              </w:rPr>
              <w:t>。油烟排放浓度满足</w:t>
            </w:r>
            <w:r>
              <w:rPr>
                <w:rFonts w:hint="default" w:ascii="Times New Roman" w:hAnsi="Times New Roman" w:cs="Times New Roman"/>
                <w:sz w:val="24"/>
                <w:szCs w:val="24"/>
                <w:highlight w:val="none"/>
                <w:lang w:val="en-US" w:eastAsia="zh-CN"/>
              </w:rPr>
              <w:t>河南省《餐饮业油烟污染物排放标准》（DB41/1604-2018）</w:t>
            </w:r>
            <w:r>
              <w:rPr>
                <w:rFonts w:hint="default" w:ascii="Times New Roman" w:hAnsi="Times New Roman" w:eastAsia="宋体" w:cs="Times New Roman"/>
                <w:kern w:val="2"/>
                <w:sz w:val="24"/>
                <w:lang w:val="en-US" w:eastAsia="zh-CN" w:bidi="ar-SA"/>
              </w:rPr>
              <w:t>（</w:t>
            </w:r>
            <w:r>
              <w:rPr>
                <w:rFonts w:hint="default" w:ascii="Times New Roman" w:hAnsi="Times New Roman" w:cs="Times New Roman"/>
                <w:kern w:val="2"/>
                <w:sz w:val="24"/>
                <w:lang w:val="en-US" w:eastAsia="zh-CN" w:bidi="ar-SA"/>
              </w:rPr>
              <w:t>小</w:t>
            </w:r>
            <w:r>
              <w:rPr>
                <w:rFonts w:hint="default" w:ascii="Times New Roman" w:hAnsi="Times New Roman" w:eastAsia="宋体" w:cs="Times New Roman"/>
                <w:kern w:val="2"/>
                <w:sz w:val="24"/>
                <w:lang w:val="en-US" w:eastAsia="zh-CN" w:bidi="ar-SA"/>
              </w:rPr>
              <w:t>型</w:t>
            </w:r>
            <w:r>
              <w:rPr>
                <w:rFonts w:hint="default" w:ascii="Times New Roman" w:hAnsi="Times New Roman" w:cs="Times New Roman"/>
                <w:kern w:val="2"/>
                <w:sz w:val="24"/>
                <w:lang w:val="en-US" w:eastAsia="zh-CN" w:bidi="ar-SA"/>
              </w:rPr>
              <w:t>-</w:t>
            </w:r>
            <w:r>
              <w:rPr>
                <w:rFonts w:hint="default" w:ascii="Times New Roman" w:hAnsi="Times New Roman" w:eastAsia="宋体" w:cs="Times New Roman"/>
                <w:kern w:val="2"/>
                <w:sz w:val="24"/>
                <w:lang w:val="en-US" w:eastAsia="zh-CN" w:bidi="ar-SA"/>
              </w:rPr>
              <w:t>最低去除效率90%、最高允许排放浓度1.</w:t>
            </w:r>
            <w:r>
              <w:rPr>
                <w:rFonts w:hint="default" w:ascii="Times New Roman" w:hAnsi="Times New Roman" w:cs="Times New Roman"/>
                <w:kern w:val="2"/>
                <w:sz w:val="24"/>
                <w:lang w:val="en-US" w:eastAsia="zh-CN" w:bidi="ar-SA"/>
              </w:rPr>
              <w:t>5</w:t>
            </w:r>
            <w:r>
              <w:rPr>
                <w:rFonts w:hint="default" w:ascii="Times New Roman" w:hAnsi="Times New Roman" w:eastAsia="宋体" w:cs="Times New Roman"/>
                <w:kern w:val="2"/>
                <w:sz w:val="24"/>
                <w:lang w:val="en-US" w:eastAsia="zh-CN" w:bidi="ar-SA"/>
              </w:rPr>
              <w:t>mg/m</w:t>
            </w:r>
            <w:r>
              <w:rPr>
                <w:rFonts w:hint="default" w:ascii="Times New Roman" w:hAnsi="Times New Roman" w:eastAsia="宋体" w:cs="Times New Roman"/>
                <w:kern w:val="2"/>
                <w:sz w:val="24"/>
                <w:vertAlign w:val="superscript"/>
                <w:lang w:val="en-US" w:eastAsia="zh-CN" w:bidi="ar-SA"/>
              </w:rPr>
              <w:t>3</w:t>
            </w:r>
            <w:r>
              <w:rPr>
                <w:rFonts w:hint="default" w:ascii="Times New Roman" w:hAnsi="Times New Roman" w:eastAsia="宋体" w:cs="Times New Roman"/>
                <w:kern w:val="2"/>
                <w:sz w:val="24"/>
                <w:lang w:val="en-US" w:eastAsia="zh-CN" w:bidi="ar-SA"/>
              </w:rPr>
              <w:t>）要求。</w:t>
            </w:r>
          </w:p>
          <w:p w14:paraId="440B94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bCs/>
                <w:color w:val="000000"/>
                <w:sz w:val="24"/>
                <w:u w:val="none"/>
              </w:rPr>
            </w:pPr>
            <w:r>
              <w:rPr>
                <w:rFonts w:hint="default" w:ascii="Times New Roman" w:hAnsi="Times New Roman" w:cs="Times New Roman"/>
                <w:color w:val="000000"/>
                <w:sz w:val="24"/>
                <w:u w:val="none"/>
              </w:rPr>
              <w:t>废气集气效率按</w:t>
            </w:r>
            <w:r>
              <w:rPr>
                <w:rFonts w:hint="default" w:ascii="Times New Roman" w:hAnsi="Times New Roman" w:cs="Times New Roman"/>
                <w:color w:val="000000"/>
                <w:sz w:val="24"/>
                <w:u w:val="none"/>
                <w:lang w:val="en-US" w:eastAsia="zh-CN"/>
              </w:rPr>
              <w:t>85</w:t>
            </w:r>
            <w:r>
              <w:rPr>
                <w:rFonts w:hint="default" w:ascii="Times New Roman" w:hAnsi="Times New Roman" w:cs="Times New Roman"/>
                <w:color w:val="000000"/>
                <w:sz w:val="24"/>
                <w:u w:val="none"/>
              </w:rPr>
              <w:t>%计</w:t>
            </w:r>
            <w:r>
              <w:rPr>
                <w:rFonts w:hint="default" w:ascii="Times New Roman" w:hAnsi="Times New Roman" w:cs="Times New Roman"/>
                <w:color w:val="000000"/>
                <w:sz w:val="24"/>
                <w:u w:val="none"/>
                <w:lang w:eastAsia="zh-CN"/>
              </w:rPr>
              <w:t>，</w:t>
            </w:r>
            <w:r>
              <w:rPr>
                <w:rFonts w:hint="default" w:ascii="Times New Roman" w:hAnsi="Times New Roman" w:cs="Times New Roman"/>
                <w:color w:val="000000"/>
                <w:sz w:val="24"/>
                <w:u w:val="none"/>
                <w:lang w:val="en-US" w:eastAsia="zh-CN"/>
              </w:rPr>
              <w:t>则有15%的油烟无组织排放，炒制</w:t>
            </w:r>
            <w:r>
              <w:rPr>
                <w:rFonts w:hint="default" w:ascii="Times New Roman" w:hAnsi="Times New Roman" w:cs="Times New Roman"/>
                <w:bCs/>
                <w:color w:val="000000"/>
                <w:sz w:val="24"/>
                <w:u w:val="none"/>
              </w:rPr>
              <w:t>工序在车间内进行，</w:t>
            </w:r>
            <w:r>
              <w:rPr>
                <w:rFonts w:hint="default" w:ascii="Times New Roman" w:hAnsi="Times New Roman" w:cs="Times New Roman"/>
                <w:bCs/>
                <w:color w:val="000000"/>
                <w:sz w:val="24"/>
                <w:u w:val="none"/>
                <w:lang w:val="en-US" w:eastAsia="zh-CN"/>
              </w:rPr>
              <w:t>炒制工序</w:t>
            </w:r>
            <w:r>
              <w:rPr>
                <w:rFonts w:hint="default" w:ascii="Times New Roman" w:hAnsi="Times New Roman" w:cs="Times New Roman"/>
                <w:bCs/>
                <w:color w:val="000000"/>
                <w:sz w:val="24"/>
                <w:u w:val="none"/>
              </w:rPr>
              <w:t>无组织</w:t>
            </w:r>
            <w:r>
              <w:rPr>
                <w:rFonts w:hint="default" w:ascii="Times New Roman" w:hAnsi="Times New Roman" w:cs="Times New Roman"/>
                <w:bCs/>
                <w:color w:val="000000"/>
                <w:sz w:val="24"/>
                <w:u w:val="none"/>
                <w:lang w:val="en-US" w:eastAsia="zh-CN"/>
              </w:rPr>
              <w:t>油烟</w:t>
            </w:r>
            <w:r>
              <w:rPr>
                <w:rFonts w:hint="default" w:ascii="Times New Roman" w:hAnsi="Times New Roman" w:cs="Times New Roman"/>
                <w:bCs/>
                <w:color w:val="000000"/>
                <w:sz w:val="24"/>
                <w:u w:val="none"/>
              </w:rPr>
              <w:t>的排放量为</w:t>
            </w:r>
            <w:r>
              <w:rPr>
                <w:rFonts w:hint="default" w:ascii="Times New Roman" w:hAnsi="Times New Roman" w:cs="Times New Roman"/>
                <w:bCs/>
                <w:color w:val="000000"/>
                <w:sz w:val="24"/>
                <w:u w:val="none"/>
                <w:lang w:val="en-US" w:eastAsia="zh-CN"/>
              </w:rPr>
              <w:t>0.11445</w:t>
            </w:r>
            <w:r>
              <w:rPr>
                <w:rFonts w:hint="default" w:ascii="Times New Roman" w:hAnsi="Times New Roman" w:cs="Times New Roman"/>
                <w:bCs/>
                <w:color w:val="000000"/>
                <w:sz w:val="24"/>
                <w:highlight w:val="none"/>
                <w:u w:val="none"/>
              </w:rPr>
              <w:t>t/a、</w:t>
            </w:r>
            <w:r>
              <w:rPr>
                <w:rFonts w:hint="default" w:ascii="Times New Roman" w:hAnsi="Times New Roman" w:cs="Times New Roman"/>
                <w:bCs/>
                <w:color w:val="000000"/>
                <w:sz w:val="24"/>
                <w:highlight w:val="none"/>
                <w:u w:val="none"/>
                <w:lang w:val="en-US" w:eastAsia="zh-CN"/>
              </w:rPr>
              <w:t>0.0477</w:t>
            </w:r>
            <w:r>
              <w:rPr>
                <w:rFonts w:hint="default" w:ascii="Times New Roman" w:hAnsi="Times New Roman" w:cs="Times New Roman"/>
                <w:color w:val="000000"/>
                <w:sz w:val="24"/>
                <w:highlight w:val="none"/>
                <w:u w:val="none"/>
              </w:rPr>
              <w:t>kg/h</w:t>
            </w:r>
            <w:r>
              <w:rPr>
                <w:rFonts w:hint="default" w:ascii="Times New Roman" w:hAnsi="Times New Roman" w:cs="Times New Roman"/>
                <w:bCs/>
                <w:color w:val="000000"/>
                <w:sz w:val="24"/>
                <w:highlight w:val="none"/>
                <w:u w:val="none"/>
              </w:rPr>
              <w:t>。</w:t>
            </w:r>
          </w:p>
          <w:p w14:paraId="2C0B974B">
            <w:pPr>
              <w:keepNext w:val="0"/>
              <w:keepLines w:val="0"/>
              <w:pageBreakBefore w:val="0"/>
              <w:widowControl w:val="0"/>
              <w:kinsoku/>
              <w:wordWrap w:val="0"/>
              <w:overflowPunct/>
              <w:topLinePunct w:val="0"/>
              <w:autoSpaceDE/>
              <w:autoSpaceDN/>
              <w:bidi w:val="0"/>
              <w:adjustRightInd/>
              <w:snapToGrid/>
              <w:spacing w:line="500" w:lineRule="exact"/>
              <w:ind w:firstLine="482" w:firstLineChars="200"/>
              <w:textAlignment w:val="auto"/>
              <w:rPr>
                <w:rFonts w:hint="default" w:ascii="Times New Roman" w:hAnsi="Times New Roman" w:cs="Times New Roman"/>
                <w:b/>
                <w:bCs w:val="0"/>
                <w:color w:val="000000"/>
                <w:sz w:val="24"/>
                <w:highlight w:val="none"/>
                <w:u w:val="none"/>
              </w:rPr>
            </w:pPr>
            <w:r>
              <w:rPr>
                <w:rFonts w:hint="default" w:ascii="Times New Roman" w:hAnsi="Times New Roman" w:cs="Times New Roman"/>
                <w:b/>
                <w:bCs w:val="0"/>
                <w:color w:val="000000"/>
                <w:sz w:val="24"/>
                <w:highlight w:val="none"/>
                <w:u w:val="none"/>
              </w:rPr>
              <w:t>（</w:t>
            </w:r>
            <w:r>
              <w:rPr>
                <w:rFonts w:hint="eastAsia" w:ascii="Times New Roman" w:hAnsi="Times New Roman" w:cs="Times New Roman"/>
                <w:b/>
                <w:bCs w:val="0"/>
                <w:color w:val="000000"/>
                <w:sz w:val="24"/>
                <w:highlight w:val="none"/>
                <w:u w:val="none"/>
                <w:lang w:val="en-US" w:eastAsia="zh-CN"/>
              </w:rPr>
              <w:t>3</w:t>
            </w:r>
            <w:r>
              <w:rPr>
                <w:rFonts w:hint="default" w:ascii="Times New Roman" w:hAnsi="Times New Roman" w:cs="Times New Roman"/>
                <w:b/>
                <w:bCs w:val="0"/>
                <w:color w:val="000000"/>
                <w:sz w:val="24"/>
                <w:highlight w:val="none"/>
                <w:u w:val="none"/>
              </w:rPr>
              <w:t>）</w:t>
            </w:r>
            <w:r>
              <w:rPr>
                <w:rFonts w:hint="eastAsia" w:ascii="Times New Roman" w:hAnsi="Times New Roman" w:cs="Times New Roman"/>
                <w:b/>
                <w:bCs w:val="0"/>
                <w:color w:val="000000"/>
                <w:sz w:val="24"/>
                <w:highlight w:val="none"/>
                <w:u w:val="none"/>
                <w:lang w:val="en-US" w:eastAsia="zh-CN"/>
              </w:rPr>
              <w:t>包装机封口</w:t>
            </w:r>
            <w:r>
              <w:rPr>
                <w:rFonts w:hint="default" w:ascii="Times New Roman" w:hAnsi="Times New Roman" w:cs="Times New Roman"/>
                <w:b/>
                <w:bCs w:val="0"/>
                <w:color w:val="000000"/>
                <w:sz w:val="24"/>
                <w:highlight w:val="none"/>
                <w:u w:val="none"/>
                <w:lang w:val="en-US" w:eastAsia="zh-CN"/>
              </w:rPr>
              <w:t>废气</w:t>
            </w:r>
            <w:r>
              <w:rPr>
                <w:rFonts w:hint="default" w:ascii="Times New Roman" w:hAnsi="Times New Roman" w:cs="Times New Roman"/>
                <w:b/>
                <w:bCs w:val="0"/>
                <w:color w:val="000000"/>
                <w:kern w:val="0"/>
                <w:sz w:val="24"/>
                <w:highlight w:val="none"/>
                <w:lang w:val="en-US" w:eastAsia="zh-CN"/>
              </w:rPr>
              <w:t>产污情况分析</w:t>
            </w:r>
          </w:p>
          <w:p w14:paraId="1E10ECF5">
            <w:pPr>
              <w:pStyle w:val="17"/>
              <w:keepNext w:val="0"/>
              <w:keepLines w:val="0"/>
              <w:pageBreakBefore w:val="0"/>
              <w:widowControl/>
              <w:suppressLineNumbers w:val="0"/>
              <w:kinsoku/>
              <w:overflowPunct/>
              <w:topLinePunct w:val="0"/>
              <w:autoSpaceDE/>
              <w:autoSpaceDN/>
              <w:bidi w:val="0"/>
              <w:spacing w:before="0" w:beforeAutospacing="0" w:after="0" w:afterAutospacing="0" w:line="500" w:lineRule="exact"/>
              <w:ind w:right="0" w:firstLine="480" w:firstLineChars="200"/>
              <w:textAlignment w:val="auto"/>
              <w:rPr>
                <w:rFonts w:hint="eastAsia"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本项目辣椒酱最终成品为20kg/袋，鲜辣椒最终成品为42kg/袋，</w:t>
            </w:r>
            <w:r>
              <w:rPr>
                <w:rFonts w:hint="eastAsia" w:ascii="Times New Roman" w:hAnsi="Times New Roman" w:eastAsia="宋体" w:cs="Times New Roman"/>
                <w:kern w:val="2"/>
                <w:sz w:val="24"/>
                <w:lang w:val="en-US" w:eastAsia="zh-CN" w:bidi="ar-SA"/>
              </w:rPr>
              <w:t>辣椒</w:t>
            </w:r>
            <w:r>
              <w:rPr>
                <w:rFonts w:hint="eastAsia" w:ascii="Times New Roman" w:hAnsi="Times New Roman" w:cs="Times New Roman"/>
                <w:kern w:val="2"/>
                <w:sz w:val="24"/>
                <w:lang w:val="en-US" w:eastAsia="zh-CN" w:bidi="ar-SA"/>
              </w:rPr>
              <w:t>制品包装</w:t>
            </w:r>
            <w:r>
              <w:rPr>
                <w:rFonts w:hint="eastAsia" w:ascii="Times New Roman" w:hAnsi="Times New Roman" w:eastAsia="宋体" w:cs="Times New Roman"/>
                <w:kern w:val="2"/>
                <w:sz w:val="24"/>
                <w:lang w:val="en-US" w:eastAsia="zh-CN" w:bidi="ar-SA"/>
              </w:rPr>
              <w:t>封口工序通过</w:t>
            </w:r>
            <w:r>
              <w:rPr>
                <w:rFonts w:hint="eastAsia" w:ascii="Times New Roman" w:hAnsi="Times New Roman" w:cs="Times New Roman"/>
                <w:kern w:val="2"/>
                <w:sz w:val="24"/>
                <w:lang w:val="en-US" w:eastAsia="zh-CN" w:bidi="ar-SA"/>
              </w:rPr>
              <w:t>打包机</w:t>
            </w:r>
            <w:r>
              <w:rPr>
                <w:rFonts w:hint="eastAsia" w:ascii="Times New Roman" w:hAnsi="Times New Roman" w:eastAsia="宋体" w:cs="Times New Roman"/>
                <w:kern w:val="2"/>
                <w:sz w:val="24"/>
                <w:lang w:val="en-US" w:eastAsia="zh-CN" w:bidi="ar-SA"/>
              </w:rPr>
              <w:t>加热使食品级塑料袋封口，封口过程会产生少量的VOCs</w:t>
            </w:r>
            <w:r>
              <w:rPr>
                <w:rFonts w:hint="eastAsia" w:ascii="Times New Roman" w:hAnsi="Times New Roman" w:cs="Times New Roman"/>
                <w:kern w:val="2"/>
                <w:sz w:val="24"/>
                <w:lang w:val="en-US" w:eastAsia="zh-CN" w:bidi="ar-SA"/>
              </w:rPr>
              <w:t>废气</w:t>
            </w:r>
            <w:r>
              <w:rPr>
                <w:rFonts w:hint="eastAsia" w:ascii="Times New Roman" w:hAnsi="Times New Roman" w:eastAsia="宋体" w:cs="Times New Roman"/>
                <w:kern w:val="2"/>
                <w:sz w:val="24"/>
                <w:lang w:val="en-US" w:eastAsia="zh-CN" w:bidi="ar-SA"/>
              </w:rPr>
              <w:t>，封口工序主要借助塑料热熔进行粘合，参照《空气污染物排放和控制手册》（美国国家环保局），在无控制措施时，VOCs的排放系数为0.35kg/t</w:t>
            </w:r>
            <w:r>
              <w:rPr>
                <w:rFonts w:hint="eastAsia" w:ascii="Times New Roman" w:hAnsi="Times New Roman" w:cs="Times New Roman"/>
                <w:kern w:val="2"/>
                <w:sz w:val="24"/>
                <w:lang w:val="en-US" w:eastAsia="zh-CN" w:bidi="ar-SA"/>
              </w:rPr>
              <w:t>-</w:t>
            </w:r>
            <w:r>
              <w:rPr>
                <w:rFonts w:hint="eastAsia" w:ascii="Times New Roman" w:hAnsi="Times New Roman" w:eastAsia="宋体" w:cs="Times New Roman"/>
                <w:kern w:val="2"/>
                <w:sz w:val="24"/>
                <w:lang w:val="en-US" w:eastAsia="zh-CN" w:bidi="ar-SA"/>
              </w:rPr>
              <w:t>原料。根据企业提供数据，项目食品级塑料袋使用量</w:t>
            </w:r>
            <w:r>
              <w:rPr>
                <w:rFonts w:hint="eastAsia" w:ascii="Times New Roman" w:hAnsi="Times New Roman" w:cs="Times New Roman"/>
                <w:kern w:val="2"/>
                <w:sz w:val="24"/>
                <w:lang w:val="en-US" w:eastAsia="zh-CN" w:bidi="ar-SA"/>
              </w:rPr>
              <w:t>约</w:t>
            </w:r>
            <w:r>
              <w:rPr>
                <w:rFonts w:hint="eastAsia" w:ascii="Times New Roman" w:hAnsi="Times New Roman" w:eastAsia="宋体" w:cs="Times New Roman"/>
                <w:kern w:val="2"/>
                <w:sz w:val="24"/>
                <w:lang w:val="en-US" w:eastAsia="zh-CN" w:bidi="ar-SA"/>
              </w:rPr>
              <w:t>为5万个/</w:t>
            </w:r>
            <w:r>
              <w:rPr>
                <w:rFonts w:hint="eastAsia" w:ascii="Times New Roman" w:hAnsi="Times New Roman" w:cs="Times New Roman"/>
                <w:kern w:val="2"/>
                <w:sz w:val="24"/>
                <w:lang w:val="en-US" w:eastAsia="zh-CN" w:bidi="ar-SA"/>
              </w:rPr>
              <w:t>年</w:t>
            </w:r>
            <w:r>
              <w:rPr>
                <w:rFonts w:hint="eastAsia" w:ascii="Times New Roman" w:hAnsi="Times New Roman" w:eastAsia="宋体" w:cs="Times New Roman"/>
                <w:kern w:val="2"/>
                <w:sz w:val="24"/>
                <w:lang w:val="en-US" w:eastAsia="zh-CN" w:bidi="ar-SA"/>
              </w:rPr>
              <w:t>，平均1个按50g计，则食品级塑料袋使用量为2.5t/a，其中经热合处理边缘的量约为总量的10%，则封口工序有机废气VOCs产生量为0.0875kg/a</w:t>
            </w:r>
            <w:r>
              <w:rPr>
                <w:rFonts w:hint="eastAsia" w:ascii="Times New Roman" w:hAnsi="Times New Roman" w:cs="Times New Roman"/>
                <w:kern w:val="2"/>
                <w:sz w:val="24"/>
                <w:lang w:val="en-US" w:eastAsia="zh-CN" w:bidi="ar-SA"/>
              </w:rPr>
              <w:t>。</w:t>
            </w:r>
          </w:p>
          <w:p w14:paraId="714FF353">
            <w:pPr>
              <w:pStyle w:val="17"/>
              <w:keepNext w:val="0"/>
              <w:keepLines w:val="0"/>
              <w:pageBreakBefore w:val="0"/>
              <w:widowControl/>
              <w:suppressLineNumbers w:val="0"/>
              <w:kinsoku/>
              <w:overflowPunct/>
              <w:topLinePunct w:val="0"/>
              <w:autoSpaceDE/>
              <w:autoSpaceDN/>
              <w:bidi w:val="0"/>
              <w:spacing w:before="0" w:beforeAutospacing="0" w:after="0" w:afterAutospacing="0" w:line="500" w:lineRule="exact"/>
              <w:ind w:right="0" w:firstLine="480" w:firstLineChars="200"/>
              <w:textAlignment w:val="auto"/>
              <w:rPr>
                <w:rFonts w:hint="eastAsia" w:ascii="Times New Roman" w:hAnsi="Times New Roman" w:eastAsia="宋体" w:cs="Times New Roman"/>
                <w:kern w:val="2"/>
                <w:sz w:val="24"/>
                <w:szCs w:val="24"/>
                <w:highlight w:val="none"/>
                <w:vertAlign w:val="baseline"/>
                <w:lang w:val="en-US" w:eastAsia="zh-CN" w:bidi="ar-SA"/>
              </w:rPr>
            </w:pPr>
            <w:r>
              <w:rPr>
                <w:rFonts w:hint="eastAsia" w:ascii="Times New Roman" w:hAnsi="Times New Roman" w:eastAsia="宋体" w:cs="Times New Roman"/>
                <w:kern w:val="2"/>
                <w:sz w:val="24"/>
                <w:lang w:val="en-US" w:eastAsia="zh-CN" w:bidi="ar-SA"/>
              </w:rPr>
              <w:t>打包机所在位置是单独包装位在生产车间内，厂区周围种植有高大树木，而且车间墙壁安装有</w:t>
            </w:r>
            <w:r>
              <w:rPr>
                <w:rFonts w:hint="eastAsia" w:ascii="Times New Roman" w:hAnsi="Times New Roman" w:eastAsia="宋体" w:cs="Times New Roman"/>
                <w:color w:val="auto"/>
                <w:sz w:val="24"/>
                <w:szCs w:val="24"/>
              </w:rPr>
              <w:t>通风透气系统</w:t>
            </w:r>
            <w:r>
              <w:rPr>
                <w:rFonts w:hint="eastAsia" w:ascii="Times New Roman" w:hAnsi="Times New Roman" w:eastAsia="宋体" w:cs="Times New Roman"/>
                <w:kern w:val="2"/>
                <w:sz w:val="24"/>
                <w:lang w:val="en-US" w:eastAsia="zh-CN" w:bidi="ar-SA"/>
              </w:rPr>
              <w:t>来进行内外空气流通，</w:t>
            </w:r>
            <w:r>
              <w:rPr>
                <w:rFonts w:hint="eastAsia" w:ascii="Times New Roman" w:hAnsi="Times New Roman" w:cs="Times New Roman"/>
                <w:kern w:val="2"/>
                <w:sz w:val="24"/>
                <w:lang w:val="en-US" w:eastAsia="zh-CN" w:bidi="ar-SA"/>
              </w:rPr>
              <w:t>项目由包装产生的</w:t>
            </w:r>
            <w:r>
              <w:rPr>
                <w:rFonts w:hint="eastAsia" w:ascii="Times New Roman" w:hAnsi="Times New Roman" w:eastAsia="宋体" w:cs="Times New Roman"/>
                <w:kern w:val="2"/>
                <w:sz w:val="24"/>
                <w:lang w:val="en-US" w:eastAsia="zh-CN" w:bidi="ar-SA"/>
              </w:rPr>
              <w:t>VOCs量较少，对周围环境影响较小，因此，项目包装工序产生的封口废气以无组织形式排放，</w:t>
            </w:r>
            <w:r>
              <w:rPr>
                <w:rFonts w:hint="eastAsia" w:ascii="Times New Roman" w:hAnsi="Times New Roman" w:eastAsia="宋体" w:cs="Times New Roman"/>
                <w:kern w:val="2"/>
                <w:sz w:val="24"/>
                <w:highlight w:val="none"/>
                <w:lang w:val="en-US" w:eastAsia="zh-CN" w:bidi="ar-SA"/>
              </w:rPr>
              <w:t>满足</w:t>
            </w:r>
            <w:r>
              <w:rPr>
                <w:rFonts w:hint="default" w:ascii="Times New Roman" w:hAnsi="Times New Roman" w:cs="Times New Roman"/>
                <w:b w:val="0"/>
                <w:bCs w:val="0"/>
                <w:color w:val="auto"/>
                <w:sz w:val="24"/>
                <w:szCs w:val="24"/>
                <w:highlight w:val="none"/>
                <w:u w:val="none"/>
              </w:rPr>
              <w:t>《关于全省开展工业企业挥发性有机物专项治理工作中排放建议值的通知》</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豫环攻坚办〔2017〕162号</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中</w:t>
            </w:r>
            <w:r>
              <w:rPr>
                <w:rFonts w:hint="default" w:ascii="Times New Roman" w:hAnsi="Times New Roman" w:cs="Times New Roman"/>
                <w:b w:val="0"/>
                <w:bCs w:val="0"/>
                <w:color w:val="auto"/>
                <w:sz w:val="24"/>
                <w:szCs w:val="24"/>
                <w:highlight w:val="none"/>
                <w:u w:val="none"/>
                <w:lang w:eastAsia="zh-CN"/>
              </w:rPr>
              <w:t>附件</w:t>
            </w:r>
            <w:r>
              <w:rPr>
                <w:rFonts w:hint="default" w:ascii="Times New Roman" w:hAnsi="Times New Roman" w:cs="Times New Roman"/>
                <w:b w:val="0"/>
                <w:bCs w:val="0"/>
                <w:color w:val="auto"/>
                <w:sz w:val="24"/>
                <w:szCs w:val="24"/>
                <w:highlight w:val="none"/>
                <w:u w:val="none"/>
                <w:lang w:val="en-US" w:eastAsia="zh-CN"/>
              </w:rPr>
              <w:t>1、</w:t>
            </w:r>
            <w:r>
              <w:rPr>
                <w:rFonts w:hint="default" w:ascii="Times New Roman" w:hAnsi="Times New Roman" w:cs="Times New Roman"/>
                <w:b w:val="0"/>
                <w:bCs w:val="0"/>
                <w:color w:val="auto"/>
                <w:sz w:val="24"/>
                <w:szCs w:val="24"/>
                <w:highlight w:val="none"/>
                <w:u w:val="none"/>
                <w:lang w:eastAsia="zh-CN"/>
              </w:rPr>
              <w:t>附件</w:t>
            </w:r>
            <w:r>
              <w:rPr>
                <w:rFonts w:hint="default" w:ascii="Times New Roman" w:hAnsi="Times New Roman" w:cs="Times New Roman"/>
                <w:b w:val="0"/>
                <w:bCs w:val="0"/>
                <w:color w:val="auto"/>
                <w:sz w:val="24"/>
                <w:szCs w:val="24"/>
                <w:highlight w:val="none"/>
                <w:u w:val="none"/>
                <w:lang w:val="en-US" w:eastAsia="zh-CN"/>
              </w:rPr>
              <w:t>2</w:t>
            </w:r>
            <w:r>
              <w:rPr>
                <w:rFonts w:hint="default" w:ascii="Times New Roman" w:hAnsi="Times New Roman" w:cs="Times New Roman"/>
                <w:b w:val="0"/>
                <w:bCs w:val="0"/>
                <w:color w:val="auto"/>
                <w:sz w:val="24"/>
                <w:szCs w:val="24"/>
                <w:highlight w:val="none"/>
                <w:u w:val="none"/>
              </w:rPr>
              <w:t>要求</w:t>
            </w:r>
            <w:r>
              <w:rPr>
                <w:rFonts w:hint="eastAsia" w:ascii="Times New Roman" w:hAnsi="Times New Roman" w:cs="Times New Roman"/>
                <w:b w:val="0"/>
                <w:bCs w:val="0"/>
                <w:color w:val="auto"/>
                <w:sz w:val="24"/>
                <w:szCs w:val="24"/>
                <w:highlight w:val="none"/>
                <w:u w:val="none"/>
                <w:lang w:val="en-US" w:eastAsia="zh-CN"/>
              </w:rPr>
              <w:t>的</w:t>
            </w:r>
            <w:r>
              <w:rPr>
                <w:rFonts w:hint="default" w:ascii="Times New Roman" w:hAnsi="Times New Roman" w:eastAsia="宋体" w:cs="Times New Roman"/>
                <w:b w:val="0"/>
                <w:bCs w:val="0"/>
                <w:color w:val="auto"/>
                <w:sz w:val="24"/>
                <w:szCs w:val="24"/>
                <w:highlight w:val="none"/>
                <w:u w:val="none"/>
                <w:lang w:val="en-US" w:eastAsia="zh-CN"/>
              </w:rPr>
              <w:t>工业企业边界挥发性有机物排放建议值</w:t>
            </w:r>
            <w:r>
              <w:rPr>
                <w:rFonts w:hint="default" w:ascii="Times New Roman" w:hAnsi="Times New Roman" w:cs="Times New Roman"/>
                <w:b w:val="0"/>
                <w:bCs w:val="0"/>
                <w:color w:val="auto"/>
                <w:sz w:val="24"/>
                <w:szCs w:val="24"/>
                <w:highlight w:val="none"/>
                <w:u w:val="none"/>
                <w:lang w:val="en-US" w:eastAsia="zh-CN"/>
              </w:rPr>
              <w:t>2.0</w:t>
            </w:r>
            <w:r>
              <w:rPr>
                <w:rFonts w:hint="default" w:ascii="Times New Roman" w:hAnsi="Times New Roman" w:cs="Times New Roman"/>
                <w:b w:val="0"/>
                <w:bCs w:val="0"/>
                <w:color w:val="auto"/>
                <w:sz w:val="24"/>
                <w:szCs w:val="24"/>
                <w:highlight w:val="none"/>
                <w:u w:val="none"/>
              </w:rPr>
              <w:t>mg/m</w:t>
            </w:r>
            <w:r>
              <w:rPr>
                <w:rFonts w:hint="default" w:ascii="Times New Roman" w:hAnsi="Times New Roman" w:cs="Times New Roman"/>
                <w:b w:val="0"/>
                <w:bCs w:val="0"/>
                <w:color w:val="auto"/>
                <w:sz w:val="24"/>
                <w:szCs w:val="24"/>
                <w:highlight w:val="none"/>
                <w:u w:val="none"/>
                <w:vertAlign w:val="superscript"/>
              </w:rPr>
              <w:t>3</w:t>
            </w:r>
            <w:r>
              <w:rPr>
                <w:rFonts w:hint="eastAsia" w:ascii="Times New Roman" w:hAnsi="Times New Roman" w:cs="Times New Roman"/>
                <w:b w:val="0"/>
                <w:bCs w:val="0"/>
                <w:color w:val="auto"/>
                <w:sz w:val="24"/>
                <w:szCs w:val="24"/>
                <w:highlight w:val="none"/>
                <w:u w:val="none"/>
                <w:vertAlign w:val="baseline"/>
                <w:lang w:eastAsia="zh-CN"/>
              </w:rPr>
              <w:t>。</w:t>
            </w:r>
          </w:p>
          <w:p w14:paraId="43738E91">
            <w:pPr>
              <w:keepNext w:val="0"/>
              <w:keepLines w:val="0"/>
              <w:pageBreakBefore w:val="0"/>
              <w:kinsoku/>
              <w:overflowPunct/>
              <w:topLinePunct w:val="0"/>
              <w:autoSpaceDE/>
              <w:autoSpaceDN/>
              <w:bidi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rPr>
              <w:t>污水处理</w:t>
            </w:r>
            <w:r>
              <w:rPr>
                <w:rFonts w:hint="eastAsia" w:ascii="Times New Roman" w:hAnsi="Times New Roman" w:cs="Times New Roman"/>
                <w:b/>
                <w:bCs/>
                <w:color w:val="auto"/>
                <w:sz w:val="24"/>
                <w:szCs w:val="24"/>
                <w:highlight w:val="none"/>
                <w:lang w:val="en-US" w:eastAsia="zh-CN"/>
              </w:rPr>
              <w:t>设施</w:t>
            </w:r>
            <w:r>
              <w:rPr>
                <w:rFonts w:hint="eastAsia" w:ascii="Times New Roman" w:hAnsi="Times New Roman" w:eastAsia="宋体" w:cs="Times New Roman"/>
                <w:b/>
                <w:bCs/>
                <w:color w:val="auto"/>
                <w:sz w:val="24"/>
                <w:szCs w:val="24"/>
                <w:highlight w:val="none"/>
              </w:rPr>
              <w:t>恶臭</w:t>
            </w:r>
            <w:r>
              <w:rPr>
                <w:rFonts w:hint="eastAsia" w:ascii="Times New Roman" w:hAnsi="Times New Roman" w:eastAsia="宋体" w:cs="Times New Roman"/>
                <w:b/>
                <w:bCs/>
                <w:color w:val="auto"/>
                <w:sz w:val="24"/>
                <w:szCs w:val="24"/>
                <w:highlight w:val="none"/>
                <w:lang w:val="en-US" w:eastAsia="zh-CN"/>
              </w:rPr>
              <w:t>气体</w:t>
            </w:r>
            <w:r>
              <w:rPr>
                <w:rFonts w:hint="eastAsia" w:ascii="Times New Roman" w:hAnsi="Times New Roman" w:cs="Times New Roman"/>
                <w:b/>
                <w:bCs/>
                <w:color w:val="auto"/>
                <w:sz w:val="24"/>
                <w:szCs w:val="24"/>
                <w:highlight w:val="none"/>
                <w:lang w:val="en-US" w:eastAsia="zh-CN"/>
              </w:rPr>
              <w:t>分析</w:t>
            </w:r>
          </w:p>
          <w:p w14:paraId="7076788E">
            <w:pPr>
              <w:keepNext w:val="0"/>
              <w:keepLines w:val="0"/>
              <w:pageBreakBefore w:val="0"/>
              <w:kinsoku/>
              <w:overflowPunct/>
              <w:topLinePunct w:val="0"/>
              <w:autoSpaceDE/>
              <w:autoSpaceDN/>
              <w:bidi w:val="0"/>
              <w:spacing w:line="500" w:lineRule="exact"/>
              <w:ind w:firstLine="480" w:firstLineChars="200"/>
              <w:textAlignment w:val="auto"/>
              <w:rPr>
                <w:rFonts w:hint="eastAsia" w:ascii="Times New Roman" w:hAnsi="Times New Roman" w:eastAsia="宋体"/>
                <w:bCs/>
                <w:iCs/>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厂区现</w:t>
            </w:r>
            <w:r>
              <w:rPr>
                <w:rFonts w:hint="eastAsia" w:ascii="Times New Roman" w:hAnsi="Times New Roman" w:cs="Times New Roman"/>
                <w:color w:val="auto"/>
                <w:sz w:val="24"/>
                <w:szCs w:val="24"/>
                <w:lang w:val="en-US" w:eastAsia="zh-CN"/>
              </w:rPr>
              <w:t>设置</w:t>
            </w:r>
            <w:r>
              <w:rPr>
                <w:rFonts w:hint="eastAsia" w:ascii="Times New Roman" w:hAnsi="Times New Roman" w:eastAsia="宋体" w:cs="Times New Roman"/>
                <w:color w:val="auto"/>
                <w:sz w:val="24"/>
                <w:szCs w:val="24"/>
              </w:rPr>
              <w:t>一套污水处理设施</w:t>
            </w:r>
            <w:r>
              <w:rPr>
                <w:rFonts w:hint="eastAsia" w:ascii="Times New Roman" w:hAnsi="Times New Roman" w:eastAsia="宋体" w:cs="Times New Roman"/>
                <w:color w:val="auto"/>
                <w:sz w:val="24"/>
                <w:szCs w:val="24"/>
                <w:lang w:val="en-US" w:eastAsia="zh-CN"/>
              </w:rPr>
              <w:t>用来</w:t>
            </w:r>
            <w:r>
              <w:rPr>
                <w:rFonts w:hint="eastAsia" w:ascii="Times New Roman" w:hAnsi="Times New Roman" w:eastAsia="宋体" w:cs="Times New Roman"/>
                <w:color w:val="auto"/>
                <w:sz w:val="24"/>
                <w:szCs w:val="24"/>
                <w:lang w:eastAsia="zh-CN"/>
              </w:rPr>
              <w:t>处理运营</w:t>
            </w:r>
            <w:r>
              <w:rPr>
                <w:rFonts w:hint="eastAsia" w:ascii="Times New Roman" w:hAnsi="Times New Roman" w:eastAsia="宋体" w:cs="Times New Roman"/>
                <w:color w:val="auto"/>
                <w:sz w:val="24"/>
                <w:szCs w:val="24"/>
                <w:lang w:val="en-US" w:eastAsia="zh-CN"/>
              </w:rPr>
              <w:t>期内</w:t>
            </w:r>
            <w:r>
              <w:rPr>
                <w:rFonts w:hint="eastAsia" w:ascii="Times New Roman" w:hAnsi="Times New Roman" w:eastAsia="宋体" w:cs="Times New Roman"/>
                <w:color w:val="auto"/>
                <w:sz w:val="24"/>
                <w:szCs w:val="24"/>
                <w:lang w:eastAsia="zh-CN"/>
              </w:rPr>
              <w:t>产生的</w:t>
            </w:r>
            <w:r>
              <w:rPr>
                <w:rFonts w:hint="eastAsia" w:ascii="Times New Roman" w:hAnsi="Times New Roman" w:eastAsia="宋体" w:cs="Times New Roman"/>
                <w:color w:val="auto"/>
                <w:sz w:val="24"/>
                <w:szCs w:val="24"/>
                <w:lang w:val="en-US" w:eastAsia="zh-CN"/>
              </w:rPr>
              <w:t>生产</w:t>
            </w:r>
            <w:r>
              <w:rPr>
                <w:rFonts w:hint="eastAsia" w:ascii="Times New Roman" w:hAnsi="Times New Roman" w:eastAsia="宋体" w:cs="Times New Roman"/>
                <w:color w:val="auto"/>
                <w:sz w:val="24"/>
                <w:szCs w:val="24"/>
                <w:lang w:eastAsia="zh-CN"/>
              </w:rPr>
              <w:t>废水</w:t>
            </w:r>
            <w:r>
              <w:rPr>
                <w:rFonts w:hint="eastAsia" w:ascii="Times New Roman" w:hAnsi="Times New Roman" w:eastAsia="宋体" w:cs="Times New Roman"/>
                <w:color w:val="auto"/>
                <w:sz w:val="24"/>
                <w:szCs w:val="24"/>
              </w:rPr>
              <w:t>，在污水处理</w:t>
            </w:r>
            <w:r>
              <w:rPr>
                <w:rFonts w:hint="eastAsia" w:ascii="Times New Roman" w:hAnsi="Times New Roman" w:eastAsia="宋体" w:cs="Times New Roman"/>
                <w:color w:val="auto"/>
                <w:sz w:val="24"/>
                <w:szCs w:val="24"/>
                <w:lang w:eastAsia="zh-CN"/>
              </w:rPr>
              <w:t>阶段</w:t>
            </w:r>
            <w:r>
              <w:rPr>
                <w:rFonts w:hint="eastAsia" w:ascii="Times New Roman" w:hAnsi="Times New Roman" w:eastAsia="宋体" w:cs="Times New Roman"/>
                <w:color w:val="auto"/>
                <w:sz w:val="24"/>
                <w:szCs w:val="24"/>
              </w:rPr>
              <w:t>会有一定量的恶臭气体产生，臭气成分复杂多变，主要有氨、硫化氢等组成</w:t>
            </w:r>
            <w:r>
              <w:rPr>
                <w:rFonts w:hint="eastAsia" w:cs="Times New Roman"/>
                <w:color w:val="auto"/>
                <w:sz w:val="24"/>
                <w:szCs w:val="24"/>
                <w:lang w:eastAsia="zh-CN"/>
              </w:rPr>
              <w:t>，</w:t>
            </w:r>
            <w:r>
              <w:rPr>
                <w:rFonts w:hint="eastAsia" w:cs="Times New Roman"/>
                <w:color w:val="auto"/>
                <w:sz w:val="24"/>
                <w:szCs w:val="24"/>
                <w:lang w:val="en-US" w:eastAsia="zh-CN"/>
              </w:rPr>
              <w:t>还有一些</w:t>
            </w:r>
            <w:r>
              <w:rPr>
                <w:rFonts w:hint="eastAsia" w:ascii="宋体" w:hAnsi="宋体" w:eastAsia="宋体" w:cs="宋体"/>
                <w:sz w:val="24"/>
                <w:szCs w:val="24"/>
                <w:highlight w:val="none"/>
              </w:rPr>
              <w:t>异味以臭气浓度表征，</w:t>
            </w:r>
            <w:r>
              <w:rPr>
                <w:rFonts w:hint="eastAsia" w:ascii="Times New Roman" w:hAnsi="Times New Roman" w:cs="Times New Roman"/>
                <w:color w:val="auto"/>
                <w:kern w:val="0"/>
                <w:sz w:val="24"/>
                <w:szCs w:val="24"/>
                <w:lang w:val="en-US" w:eastAsia="zh-CN"/>
              </w:rPr>
              <w:t>本次评价只做定性分析</w:t>
            </w:r>
            <w:r>
              <w:rPr>
                <w:rFonts w:hint="eastAsia" w:ascii="Times New Roman" w:hAnsi="Times New Roman" w:eastAsia="宋体" w:cs="Times New Roman"/>
                <w:color w:val="auto"/>
                <w:sz w:val="24"/>
                <w:szCs w:val="24"/>
              </w:rPr>
              <w:t>。</w:t>
            </w:r>
            <w:r>
              <w:rPr>
                <w:rFonts w:ascii="Times New Roman" w:hAnsi="Times New Roman" w:eastAsia="宋体"/>
                <w:bCs/>
                <w:iCs/>
                <w:color w:val="auto"/>
                <w:sz w:val="24"/>
                <w:szCs w:val="24"/>
              </w:rPr>
              <w:t>臭气的主要发生部位有：调节池、</w:t>
            </w:r>
            <w:r>
              <w:rPr>
                <w:rFonts w:hint="eastAsia" w:ascii="Times New Roman" w:hAnsi="Times New Roman" w:eastAsia="宋体"/>
                <w:bCs/>
                <w:iCs/>
                <w:color w:val="auto"/>
                <w:sz w:val="24"/>
                <w:szCs w:val="24"/>
                <w:lang w:eastAsia="zh-CN"/>
              </w:rPr>
              <w:t>好氧</w:t>
            </w:r>
            <w:r>
              <w:rPr>
                <w:rFonts w:hint="eastAsia" w:ascii="Times New Roman" w:hAnsi="Times New Roman"/>
                <w:bCs/>
                <w:iCs/>
                <w:color w:val="auto"/>
                <w:sz w:val="24"/>
                <w:szCs w:val="24"/>
                <w:lang w:val="en-US" w:eastAsia="zh-CN"/>
              </w:rPr>
              <w:t>区</w:t>
            </w:r>
            <w:r>
              <w:rPr>
                <w:rFonts w:hint="eastAsia" w:ascii="Times New Roman" w:hAnsi="Times New Roman" w:eastAsia="宋体"/>
                <w:bCs/>
                <w:iCs/>
                <w:color w:val="auto"/>
                <w:sz w:val="24"/>
                <w:szCs w:val="24"/>
                <w:lang w:eastAsia="zh-CN"/>
              </w:rPr>
              <w:t>、厌氧</w:t>
            </w:r>
            <w:r>
              <w:rPr>
                <w:rFonts w:hint="eastAsia" w:ascii="Times New Roman" w:hAnsi="Times New Roman"/>
                <w:bCs/>
                <w:iCs/>
                <w:color w:val="auto"/>
                <w:sz w:val="24"/>
                <w:szCs w:val="24"/>
                <w:lang w:val="en-US" w:eastAsia="zh-CN"/>
              </w:rPr>
              <w:t>区</w:t>
            </w:r>
            <w:r>
              <w:rPr>
                <w:rFonts w:ascii="Times New Roman" w:hAnsi="Times New Roman" w:eastAsia="宋体"/>
                <w:bCs/>
                <w:iCs/>
                <w:color w:val="auto"/>
                <w:sz w:val="24"/>
                <w:szCs w:val="24"/>
              </w:rPr>
              <w:t>等。臭气污染源强采用美国EPA对城市污水处理厂恶臭污染物产生情况的研究，每处理1gBOD</w:t>
            </w:r>
            <w:r>
              <w:rPr>
                <w:rFonts w:ascii="Times New Roman" w:hAnsi="Times New Roman" w:eastAsia="宋体"/>
                <w:bCs/>
                <w:iCs/>
                <w:color w:val="auto"/>
                <w:sz w:val="24"/>
                <w:szCs w:val="24"/>
                <w:vertAlign w:val="subscript"/>
              </w:rPr>
              <w:t>5</w:t>
            </w:r>
            <w:r>
              <w:rPr>
                <w:rFonts w:ascii="Times New Roman" w:hAnsi="Times New Roman" w:eastAsia="宋体"/>
                <w:bCs/>
                <w:iCs/>
                <w:color w:val="auto"/>
                <w:sz w:val="24"/>
                <w:szCs w:val="24"/>
              </w:rPr>
              <w:t>可产生0.0031g氨和0.00012g硫化氢</w:t>
            </w:r>
            <w:r>
              <w:rPr>
                <w:rFonts w:hint="eastAsia" w:ascii="Times New Roman" w:hAnsi="Times New Roman" w:eastAsia="宋体"/>
                <w:bCs/>
                <w:iCs/>
                <w:color w:val="auto"/>
                <w:sz w:val="24"/>
                <w:szCs w:val="24"/>
                <w:lang w:eastAsia="zh-CN"/>
              </w:rPr>
              <w:t>。根据厂区</w:t>
            </w:r>
            <w:r>
              <w:rPr>
                <w:rFonts w:hint="eastAsia" w:ascii="Times New Roman" w:hAnsi="Times New Roman" w:eastAsia="宋体"/>
                <w:bCs/>
                <w:iCs/>
                <w:color w:val="auto"/>
                <w:sz w:val="24"/>
                <w:szCs w:val="24"/>
                <w:lang w:val="en-US" w:eastAsia="zh-CN"/>
              </w:rPr>
              <w:t>内</w:t>
            </w:r>
            <w:r>
              <w:rPr>
                <w:rFonts w:hint="eastAsia" w:ascii="Times New Roman" w:hAnsi="Times New Roman" w:eastAsia="宋体"/>
                <w:bCs/>
                <w:iCs/>
                <w:color w:val="auto"/>
                <w:sz w:val="24"/>
                <w:szCs w:val="24"/>
                <w:lang w:eastAsia="zh-CN"/>
              </w:rPr>
              <w:t>污水处理</w:t>
            </w:r>
            <w:r>
              <w:rPr>
                <w:rFonts w:hint="eastAsia" w:ascii="Times New Roman" w:hAnsi="Times New Roman"/>
                <w:bCs/>
                <w:iCs/>
                <w:color w:val="auto"/>
                <w:sz w:val="24"/>
                <w:szCs w:val="24"/>
                <w:lang w:val="en-US" w:eastAsia="zh-CN"/>
              </w:rPr>
              <w:t>设施</w:t>
            </w:r>
            <w:r>
              <w:rPr>
                <w:rFonts w:hint="eastAsia" w:ascii="Times New Roman" w:hAnsi="Times New Roman" w:eastAsia="宋体"/>
                <w:bCs/>
                <w:iCs/>
                <w:color w:val="auto"/>
                <w:sz w:val="24"/>
                <w:szCs w:val="24"/>
                <w:lang w:val="en-US" w:eastAsia="zh-CN"/>
              </w:rPr>
              <w:t>的处理效率进行计算</w:t>
            </w:r>
            <w:r>
              <w:rPr>
                <w:rFonts w:hint="eastAsia" w:ascii="Times New Roman" w:hAnsi="Times New Roman" w:eastAsia="宋体"/>
                <w:bCs/>
                <w:iCs/>
                <w:color w:val="auto"/>
                <w:sz w:val="24"/>
                <w:szCs w:val="24"/>
                <w:lang w:eastAsia="zh-CN"/>
              </w:rPr>
              <w:t>可知，本项目</w:t>
            </w:r>
            <w:r>
              <w:rPr>
                <w:rFonts w:hint="eastAsia" w:ascii="Times New Roman" w:hAnsi="Times New Roman" w:eastAsia="宋体"/>
                <w:bCs/>
                <w:iCs/>
                <w:color w:val="auto"/>
                <w:sz w:val="24"/>
                <w:szCs w:val="24"/>
                <w:lang w:val="en-US" w:eastAsia="zh-CN"/>
              </w:rPr>
              <w:t>的</w:t>
            </w:r>
            <w:r>
              <w:rPr>
                <w:rFonts w:hint="eastAsia" w:ascii="Times New Roman" w:hAnsi="Times New Roman" w:eastAsia="宋体"/>
                <w:bCs/>
                <w:iCs/>
                <w:color w:val="auto"/>
                <w:sz w:val="24"/>
                <w:szCs w:val="24"/>
                <w:lang w:eastAsia="zh-CN"/>
              </w:rPr>
              <w:t>废水</w:t>
            </w:r>
            <w:r>
              <w:rPr>
                <w:rFonts w:ascii="Times New Roman" w:hAnsi="Times New Roman" w:eastAsia="宋体"/>
                <w:bCs/>
                <w:iCs/>
                <w:color w:val="auto"/>
                <w:sz w:val="24"/>
                <w:szCs w:val="24"/>
              </w:rPr>
              <w:t>BOD</w:t>
            </w:r>
            <w:r>
              <w:rPr>
                <w:rFonts w:ascii="Times New Roman" w:hAnsi="Times New Roman" w:eastAsia="宋体"/>
                <w:bCs/>
                <w:iCs/>
                <w:color w:val="auto"/>
                <w:sz w:val="24"/>
                <w:szCs w:val="24"/>
                <w:vertAlign w:val="subscript"/>
              </w:rPr>
              <w:t>5</w:t>
            </w:r>
            <w:r>
              <w:rPr>
                <w:rFonts w:ascii="Times New Roman" w:hAnsi="Times New Roman" w:eastAsia="宋体"/>
                <w:bCs/>
                <w:iCs/>
                <w:color w:val="auto"/>
                <w:sz w:val="24"/>
                <w:szCs w:val="24"/>
              </w:rPr>
              <w:t>浓度</w:t>
            </w:r>
            <w:r>
              <w:rPr>
                <w:rFonts w:hint="eastAsia" w:ascii="Times New Roman" w:hAnsi="Times New Roman" w:eastAsia="宋体"/>
                <w:bCs/>
                <w:iCs/>
                <w:color w:val="auto"/>
                <w:sz w:val="24"/>
                <w:szCs w:val="24"/>
                <w:lang w:eastAsia="zh-CN"/>
              </w:rPr>
              <w:t>约</w:t>
            </w:r>
            <w:r>
              <w:rPr>
                <w:rFonts w:ascii="Times New Roman" w:hAnsi="Times New Roman" w:eastAsia="宋体"/>
                <w:bCs/>
                <w:iCs/>
                <w:color w:val="auto"/>
                <w:sz w:val="24"/>
                <w:szCs w:val="24"/>
              </w:rPr>
              <w:t>为</w:t>
            </w:r>
            <w:r>
              <w:rPr>
                <w:rFonts w:hint="eastAsia" w:ascii="Times New Roman" w:hAnsi="Times New Roman" w:eastAsia="宋体"/>
                <w:bCs/>
                <w:iCs/>
                <w:color w:val="auto"/>
                <w:sz w:val="24"/>
                <w:szCs w:val="24"/>
                <w:lang w:val="en-US" w:eastAsia="zh-CN"/>
              </w:rPr>
              <w:t>5</w:t>
            </w:r>
            <w:r>
              <w:rPr>
                <w:rFonts w:hint="eastAsia" w:ascii="Times New Roman" w:hAnsi="Times New Roman"/>
                <w:bCs/>
                <w:iCs/>
                <w:color w:val="auto"/>
                <w:sz w:val="24"/>
                <w:szCs w:val="24"/>
                <w:lang w:val="en-US" w:eastAsia="zh-CN"/>
              </w:rPr>
              <w:t>0</w:t>
            </w:r>
            <w:r>
              <w:rPr>
                <w:rFonts w:hint="eastAsia" w:ascii="Times New Roman" w:hAnsi="Times New Roman" w:eastAsia="宋体"/>
                <w:bCs/>
                <w:iCs/>
                <w:color w:val="auto"/>
                <w:sz w:val="24"/>
                <w:szCs w:val="24"/>
                <w:lang w:val="en-US" w:eastAsia="zh-CN"/>
              </w:rPr>
              <w:t>0</w:t>
            </w:r>
            <w:r>
              <w:rPr>
                <w:rFonts w:ascii="Times New Roman" w:hAnsi="Times New Roman" w:eastAsia="宋体"/>
                <w:bCs/>
                <w:iCs/>
                <w:color w:val="auto"/>
                <w:sz w:val="24"/>
                <w:szCs w:val="24"/>
              </w:rPr>
              <w:t>mg/L</w:t>
            </w:r>
            <w:r>
              <w:rPr>
                <w:rFonts w:hint="eastAsia" w:ascii="Times New Roman" w:hAnsi="Times New Roman" w:eastAsia="宋体"/>
                <w:bCs/>
                <w:iCs/>
                <w:color w:val="auto"/>
                <w:sz w:val="24"/>
                <w:szCs w:val="24"/>
                <w:lang w:eastAsia="zh-CN"/>
              </w:rPr>
              <w:t>；</w:t>
            </w:r>
            <w:r>
              <w:rPr>
                <w:rFonts w:ascii="Times New Roman" w:hAnsi="Times New Roman" w:eastAsia="宋体"/>
                <w:bCs/>
                <w:iCs/>
                <w:color w:val="auto"/>
                <w:sz w:val="24"/>
                <w:szCs w:val="24"/>
              </w:rPr>
              <w:t>污水处理站出口BOD</w:t>
            </w:r>
            <w:r>
              <w:rPr>
                <w:rFonts w:ascii="Times New Roman" w:hAnsi="Times New Roman" w:eastAsia="宋体"/>
                <w:bCs/>
                <w:iCs/>
                <w:color w:val="auto"/>
                <w:sz w:val="24"/>
                <w:szCs w:val="24"/>
                <w:vertAlign w:val="subscript"/>
              </w:rPr>
              <w:t>5</w:t>
            </w:r>
            <w:r>
              <w:rPr>
                <w:rFonts w:ascii="Times New Roman" w:hAnsi="Times New Roman" w:eastAsia="宋体"/>
                <w:bCs/>
                <w:iCs/>
                <w:color w:val="auto"/>
                <w:sz w:val="24"/>
                <w:szCs w:val="24"/>
              </w:rPr>
              <w:t>浓度</w:t>
            </w:r>
            <w:r>
              <w:rPr>
                <w:rFonts w:hint="eastAsia" w:ascii="Times New Roman" w:hAnsi="Times New Roman"/>
                <w:bCs/>
                <w:iCs/>
                <w:color w:val="auto"/>
                <w:sz w:val="24"/>
                <w:szCs w:val="24"/>
                <w:lang w:val="en-US" w:eastAsia="zh-CN"/>
              </w:rPr>
              <w:t>125</w:t>
            </w:r>
            <w:r>
              <w:rPr>
                <w:rFonts w:ascii="Times New Roman" w:hAnsi="Times New Roman" w:eastAsia="宋体"/>
                <w:bCs/>
                <w:iCs/>
                <w:color w:val="auto"/>
                <w:sz w:val="24"/>
                <w:szCs w:val="24"/>
              </w:rPr>
              <w:t>mg/L</w:t>
            </w:r>
            <w:r>
              <w:rPr>
                <w:rFonts w:hint="eastAsia" w:ascii="Times New Roman" w:hAnsi="Times New Roman" w:eastAsia="宋体"/>
                <w:bCs/>
                <w:iCs/>
                <w:color w:val="auto"/>
                <w:sz w:val="24"/>
                <w:szCs w:val="24"/>
                <w:lang w:eastAsia="zh-CN"/>
              </w:rPr>
              <w:t>。本项目</w:t>
            </w:r>
            <w:r>
              <w:rPr>
                <w:rFonts w:hint="eastAsia" w:ascii="Times New Roman" w:hAnsi="Times New Roman" w:eastAsia="宋体"/>
                <w:bCs/>
                <w:iCs/>
                <w:color w:val="auto"/>
                <w:sz w:val="24"/>
                <w:szCs w:val="24"/>
                <w:lang w:val="en-US" w:eastAsia="zh-CN"/>
              </w:rPr>
              <w:t>产生</w:t>
            </w:r>
            <w:r>
              <w:rPr>
                <w:rFonts w:hint="eastAsia" w:ascii="Times New Roman" w:hAnsi="Times New Roman" w:eastAsia="宋体"/>
                <w:bCs/>
                <w:iCs/>
                <w:color w:val="auto"/>
                <w:sz w:val="24"/>
                <w:szCs w:val="24"/>
                <w:lang w:eastAsia="zh-CN"/>
              </w:rPr>
              <w:t>废水</w:t>
            </w:r>
            <w:r>
              <w:rPr>
                <w:rFonts w:ascii="Times New Roman" w:hAnsi="Times New Roman" w:eastAsia="宋体"/>
                <w:bCs/>
                <w:iCs/>
                <w:color w:val="auto"/>
                <w:sz w:val="24"/>
                <w:szCs w:val="24"/>
              </w:rPr>
              <w:t>量为</w:t>
            </w:r>
            <w:r>
              <w:rPr>
                <w:rFonts w:hint="eastAsia" w:ascii="Times New Roman" w:hAnsi="Times New Roman"/>
                <w:bCs/>
                <w:iCs/>
                <w:color w:val="auto"/>
                <w:sz w:val="24"/>
                <w:szCs w:val="24"/>
                <w:lang w:val="en-US" w:eastAsia="zh-CN"/>
              </w:rPr>
              <w:t>8.047</w:t>
            </w:r>
            <w:r>
              <w:rPr>
                <w:rFonts w:hint="eastAsia" w:ascii="Times New Roman" w:hAnsi="Times New Roman" w:eastAsia="宋体"/>
                <w:bCs/>
                <w:iCs/>
                <w:color w:val="auto"/>
                <w:sz w:val="24"/>
                <w:szCs w:val="24"/>
                <w:lang w:val="en-US" w:eastAsia="zh-CN"/>
              </w:rPr>
              <w:t>m</w:t>
            </w:r>
            <w:r>
              <w:rPr>
                <w:rFonts w:hint="eastAsia" w:ascii="Times New Roman" w:hAnsi="Times New Roman" w:eastAsia="宋体"/>
                <w:bCs/>
                <w:iCs/>
                <w:color w:val="auto"/>
                <w:sz w:val="24"/>
                <w:szCs w:val="24"/>
                <w:vertAlign w:val="superscript"/>
                <w:lang w:val="en-US" w:eastAsia="zh-CN"/>
              </w:rPr>
              <w:t>3</w:t>
            </w:r>
            <w:r>
              <w:rPr>
                <w:rFonts w:hint="eastAsia" w:ascii="Times New Roman" w:hAnsi="Times New Roman" w:eastAsia="宋体"/>
                <w:bCs/>
                <w:iCs/>
                <w:color w:val="auto"/>
                <w:sz w:val="24"/>
                <w:szCs w:val="24"/>
                <w:lang w:val="en-US" w:eastAsia="zh-CN"/>
              </w:rPr>
              <w:t>/d，</w:t>
            </w:r>
            <w:r>
              <w:rPr>
                <w:rFonts w:hint="eastAsia"/>
                <w:bCs/>
                <w:iCs/>
                <w:color w:val="auto"/>
                <w:sz w:val="24"/>
                <w:szCs w:val="24"/>
                <w:lang w:val="en-US" w:eastAsia="zh-CN"/>
              </w:rPr>
              <w:t>2414.1</w:t>
            </w:r>
            <w:r>
              <w:rPr>
                <w:rFonts w:hint="eastAsia" w:ascii="Times New Roman" w:hAnsi="Times New Roman" w:eastAsia="宋体"/>
                <w:bCs/>
                <w:iCs/>
                <w:color w:val="auto"/>
                <w:sz w:val="24"/>
                <w:szCs w:val="24"/>
                <w:lang w:val="en-US" w:eastAsia="zh-CN"/>
              </w:rPr>
              <w:t>m</w:t>
            </w:r>
            <w:r>
              <w:rPr>
                <w:rFonts w:hint="eastAsia" w:ascii="Times New Roman" w:hAnsi="Times New Roman" w:eastAsia="宋体"/>
                <w:bCs/>
                <w:iCs/>
                <w:color w:val="auto"/>
                <w:sz w:val="24"/>
                <w:szCs w:val="24"/>
                <w:vertAlign w:val="superscript"/>
                <w:lang w:val="en-US" w:eastAsia="zh-CN"/>
              </w:rPr>
              <w:t>3</w:t>
            </w:r>
            <w:r>
              <w:rPr>
                <w:rFonts w:hint="eastAsia" w:ascii="Times New Roman" w:hAnsi="Times New Roman" w:eastAsia="宋体"/>
                <w:bCs/>
                <w:iCs/>
                <w:color w:val="auto"/>
                <w:sz w:val="24"/>
                <w:szCs w:val="24"/>
                <w:lang w:val="en-US" w:eastAsia="zh-CN"/>
              </w:rPr>
              <w:t>/a</w:t>
            </w:r>
            <w:r>
              <w:rPr>
                <w:rFonts w:hint="eastAsia" w:ascii="Times New Roman" w:hAnsi="Times New Roman" w:eastAsia="宋体"/>
                <w:bCs/>
                <w:iCs/>
                <w:color w:val="auto"/>
                <w:sz w:val="24"/>
                <w:szCs w:val="24"/>
                <w:lang w:eastAsia="zh-CN"/>
              </w:rPr>
              <w:t>，</w:t>
            </w:r>
            <w:r>
              <w:rPr>
                <w:rFonts w:ascii="Times New Roman" w:hAnsi="Times New Roman" w:eastAsia="宋体"/>
                <w:bCs/>
                <w:iCs/>
                <w:color w:val="auto"/>
                <w:sz w:val="24"/>
                <w:szCs w:val="24"/>
              </w:rPr>
              <w:t>则</w:t>
            </w:r>
            <w:r>
              <w:rPr>
                <w:rFonts w:hint="eastAsia" w:ascii="Times New Roman" w:hAnsi="Times New Roman" w:eastAsia="宋体"/>
                <w:bCs/>
                <w:iCs/>
                <w:color w:val="auto"/>
                <w:sz w:val="24"/>
                <w:szCs w:val="24"/>
                <w:lang w:eastAsia="zh-CN"/>
              </w:rPr>
              <w:t>本</w:t>
            </w:r>
            <w:r>
              <w:rPr>
                <w:rFonts w:ascii="Times New Roman" w:hAnsi="Times New Roman" w:eastAsia="宋体"/>
                <w:bCs/>
                <w:iCs/>
                <w:color w:val="auto"/>
                <w:sz w:val="24"/>
                <w:szCs w:val="24"/>
              </w:rPr>
              <w:t>项目</w:t>
            </w:r>
            <w:r>
              <w:rPr>
                <w:rFonts w:ascii="Times New Roman" w:hAnsi="Times New Roman" w:eastAsia="宋体"/>
                <w:bCs/>
                <w:iCs/>
                <w:color w:val="auto"/>
                <w:sz w:val="24"/>
                <w:szCs w:val="24"/>
                <w:highlight w:val="none"/>
              </w:rPr>
              <w:t>去除BOD</w:t>
            </w:r>
            <w:r>
              <w:rPr>
                <w:rFonts w:ascii="Times New Roman" w:hAnsi="Times New Roman" w:eastAsia="宋体"/>
                <w:bCs/>
                <w:iCs/>
                <w:color w:val="auto"/>
                <w:sz w:val="24"/>
                <w:szCs w:val="24"/>
                <w:highlight w:val="none"/>
                <w:vertAlign w:val="subscript"/>
              </w:rPr>
              <w:t>5</w:t>
            </w:r>
            <w:r>
              <w:rPr>
                <w:rFonts w:ascii="Times New Roman" w:hAnsi="Times New Roman" w:eastAsia="宋体"/>
                <w:bCs/>
                <w:iCs/>
                <w:color w:val="auto"/>
                <w:sz w:val="24"/>
                <w:szCs w:val="24"/>
                <w:highlight w:val="none"/>
              </w:rPr>
              <w:t>量</w:t>
            </w:r>
            <w:r>
              <w:rPr>
                <w:rFonts w:hint="eastAsia" w:ascii="Times New Roman" w:hAnsi="Times New Roman" w:eastAsia="宋体"/>
                <w:bCs/>
                <w:iCs/>
                <w:color w:val="auto"/>
                <w:sz w:val="24"/>
                <w:szCs w:val="24"/>
                <w:highlight w:val="none"/>
              </w:rPr>
              <w:t>约</w:t>
            </w:r>
            <w:r>
              <w:rPr>
                <w:rFonts w:ascii="Times New Roman" w:hAnsi="Times New Roman" w:eastAsia="宋体"/>
                <w:bCs/>
                <w:iCs/>
                <w:color w:val="auto"/>
                <w:sz w:val="24"/>
                <w:szCs w:val="24"/>
                <w:highlight w:val="none"/>
              </w:rPr>
              <w:t>为</w:t>
            </w:r>
            <w:r>
              <w:rPr>
                <w:rFonts w:hint="eastAsia" w:ascii="Times New Roman" w:hAnsi="Times New Roman"/>
                <w:bCs/>
                <w:iCs/>
                <w:color w:val="auto"/>
                <w:sz w:val="24"/>
                <w:szCs w:val="24"/>
                <w:highlight w:val="none"/>
                <w:lang w:val="en-US" w:eastAsia="zh-CN"/>
              </w:rPr>
              <w:t>0.9053</w:t>
            </w:r>
            <w:r>
              <w:rPr>
                <w:rFonts w:ascii="Times New Roman" w:hAnsi="Times New Roman" w:eastAsia="宋体"/>
                <w:bCs/>
                <w:iCs/>
                <w:color w:val="auto"/>
                <w:sz w:val="24"/>
                <w:szCs w:val="24"/>
                <w:highlight w:val="none"/>
              </w:rPr>
              <w:t>t/a。经计算，本项目运营后恶臭气体产生总量为氨</w:t>
            </w:r>
            <w:r>
              <w:rPr>
                <w:rFonts w:hint="eastAsia"/>
                <w:bCs/>
                <w:iCs/>
                <w:color w:val="auto"/>
                <w:sz w:val="24"/>
                <w:szCs w:val="24"/>
                <w:highlight w:val="none"/>
                <w:lang w:val="en-US" w:eastAsia="zh-CN"/>
              </w:rPr>
              <w:t>0.0029</w:t>
            </w:r>
            <w:r>
              <w:rPr>
                <w:rFonts w:hint="eastAsia" w:ascii="Times New Roman" w:hAnsi="Times New Roman" w:eastAsia="宋体"/>
                <w:bCs/>
                <w:iCs/>
                <w:color w:val="auto"/>
                <w:sz w:val="24"/>
                <w:szCs w:val="24"/>
                <w:highlight w:val="none"/>
                <w:lang w:val="en-US" w:eastAsia="zh-CN"/>
              </w:rPr>
              <w:t>t</w:t>
            </w:r>
            <w:r>
              <w:rPr>
                <w:rFonts w:hint="eastAsia" w:ascii="Times New Roman" w:hAnsi="Times New Roman" w:eastAsia="宋体"/>
                <w:bCs/>
                <w:iCs/>
                <w:color w:val="auto"/>
                <w:sz w:val="24"/>
                <w:szCs w:val="24"/>
                <w:highlight w:val="none"/>
              </w:rPr>
              <w:t>/a</w:t>
            </w:r>
            <w:r>
              <w:rPr>
                <w:rFonts w:ascii="Times New Roman" w:hAnsi="Times New Roman" w:eastAsia="宋体"/>
                <w:bCs/>
                <w:iCs/>
                <w:color w:val="auto"/>
                <w:sz w:val="24"/>
                <w:szCs w:val="24"/>
                <w:highlight w:val="none"/>
              </w:rPr>
              <w:t>，硫化氢</w:t>
            </w:r>
            <w:r>
              <w:rPr>
                <w:rFonts w:hint="eastAsia" w:ascii="Times New Roman" w:hAnsi="Times New Roman" w:eastAsia="宋体"/>
                <w:bCs/>
                <w:iCs/>
                <w:color w:val="auto"/>
                <w:sz w:val="24"/>
                <w:szCs w:val="24"/>
                <w:highlight w:val="none"/>
                <w:lang w:val="en-US" w:eastAsia="zh-CN"/>
              </w:rPr>
              <w:t>0.000</w:t>
            </w:r>
            <w:r>
              <w:rPr>
                <w:rFonts w:hint="eastAsia" w:ascii="Times New Roman" w:hAnsi="Times New Roman"/>
                <w:bCs/>
                <w:iCs/>
                <w:color w:val="auto"/>
                <w:sz w:val="24"/>
                <w:szCs w:val="24"/>
                <w:highlight w:val="none"/>
                <w:lang w:val="en-US" w:eastAsia="zh-CN"/>
              </w:rPr>
              <w:t>2</w:t>
            </w:r>
            <w:r>
              <w:rPr>
                <w:rFonts w:hint="eastAsia" w:ascii="Times New Roman" w:hAnsi="Times New Roman" w:eastAsia="宋体"/>
                <w:bCs/>
                <w:iCs/>
                <w:color w:val="auto"/>
                <w:sz w:val="24"/>
                <w:szCs w:val="24"/>
                <w:highlight w:val="none"/>
                <w:lang w:val="en-US" w:eastAsia="zh-CN"/>
              </w:rPr>
              <w:t>t</w:t>
            </w:r>
            <w:r>
              <w:rPr>
                <w:rFonts w:ascii="Times New Roman" w:hAnsi="Times New Roman" w:eastAsia="宋体"/>
                <w:bCs/>
                <w:iCs/>
                <w:color w:val="auto"/>
                <w:sz w:val="24"/>
                <w:szCs w:val="24"/>
                <w:highlight w:val="none"/>
              </w:rPr>
              <w:t>/</w:t>
            </w:r>
            <w:r>
              <w:rPr>
                <w:rFonts w:hint="eastAsia" w:ascii="Times New Roman" w:hAnsi="Times New Roman" w:eastAsia="宋体"/>
                <w:bCs/>
                <w:iCs/>
                <w:color w:val="auto"/>
                <w:sz w:val="24"/>
                <w:szCs w:val="24"/>
                <w:highlight w:val="none"/>
              </w:rPr>
              <w:t>d</w:t>
            </w:r>
            <w:r>
              <w:rPr>
                <w:rFonts w:hint="eastAsia" w:ascii="Times New Roman" w:hAnsi="Times New Roman" w:eastAsia="宋体"/>
                <w:bCs/>
                <w:iCs/>
                <w:color w:val="auto"/>
                <w:sz w:val="24"/>
                <w:szCs w:val="24"/>
                <w:highlight w:val="none"/>
                <w:lang w:eastAsia="zh-CN"/>
              </w:rPr>
              <w:t>。</w:t>
            </w:r>
          </w:p>
          <w:p w14:paraId="136E709E">
            <w:pPr>
              <w:keepNext w:val="0"/>
              <w:keepLines w:val="0"/>
              <w:pageBreakBefore w:val="0"/>
              <w:kinsoku/>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黑体" w:cs="Times New Roman"/>
                <w:bCs/>
                <w:color w:val="auto"/>
                <w:sz w:val="24"/>
                <w:szCs w:val="21"/>
                <w:highlight w:val="none"/>
                <w:lang w:val="en-US" w:eastAsia="zh-CN"/>
              </w:rPr>
            </w:pPr>
            <w:r>
              <w:rPr>
                <w:rFonts w:hint="eastAsia" w:ascii="Times New Roman" w:hAnsi="Times New Roman" w:eastAsia="宋体" w:cs="Times New Roman"/>
                <w:color w:val="000000"/>
                <w:sz w:val="24"/>
                <w:szCs w:val="24"/>
                <w:highlight w:val="none"/>
                <w:lang w:val="en-US" w:eastAsia="zh-CN"/>
              </w:rPr>
              <w:t>污水处理</w:t>
            </w:r>
            <w:r>
              <w:rPr>
                <w:rFonts w:hint="eastAsia" w:ascii="Times New Roman" w:hAnsi="Times New Roman" w:cs="Times New Roman"/>
                <w:color w:val="000000"/>
                <w:sz w:val="24"/>
                <w:szCs w:val="24"/>
                <w:highlight w:val="none"/>
                <w:lang w:val="en-US" w:eastAsia="zh-CN"/>
              </w:rPr>
              <w:t>设施</w:t>
            </w:r>
            <w:r>
              <w:rPr>
                <w:rFonts w:hint="eastAsia" w:ascii="Times New Roman" w:hAnsi="Times New Roman" w:eastAsia="宋体" w:cs="Times New Roman"/>
                <w:color w:val="000000"/>
                <w:sz w:val="24"/>
                <w:szCs w:val="24"/>
                <w:highlight w:val="none"/>
                <w:lang w:val="en-US" w:eastAsia="zh-CN"/>
              </w:rPr>
              <w:t>各构筑物建在地面</w:t>
            </w:r>
            <w:r>
              <w:rPr>
                <w:rFonts w:hint="eastAsia" w:ascii="Times New Roman" w:hAnsi="Times New Roman" w:cs="Times New Roman"/>
                <w:color w:val="000000"/>
                <w:sz w:val="24"/>
                <w:szCs w:val="24"/>
                <w:highlight w:val="none"/>
                <w:lang w:val="en-US" w:eastAsia="zh-CN"/>
              </w:rPr>
              <w:t>上</w:t>
            </w:r>
            <w:r>
              <w:rPr>
                <w:rFonts w:hint="eastAsia" w:ascii="Times New Roman" w:hAnsi="Times New Roman" w:eastAsia="宋体" w:cs="Times New Roman"/>
                <w:color w:val="000000"/>
                <w:sz w:val="24"/>
                <w:szCs w:val="24"/>
                <w:highlight w:val="none"/>
                <w:lang w:val="en-US" w:eastAsia="zh-CN"/>
              </w:rPr>
              <w:t>封闭式池体内，污水处理</w:t>
            </w:r>
            <w:r>
              <w:rPr>
                <w:rFonts w:hint="eastAsia" w:ascii="Times New Roman" w:hAnsi="Times New Roman" w:cs="Times New Roman"/>
                <w:color w:val="000000"/>
                <w:sz w:val="24"/>
                <w:szCs w:val="24"/>
                <w:highlight w:val="none"/>
                <w:lang w:val="en-US" w:eastAsia="zh-CN"/>
              </w:rPr>
              <w:t>设施</w:t>
            </w:r>
            <w:r>
              <w:rPr>
                <w:rFonts w:hint="eastAsia" w:ascii="Times New Roman" w:hAnsi="Times New Roman" w:eastAsia="宋体" w:cs="Times New Roman"/>
                <w:color w:val="000000"/>
                <w:sz w:val="24"/>
                <w:szCs w:val="24"/>
                <w:highlight w:val="none"/>
                <w:lang w:val="en-US" w:eastAsia="zh-CN"/>
              </w:rPr>
              <w:t>产生的恶臭气体经收集后由引风机（</w:t>
            </w:r>
            <w:r>
              <w:rPr>
                <w:rFonts w:hint="eastAsia" w:ascii="Times New Roman" w:hAnsi="Times New Roman" w:cs="Times New Roman"/>
                <w:color w:val="000000"/>
                <w:sz w:val="24"/>
                <w:szCs w:val="24"/>
                <w:highlight w:val="none"/>
                <w:lang w:val="en-US" w:eastAsia="zh-CN"/>
              </w:rPr>
              <w:t>1</w:t>
            </w:r>
            <w:r>
              <w:rPr>
                <w:rFonts w:hint="eastAsia" w:ascii="Times New Roman" w:hAnsi="Times New Roman" w:eastAsia="宋体" w:cs="Times New Roman"/>
                <w:color w:val="000000"/>
                <w:sz w:val="24"/>
                <w:szCs w:val="24"/>
                <w:highlight w:val="none"/>
                <w:lang w:val="en-US" w:eastAsia="zh-CN"/>
              </w:rPr>
              <w:t>000m³/h）引至活性炭吸附装置，</w:t>
            </w:r>
            <w:r>
              <w:rPr>
                <w:rFonts w:hint="eastAsia" w:cs="Times New Roman"/>
                <w:color w:val="000000"/>
                <w:sz w:val="24"/>
                <w:szCs w:val="24"/>
                <w:highlight w:val="none"/>
                <w:lang w:val="en-US" w:eastAsia="zh-CN"/>
              </w:rPr>
              <w:t>年</w:t>
            </w:r>
            <w:r>
              <w:rPr>
                <w:rFonts w:hint="eastAsia" w:ascii="Times New Roman" w:hAnsi="Times New Roman" w:eastAsia="宋体" w:cs="Times New Roman"/>
                <w:color w:val="000000"/>
                <w:sz w:val="24"/>
                <w:szCs w:val="24"/>
                <w:highlight w:val="none"/>
                <w:lang w:val="en-US" w:eastAsia="zh-CN"/>
              </w:rPr>
              <w:t>工作时间</w:t>
            </w:r>
            <w:r>
              <w:rPr>
                <w:rFonts w:hint="eastAsia" w:ascii="Times New Roman" w:hAnsi="Times New Roman" w:cs="Times New Roman"/>
                <w:color w:val="000000"/>
                <w:sz w:val="24"/>
                <w:szCs w:val="24"/>
                <w:highlight w:val="none"/>
                <w:lang w:val="en-US" w:eastAsia="zh-CN"/>
              </w:rPr>
              <w:t>24</w:t>
            </w:r>
            <w:r>
              <w:rPr>
                <w:rFonts w:hint="eastAsia" w:ascii="Times New Roman" w:hAnsi="Times New Roman" w:eastAsia="宋体" w:cs="Times New Roman"/>
                <w:color w:val="000000"/>
                <w:sz w:val="24"/>
                <w:szCs w:val="24"/>
                <w:highlight w:val="none"/>
                <w:lang w:val="en-US" w:eastAsia="zh-CN"/>
              </w:rPr>
              <w:t>00h/a，</w:t>
            </w:r>
            <w:r>
              <w:rPr>
                <w:rFonts w:hint="eastAsia" w:cs="Times New Roman"/>
                <w:color w:val="000000"/>
                <w:sz w:val="24"/>
                <w:szCs w:val="24"/>
                <w:highlight w:val="none"/>
                <w:lang w:val="en-US" w:eastAsia="zh-CN"/>
              </w:rPr>
              <w:t>风机的收集效率为90%，</w:t>
            </w:r>
            <w:r>
              <w:rPr>
                <w:rFonts w:hint="eastAsia" w:ascii="Times New Roman" w:hAnsi="Times New Roman" w:eastAsia="宋体" w:cs="Times New Roman"/>
                <w:color w:val="000000"/>
                <w:sz w:val="24"/>
                <w:szCs w:val="24"/>
                <w:highlight w:val="none"/>
                <w:lang w:val="en-US" w:eastAsia="zh-CN"/>
              </w:rPr>
              <w:t>活性炭吸附装置对恶臭气体的处理效率为</w:t>
            </w:r>
            <w:r>
              <w:rPr>
                <w:rFonts w:hint="eastAsia" w:cs="Times New Roman"/>
                <w:color w:val="000000"/>
                <w:sz w:val="24"/>
                <w:szCs w:val="24"/>
                <w:highlight w:val="none"/>
                <w:lang w:val="en-US" w:eastAsia="zh-CN"/>
              </w:rPr>
              <w:t>85</w:t>
            </w:r>
            <w:r>
              <w:rPr>
                <w:rFonts w:hint="eastAsia"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处理后经15m的排气筒排放</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氨的排放量为0.00</w:t>
            </w:r>
            <w:r>
              <w:rPr>
                <w:rFonts w:hint="eastAsia" w:ascii="Times New Roman" w:hAnsi="Times New Roman" w:cs="Times New Roman"/>
                <w:color w:val="000000"/>
                <w:sz w:val="24"/>
                <w:szCs w:val="24"/>
                <w:highlight w:val="none"/>
                <w:lang w:val="en-US" w:eastAsia="zh-CN"/>
              </w:rPr>
              <w:t>039</w:t>
            </w:r>
            <w:r>
              <w:rPr>
                <w:rFonts w:hint="eastAsia" w:ascii="Times New Roman" w:hAnsi="Times New Roman" w:eastAsia="宋体" w:cs="Times New Roman"/>
                <w:color w:val="000000"/>
                <w:sz w:val="24"/>
                <w:szCs w:val="24"/>
                <w:highlight w:val="none"/>
                <w:lang w:val="en-US" w:eastAsia="zh-CN"/>
              </w:rPr>
              <w:t>t/a、排放速率为0.00</w:t>
            </w:r>
            <w:r>
              <w:rPr>
                <w:rFonts w:hint="eastAsia" w:cs="Times New Roman"/>
                <w:color w:val="000000"/>
                <w:sz w:val="24"/>
                <w:szCs w:val="24"/>
                <w:highlight w:val="none"/>
                <w:lang w:val="en-US" w:eastAsia="zh-CN"/>
              </w:rPr>
              <w:t>016</w:t>
            </w:r>
            <w:r>
              <w:rPr>
                <w:rFonts w:hint="default" w:ascii="Times New Roman" w:hAnsi="Times New Roman" w:eastAsia="宋体" w:cs="Times New Roman"/>
                <w:color w:val="000000"/>
                <w:sz w:val="24"/>
                <w:szCs w:val="24"/>
                <w:highlight w:val="none"/>
                <w:lang w:val="en-US" w:eastAsia="zh-CN"/>
              </w:rPr>
              <w:t>kg/h</w:t>
            </w:r>
            <w:r>
              <w:rPr>
                <w:rFonts w:hint="eastAsia" w:ascii="Times New Roman" w:hAnsi="Times New Roman" w:eastAsia="宋体" w:cs="Times New Roman"/>
                <w:color w:val="000000"/>
                <w:sz w:val="24"/>
                <w:szCs w:val="24"/>
                <w:highlight w:val="none"/>
                <w:lang w:val="en-US" w:eastAsia="zh-CN"/>
              </w:rPr>
              <w:t>、排放浓度为</w:t>
            </w:r>
            <w:r>
              <w:rPr>
                <w:rFonts w:hint="eastAsia" w:cs="Times New Roman"/>
                <w:color w:val="000000"/>
                <w:sz w:val="24"/>
                <w:szCs w:val="24"/>
                <w:highlight w:val="none"/>
                <w:lang w:val="en-US" w:eastAsia="zh-CN"/>
              </w:rPr>
              <w:t>0.1625</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lang w:val="en-US" w:eastAsia="zh-CN"/>
              </w:rPr>
              <w:t>；硫化氢的排放量0.00</w:t>
            </w:r>
            <w:r>
              <w:rPr>
                <w:rFonts w:hint="eastAsia" w:cs="Times New Roman"/>
                <w:color w:val="000000"/>
                <w:sz w:val="24"/>
                <w:szCs w:val="24"/>
                <w:highlight w:val="none"/>
                <w:lang w:val="en-US" w:eastAsia="zh-CN"/>
              </w:rPr>
              <w:t>0027</w:t>
            </w:r>
            <w:r>
              <w:rPr>
                <w:rFonts w:hint="eastAsia" w:ascii="Times New Roman" w:hAnsi="Times New Roman" w:eastAsia="宋体" w:cs="Times New Roman"/>
                <w:color w:val="000000"/>
                <w:sz w:val="24"/>
                <w:szCs w:val="24"/>
                <w:highlight w:val="none"/>
                <w:lang w:val="en-US" w:eastAsia="zh-CN"/>
              </w:rPr>
              <w:t>t/a、排放速率为0.000</w:t>
            </w:r>
            <w:r>
              <w:rPr>
                <w:rFonts w:hint="eastAsia" w:cs="Times New Roman"/>
                <w:color w:val="000000"/>
                <w:sz w:val="24"/>
                <w:szCs w:val="24"/>
                <w:highlight w:val="none"/>
                <w:lang w:val="en-US" w:eastAsia="zh-CN"/>
              </w:rPr>
              <w:t>011</w:t>
            </w:r>
            <w:r>
              <w:rPr>
                <w:rFonts w:hint="default" w:ascii="Times New Roman" w:hAnsi="Times New Roman" w:eastAsia="宋体" w:cs="Times New Roman"/>
                <w:color w:val="000000"/>
                <w:sz w:val="24"/>
                <w:szCs w:val="24"/>
                <w:highlight w:val="none"/>
                <w:lang w:val="en-US" w:eastAsia="zh-CN"/>
              </w:rPr>
              <w:t>kg/h</w:t>
            </w:r>
            <w:r>
              <w:rPr>
                <w:rFonts w:hint="eastAsia" w:ascii="Times New Roman" w:hAnsi="Times New Roman" w:eastAsia="宋体" w:cs="Times New Roman"/>
                <w:color w:val="000000"/>
                <w:sz w:val="24"/>
                <w:szCs w:val="24"/>
                <w:highlight w:val="none"/>
                <w:lang w:val="en-US" w:eastAsia="zh-CN"/>
              </w:rPr>
              <w:t>、排放浓度为0.0</w:t>
            </w:r>
            <w:r>
              <w:rPr>
                <w:rFonts w:hint="eastAsia" w:ascii="Times New Roman" w:hAnsi="Times New Roman" w:cs="Times New Roman"/>
                <w:color w:val="000000"/>
                <w:sz w:val="24"/>
                <w:szCs w:val="24"/>
                <w:highlight w:val="none"/>
                <w:lang w:val="en-US" w:eastAsia="zh-CN"/>
              </w:rPr>
              <w:t>113</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vertAlign w:val="baseline"/>
                <w:lang w:val="en-US" w:eastAsia="zh-CN"/>
              </w:rPr>
              <w:t>。</w:t>
            </w:r>
            <w:r>
              <w:rPr>
                <w:rFonts w:hint="eastAsia" w:ascii="Times New Roman" w:hAnsi="Times New Roman" w:eastAsia="宋体" w:cs="Times New Roman"/>
                <w:color w:val="000000"/>
                <w:sz w:val="24"/>
                <w:szCs w:val="24"/>
                <w:highlight w:val="none"/>
                <w:lang w:val="en-US" w:eastAsia="zh-CN"/>
              </w:rPr>
              <w:t>满足《恶臭污染物排放标准》（GB14554-93）中表2的排放限值要求（H</w:t>
            </w:r>
            <w:r>
              <w:rPr>
                <w:rFonts w:hint="eastAsia" w:ascii="Times New Roman" w:hAnsi="Times New Roman" w:eastAsia="宋体" w:cs="Times New Roman"/>
                <w:color w:val="000000"/>
                <w:sz w:val="24"/>
                <w:szCs w:val="24"/>
                <w:highlight w:val="none"/>
                <w:vertAlign w:val="subscript"/>
                <w:lang w:val="en-US" w:eastAsia="zh-CN"/>
              </w:rPr>
              <w:t>2</w:t>
            </w:r>
            <w:r>
              <w:rPr>
                <w:rFonts w:hint="eastAsia" w:ascii="Times New Roman" w:hAnsi="Times New Roman" w:eastAsia="宋体" w:cs="Times New Roman"/>
                <w:color w:val="000000"/>
                <w:sz w:val="24"/>
                <w:szCs w:val="24"/>
                <w:highlight w:val="none"/>
                <w:lang w:val="en-US" w:eastAsia="zh-CN"/>
              </w:rPr>
              <w:t>S</w:t>
            </w:r>
            <w:r>
              <w:rPr>
                <w:rFonts w:hint="eastAsia" w:ascii="Times New Roman" w:hAnsi="Times New Roman" w:eastAsia="宋体" w:cs="Times New Roman"/>
                <w:color w:val="000000"/>
                <w:sz w:val="24"/>
                <w:szCs w:val="24"/>
                <w:highlight w:val="none"/>
                <w:vertAlign w:val="baseline"/>
                <w:lang w:val="en-US" w:eastAsia="zh-CN"/>
              </w:rPr>
              <w:t>排放速率</w:t>
            </w:r>
            <w:r>
              <w:rPr>
                <w:rFonts w:hint="eastAsia" w:ascii="Times New Roman" w:hAnsi="Times New Roman" w:eastAsia="宋体" w:cs="Times New Roman"/>
                <w:color w:val="000000"/>
                <w:sz w:val="24"/>
                <w:szCs w:val="24"/>
                <w:highlight w:val="none"/>
                <w:lang w:val="en-US" w:eastAsia="zh-CN"/>
              </w:rPr>
              <w:t>0.33kg/h，氨</w:t>
            </w:r>
            <w:r>
              <w:rPr>
                <w:rFonts w:hint="eastAsia" w:ascii="Times New Roman" w:hAnsi="Times New Roman" w:eastAsia="宋体" w:cs="Times New Roman"/>
                <w:color w:val="000000"/>
                <w:sz w:val="24"/>
                <w:szCs w:val="24"/>
                <w:highlight w:val="none"/>
                <w:vertAlign w:val="baseline"/>
                <w:lang w:val="en-US" w:eastAsia="zh-CN"/>
              </w:rPr>
              <w:t>排放速率</w:t>
            </w:r>
            <w:r>
              <w:rPr>
                <w:rFonts w:hint="eastAsia" w:ascii="Times New Roman" w:hAnsi="Times New Roman" w:eastAsia="宋体" w:cs="Times New Roman"/>
                <w:color w:val="000000"/>
                <w:sz w:val="24"/>
                <w:szCs w:val="24"/>
                <w:highlight w:val="none"/>
                <w:lang w:val="en-US" w:eastAsia="zh-CN"/>
              </w:rPr>
              <w:t>4.9kg/h），污染物对周围环境空气影响较小。</w:t>
            </w:r>
          </w:p>
          <w:p w14:paraId="4E81736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default"/>
                <w:lang w:val="en-US" w:eastAsia="zh-CN"/>
              </w:rPr>
            </w:pPr>
            <w:r>
              <w:rPr>
                <w:rFonts w:hint="eastAsia" w:ascii="Times New Roman" w:hAnsi="Times New Roman" w:eastAsia="宋体"/>
                <w:bCs/>
                <w:iCs/>
                <w:color w:val="auto"/>
                <w:sz w:val="24"/>
                <w:szCs w:val="24"/>
                <w:highlight w:val="none"/>
                <w:lang w:val="en-US" w:eastAsia="zh-CN"/>
              </w:rPr>
              <w:t>污水处理</w:t>
            </w:r>
            <w:r>
              <w:rPr>
                <w:rFonts w:hint="eastAsia" w:ascii="Times New Roman" w:hAnsi="Times New Roman"/>
                <w:bCs/>
                <w:iCs/>
                <w:color w:val="auto"/>
                <w:sz w:val="24"/>
                <w:szCs w:val="24"/>
                <w:highlight w:val="none"/>
                <w:lang w:val="en-US" w:eastAsia="zh-CN"/>
              </w:rPr>
              <w:t>设施</w:t>
            </w:r>
            <w:r>
              <w:rPr>
                <w:rFonts w:hint="eastAsia" w:ascii="Times New Roman" w:hAnsi="Times New Roman" w:eastAsia="宋体"/>
                <w:bCs/>
                <w:iCs/>
                <w:color w:val="auto"/>
                <w:sz w:val="24"/>
                <w:szCs w:val="24"/>
                <w:highlight w:val="none"/>
                <w:lang w:val="en-US" w:eastAsia="zh-CN"/>
              </w:rPr>
              <w:t>产生的气体未被收集的为</w:t>
            </w:r>
            <w:r>
              <w:rPr>
                <w:rFonts w:hint="eastAsia"/>
                <w:bCs/>
                <w:iCs/>
                <w:color w:val="auto"/>
                <w:sz w:val="24"/>
                <w:szCs w:val="24"/>
                <w:highlight w:val="none"/>
                <w:lang w:val="en-US" w:eastAsia="zh-CN"/>
              </w:rPr>
              <w:t>10</w:t>
            </w:r>
            <w:r>
              <w:rPr>
                <w:rFonts w:hint="eastAsia" w:ascii="Times New Roman" w:hAnsi="Times New Roman" w:eastAsia="宋体"/>
                <w:bCs/>
                <w:iCs/>
                <w:color w:val="auto"/>
                <w:sz w:val="24"/>
                <w:szCs w:val="24"/>
                <w:highlight w:val="none"/>
                <w:lang w:val="en-US" w:eastAsia="zh-CN"/>
              </w:rPr>
              <w:t>%，进而通过无组织排放</w:t>
            </w:r>
            <w:r>
              <w:rPr>
                <w:rFonts w:ascii="Times New Roman" w:hAnsi="Times New Roman" w:eastAsia="宋体"/>
                <w:bCs/>
                <w:iCs/>
                <w:color w:val="auto"/>
                <w:sz w:val="24"/>
                <w:szCs w:val="24"/>
                <w:highlight w:val="none"/>
              </w:rPr>
              <w:t>氨</w:t>
            </w:r>
            <w:r>
              <w:rPr>
                <w:rFonts w:hint="eastAsia" w:ascii="Times New Roman" w:hAnsi="Times New Roman" w:eastAsia="宋体"/>
                <w:bCs/>
                <w:iCs/>
                <w:color w:val="auto"/>
                <w:sz w:val="24"/>
                <w:szCs w:val="24"/>
                <w:highlight w:val="none"/>
                <w:lang w:val="en-US" w:eastAsia="zh-CN"/>
              </w:rPr>
              <w:t>0.0</w:t>
            </w:r>
            <w:r>
              <w:rPr>
                <w:rFonts w:hint="eastAsia" w:ascii="Times New Roman" w:hAnsi="Times New Roman"/>
                <w:bCs/>
                <w:iCs/>
                <w:color w:val="auto"/>
                <w:sz w:val="24"/>
                <w:szCs w:val="24"/>
                <w:highlight w:val="none"/>
                <w:lang w:val="en-US" w:eastAsia="zh-CN"/>
              </w:rPr>
              <w:t>0029</w:t>
            </w:r>
            <w:r>
              <w:rPr>
                <w:rFonts w:hint="eastAsia" w:ascii="Times New Roman" w:hAnsi="Times New Roman" w:eastAsia="宋体"/>
                <w:bCs/>
                <w:iCs/>
                <w:color w:val="auto"/>
                <w:sz w:val="24"/>
                <w:szCs w:val="24"/>
                <w:highlight w:val="none"/>
                <w:lang w:val="en-US" w:eastAsia="zh-CN"/>
              </w:rPr>
              <w:t>t</w:t>
            </w:r>
            <w:r>
              <w:rPr>
                <w:rFonts w:hint="eastAsia" w:ascii="Times New Roman" w:hAnsi="Times New Roman" w:eastAsia="宋体"/>
                <w:bCs/>
                <w:iCs/>
                <w:color w:val="auto"/>
                <w:sz w:val="24"/>
                <w:szCs w:val="24"/>
                <w:highlight w:val="none"/>
              </w:rPr>
              <w:t>/a</w:t>
            </w:r>
            <w:r>
              <w:rPr>
                <w:rFonts w:ascii="Times New Roman" w:hAnsi="Times New Roman" w:eastAsia="宋体"/>
                <w:bCs/>
                <w:iCs/>
                <w:color w:val="auto"/>
                <w:sz w:val="24"/>
                <w:szCs w:val="24"/>
                <w:highlight w:val="none"/>
              </w:rPr>
              <w:t>，硫化氢</w:t>
            </w:r>
            <w:r>
              <w:rPr>
                <w:rFonts w:hint="eastAsia" w:ascii="Times New Roman" w:hAnsi="Times New Roman" w:eastAsia="宋体"/>
                <w:bCs/>
                <w:iCs/>
                <w:color w:val="auto"/>
                <w:sz w:val="24"/>
                <w:szCs w:val="24"/>
                <w:highlight w:val="none"/>
                <w:lang w:val="en-US" w:eastAsia="zh-CN"/>
              </w:rPr>
              <w:t>0.000</w:t>
            </w:r>
            <w:r>
              <w:rPr>
                <w:rFonts w:hint="eastAsia"/>
                <w:bCs/>
                <w:iCs/>
                <w:color w:val="auto"/>
                <w:sz w:val="24"/>
                <w:szCs w:val="24"/>
                <w:highlight w:val="none"/>
                <w:lang w:val="en-US" w:eastAsia="zh-CN"/>
              </w:rPr>
              <w:t>02</w:t>
            </w:r>
            <w:r>
              <w:rPr>
                <w:rFonts w:hint="eastAsia" w:ascii="Times New Roman" w:hAnsi="Times New Roman" w:eastAsia="宋体"/>
                <w:bCs/>
                <w:iCs/>
                <w:color w:val="auto"/>
                <w:sz w:val="24"/>
                <w:szCs w:val="24"/>
                <w:highlight w:val="none"/>
                <w:lang w:val="en-US" w:eastAsia="zh-CN"/>
              </w:rPr>
              <w:t>t</w:t>
            </w:r>
            <w:r>
              <w:rPr>
                <w:rFonts w:ascii="Times New Roman" w:hAnsi="Times New Roman" w:eastAsia="宋体"/>
                <w:bCs/>
                <w:iCs/>
                <w:color w:val="auto"/>
                <w:sz w:val="24"/>
                <w:szCs w:val="24"/>
                <w:highlight w:val="none"/>
              </w:rPr>
              <w:t>/</w:t>
            </w:r>
            <w:r>
              <w:rPr>
                <w:rFonts w:hint="eastAsia" w:ascii="Times New Roman" w:hAnsi="Times New Roman" w:eastAsia="宋体"/>
                <w:bCs/>
                <w:iCs/>
                <w:color w:val="auto"/>
                <w:sz w:val="24"/>
                <w:szCs w:val="24"/>
                <w:highlight w:val="none"/>
              </w:rPr>
              <w:t>d</w:t>
            </w:r>
            <w:r>
              <w:rPr>
                <w:rFonts w:hint="eastAsia" w:ascii="Times New Roman" w:hAnsi="Times New Roman" w:eastAsia="宋体"/>
                <w:bCs/>
                <w:iCs/>
                <w:color w:val="auto"/>
                <w:sz w:val="24"/>
                <w:szCs w:val="24"/>
                <w:lang w:val="en-US" w:eastAsia="zh-CN"/>
              </w:rPr>
              <w:t>，那么无组织排放氨</w:t>
            </w:r>
            <w:r>
              <w:rPr>
                <w:rFonts w:hint="eastAsia" w:ascii="Times New Roman" w:hAnsi="Times New Roman"/>
                <w:bCs/>
                <w:iCs/>
                <w:color w:val="auto"/>
                <w:sz w:val="24"/>
                <w:szCs w:val="24"/>
                <w:lang w:val="en-US" w:eastAsia="zh-CN"/>
              </w:rPr>
              <w:t>的浓度</w:t>
            </w:r>
            <w:r>
              <w:rPr>
                <w:rFonts w:hint="eastAsia" w:ascii="Times New Roman" w:hAnsi="Times New Roman" w:eastAsia="宋体"/>
                <w:bCs/>
                <w:iCs/>
                <w:color w:val="auto"/>
                <w:sz w:val="24"/>
                <w:szCs w:val="24"/>
                <w:lang w:val="en-US" w:eastAsia="zh-CN"/>
              </w:rPr>
              <w:t>：</w:t>
            </w:r>
            <w:r>
              <w:rPr>
                <w:rFonts w:hint="eastAsia" w:ascii="Times New Roman" w:hAnsi="Times New Roman" w:eastAsia="宋体" w:cs="Times New Roman"/>
                <w:color w:val="000000"/>
                <w:sz w:val="24"/>
                <w:szCs w:val="24"/>
                <w:lang w:val="en-US" w:eastAsia="zh-CN"/>
              </w:rPr>
              <w:t>0.</w:t>
            </w:r>
            <w:r>
              <w:rPr>
                <w:rFonts w:hint="eastAsia" w:ascii="Times New Roman" w:hAnsi="Times New Roman" w:cs="Times New Roman"/>
                <w:color w:val="000000"/>
                <w:sz w:val="24"/>
                <w:szCs w:val="24"/>
                <w:lang w:val="en-US" w:eastAsia="zh-CN"/>
              </w:rPr>
              <w:t>1208</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vertAlign w:val="baseline"/>
                <w:lang w:val="en-US" w:eastAsia="zh-CN"/>
              </w:rPr>
              <w:t>、</w:t>
            </w:r>
            <w:r>
              <w:rPr>
                <w:rFonts w:hint="eastAsia" w:ascii="Times New Roman" w:hAnsi="Times New Roman" w:eastAsia="宋体"/>
                <w:bCs/>
                <w:iCs/>
                <w:color w:val="auto"/>
                <w:sz w:val="24"/>
                <w:szCs w:val="24"/>
                <w:lang w:val="en-US" w:eastAsia="zh-CN"/>
              </w:rPr>
              <w:t>硫化氢：</w:t>
            </w:r>
            <w:r>
              <w:rPr>
                <w:rFonts w:hint="eastAsia" w:ascii="Times New Roman" w:hAnsi="Times New Roman" w:eastAsia="宋体" w:cs="Times New Roman"/>
                <w:color w:val="000000"/>
                <w:sz w:val="24"/>
                <w:szCs w:val="24"/>
                <w:lang w:val="en-US" w:eastAsia="zh-CN"/>
              </w:rPr>
              <w:t>0.</w:t>
            </w:r>
            <w:r>
              <w:rPr>
                <w:rFonts w:hint="eastAsia" w:cs="Times New Roman"/>
                <w:color w:val="000000"/>
                <w:sz w:val="24"/>
                <w:szCs w:val="24"/>
                <w:lang w:val="en-US" w:eastAsia="zh-CN"/>
              </w:rPr>
              <w:t>0083</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vertAlign w:val="baseline"/>
                <w:lang w:val="en-US" w:eastAsia="zh-CN"/>
              </w:rPr>
              <w:t>，满足</w:t>
            </w:r>
            <w:r>
              <w:rPr>
                <w:rFonts w:hint="eastAsia" w:ascii="Times New Roman" w:hAnsi="Times New Roman" w:eastAsia="宋体" w:cs="Times New Roman"/>
                <w:color w:val="000000"/>
                <w:sz w:val="24"/>
                <w:szCs w:val="24"/>
                <w:lang w:val="en-US" w:eastAsia="zh-CN"/>
              </w:rPr>
              <w:t>《恶臭污染物排放标准》（GB14554-93）中</w:t>
            </w:r>
            <w:r>
              <w:rPr>
                <w:rFonts w:hint="eastAsia" w:ascii="Times New Roman" w:hAnsi="Times New Roman" w:eastAsia="宋体" w:cs="Times New Roman"/>
                <w:color w:val="000000"/>
                <w:sz w:val="24"/>
                <w:szCs w:val="24"/>
                <w:highlight w:val="none"/>
                <w:lang w:val="en-US" w:eastAsia="zh-CN"/>
              </w:rPr>
              <w:t>表1二级厂界限值要求（H</w:t>
            </w:r>
            <w:r>
              <w:rPr>
                <w:rFonts w:hint="eastAsia" w:ascii="Times New Roman" w:hAnsi="Times New Roman" w:eastAsia="宋体" w:cs="Times New Roman"/>
                <w:color w:val="000000"/>
                <w:sz w:val="24"/>
                <w:szCs w:val="24"/>
                <w:highlight w:val="none"/>
                <w:vertAlign w:val="subscript"/>
                <w:lang w:val="en-US" w:eastAsia="zh-CN"/>
              </w:rPr>
              <w:t>2</w:t>
            </w:r>
            <w:r>
              <w:rPr>
                <w:rFonts w:hint="eastAsia" w:ascii="Times New Roman" w:hAnsi="Times New Roman" w:eastAsia="宋体" w:cs="Times New Roman"/>
                <w:color w:val="000000"/>
                <w:sz w:val="24"/>
                <w:szCs w:val="24"/>
                <w:highlight w:val="none"/>
                <w:lang w:val="en-US" w:eastAsia="zh-CN"/>
              </w:rPr>
              <w:t>S排放浓度0.06</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lang w:val="en-US" w:eastAsia="zh-CN"/>
              </w:rPr>
              <w:t>，氨排放浓度1.5</w:t>
            </w:r>
            <w:r>
              <w:rPr>
                <w:rFonts w:hint="default" w:ascii="Times New Roman" w:hAnsi="Times New Roman" w:eastAsia="宋体" w:cs="Times New Roman"/>
                <w:color w:val="000000"/>
                <w:sz w:val="24"/>
                <w:szCs w:val="24"/>
                <w:highlight w:val="none"/>
                <w:lang w:val="en-US" w:eastAsia="zh-CN"/>
              </w:rPr>
              <w:t>mg/m</w:t>
            </w:r>
            <w:r>
              <w:rPr>
                <w:rFonts w:hint="default"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lang w:val="en-US" w:eastAsia="zh-CN"/>
              </w:rPr>
              <w:t>），污染物对周围环境空气影响较小。</w:t>
            </w:r>
          </w:p>
          <w:p w14:paraId="5241DAB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黑体" w:cs="Times New Roman"/>
                <w:color w:val="auto"/>
                <w:kern w:val="2"/>
                <w:sz w:val="24"/>
                <w:highlight w:val="none"/>
                <w:lang w:val="en-US" w:eastAsia="zh-CN" w:bidi="ar-SA"/>
              </w:rPr>
            </w:pPr>
            <w:r>
              <w:rPr>
                <w:rFonts w:hint="eastAsia" w:ascii="Times New Roman" w:hAnsi="Times New Roman" w:cs="Times New Roman"/>
                <w:color w:val="auto"/>
                <w:kern w:val="0"/>
                <w:sz w:val="24"/>
                <w:szCs w:val="24"/>
                <w:lang w:val="en-US" w:eastAsia="zh-CN"/>
              </w:rPr>
              <w:t>大气产污汇总如下表：</w:t>
            </w:r>
          </w:p>
          <w:p w14:paraId="4796A14C">
            <w:pPr>
              <w:bidi w:val="0"/>
              <w:jc w:val="center"/>
              <w:rPr>
                <w:rFonts w:hint="default" w:ascii="Times New Roman" w:hAnsi="Times New Roman" w:eastAsia="黑体" w:cs="Times New Roman"/>
                <w:color w:val="auto"/>
                <w:kern w:val="2"/>
                <w:sz w:val="24"/>
                <w:highlight w:val="none"/>
                <w:lang w:val="en-US" w:eastAsia="zh-CN" w:bidi="ar-SA"/>
              </w:rPr>
            </w:pPr>
            <w:r>
              <w:rPr>
                <w:rFonts w:hint="eastAsia" w:ascii="Times New Roman" w:hAnsi="Times New Roman" w:eastAsia="黑体" w:cs="Times New Roman"/>
                <w:color w:val="auto"/>
                <w:kern w:val="2"/>
                <w:sz w:val="24"/>
                <w:highlight w:val="none"/>
                <w:lang w:val="en-US" w:eastAsia="zh-CN" w:bidi="ar-SA"/>
              </w:rPr>
              <w:t>表</w:t>
            </w:r>
            <w:r>
              <w:rPr>
                <w:rFonts w:hint="eastAsia" w:eastAsia="黑体" w:cs="Times New Roman"/>
                <w:color w:val="auto"/>
                <w:kern w:val="2"/>
                <w:sz w:val="24"/>
                <w:highlight w:val="none"/>
                <w:lang w:val="en-US" w:eastAsia="zh-CN" w:bidi="ar-SA"/>
              </w:rPr>
              <w:t>4-1</w:t>
            </w:r>
            <w:r>
              <w:rPr>
                <w:rFonts w:hint="eastAsia" w:ascii="Times New Roman" w:hAnsi="Times New Roman" w:eastAsia="黑体" w:cs="Times New Roman"/>
                <w:color w:val="auto"/>
                <w:kern w:val="2"/>
                <w:sz w:val="24"/>
                <w:highlight w:val="none"/>
                <w:lang w:val="en-US" w:eastAsia="zh-CN" w:bidi="ar-SA"/>
              </w:rPr>
              <w:t xml:space="preserve"> 项目主要大气污染物治理设施及产排情况汇总表</w:t>
            </w:r>
          </w:p>
          <w:tbl>
            <w:tblPr>
              <w:tblStyle w:val="22"/>
              <w:tblW w:w="7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487"/>
              <w:gridCol w:w="487"/>
              <w:gridCol w:w="522"/>
              <w:gridCol w:w="694"/>
              <w:gridCol w:w="798"/>
              <w:gridCol w:w="676"/>
              <w:gridCol w:w="586"/>
              <w:gridCol w:w="1301"/>
              <w:gridCol w:w="917"/>
              <w:gridCol w:w="769"/>
              <w:gridCol w:w="717"/>
            </w:tblGrid>
            <w:tr w14:paraId="683ACB5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360" w:hRule="atLeast"/>
              </w:trPr>
              <w:tc>
                <w:tcPr>
                  <w:tcW w:w="487" w:type="dxa"/>
                  <w:tcBorders>
                    <w:tl2br w:val="nil"/>
                    <w:tr2bl w:val="nil"/>
                  </w:tcBorders>
                  <w:vAlign w:val="center"/>
                </w:tcPr>
                <w:p w14:paraId="1BDBC4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产品生产线</w:t>
                  </w:r>
                </w:p>
              </w:tc>
              <w:tc>
                <w:tcPr>
                  <w:tcW w:w="487" w:type="dxa"/>
                  <w:tcBorders>
                    <w:tl2br w:val="nil"/>
                    <w:tr2bl w:val="nil"/>
                  </w:tcBorders>
                  <w:vAlign w:val="center"/>
                </w:tcPr>
                <w:p w14:paraId="0950A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产排污环节</w:t>
                  </w:r>
                </w:p>
              </w:tc>
              <w:tc>
                <w:tcPr>
                  <w:tcW w:w="522" w:type="dxa"/>
                  <w:tcBorders>
                    <w:tl2br w:val="nil"/>
                    <w:tr2bl w:val="nil"/>
                  </w:tcBorders>
                  <w:vAlign w:val="center"/>
                </w:tcPr>
                <w:p w14:paraId="122AE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污染物种类</w:t>
                  </w:r>
                </w:p>
              </w:tc>
              <w:tc>
                <w:tcPr>
                  <w:tcW w:w="694" w:type="dxa"/>
                  <w:tcBorders>
                    <w:tl2br w:val="nil"/>
                    <w:tr2bl w:val="nil"/>
                  </w:tcBorders>
                  <w:vAlign w:val="center"/>
                </w:tcPr>
                <w:p w14:paraId="2BF77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污染物产生量</w:t>
                  </w:r>
                  <w:r>
                    <w:rPr>
                      <w:rFonts w:hint="default" w:ascii="Times New Roman" w:hAnsi="Times New Roman" w:eastAsia="宋体" w:cs="Times New Roman"/>
                      <w:b/>
                      <w:bCs/>
                      <w:color w:val="auto"/>
                      <w:sz w:val="21"/>
                      <w:szCs w:val="21"/>
                      <w:highlight w:val="none"/>
                      <w:vertAlign w:val="baseline"/>
                      <w:lang w:val="en-US" w:eastAsia="zh-CN"/>
                    </w:rPr>
                    <w:t>t/a</w:t>
                  </w:r>
                </w:p>
              </w:tc>
              <w:tc>
                <w:tcPr>
                  <w:tcW w:w="798" w:type="dxa"/>
                  <w:tcBorders>
                    <w:tl2br w:val="nil"/>
                    <w:tr2bl w:val="nil"/>
                  </w:tcBorders>
                  <w:vAlign w:val="center"/>
                </w:tcPr>
                <w:p w14:paraId="74935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zh-CN" w:eastAsia="zh-CN" w:bidi="ar-SA"/>
                    </w:rPr>
                  </w:pPr>
                  <w:r>
                    <w:rPr>
                      <w:rFonts w:hint="default" w:ascii="Times New Roman" w:hAnsi="Times New Roman" w:eastAsia="宋体" w:cs="Times New Roman"/>
                      <w:b/>
                      <w:bCs/>
                      <w:color w:val="auto"/>
                      <w:sz w:val="21"/>
                      <w:szCs w:val="21"/>
                      <w:highlight w:val="none"/>
                      <w:vertAlign w:val="baseline"/>
                      <w:lang w:val="zh-CN" w:eastAsia="zh-CN"/>
                    </w:rPr>
                    <w:t>污染物</w:t>
                  </w:r>
                  <w:r>
                    <w:rPr>
                      <w:rFonts w:hint="default" w:ascii="Times New Roman" w:hAnsi="Times New Roman" w:cs="Times New Roman"/>
                      <w:b/>
                      <w:bCs/>
                      <w:color w:val="auto"/>
                      <w:sz w:val="21"/>
                      <w:szCs w:val="21"/>
                      <w:highlight w:val="none"/>
                      <w:vertAlign w:val="baseline"/>
                      <w:lang w:val="en-US" w:eastAsia="zh-CN"/>
                    </w:rPr>
                    <w:t>产生</w:t>
                  </w:r>
                  <w:r>
                    <w:rPr>
                      <w:rFonts w:hint="default" w:ascii="Times New Roman" w:hAnsi="Times New Roman" w:eastAsia="宋体" w:cs="Times New Roman"/>
                      <w:b/>
                      <w:bCs/>
                      <w:color w:val="auto"/>
                      <w:sz w:val="21"/>
                      <w:szCs w:val="21"/>
                      <w:highlight w:val="none"/>
                      <w:vertAlign w:val="baseline"/>
                      <w:lang w:val="zh-CN" w:eastAsia="zh-CN"/>
                    </w:rPr>
                    <w:t>浓度mg/m</w:t>
                  </w:r>
                  <w:r>
                    <w:rPr>
                      <w:rFonts w:hint="default" w:ascii="Times New Roman" w:hAnsi="Times New Roman" w:eastAsia="宋体" w:cs="Times New Roman"/>
                      <w:b/>
                      <w:bCs/>
                      <w:color w:val="auto"/>
                      <w:sz w:val="21"/>
                      <w:szCs w:val="21"/>
                      <w:highlight w:val="none"/>
                      <w:vertAlign w:val="superscript"/>
                      <w:lang w:val="zh-CN" w:eastAsia="zh-CN"/>
                    </w:rPr>
                    <w:t>3</w:t>
                  </w:r>
                </w:p>
              </w:tc>
              <w:tc>
                <w:tcPr>
                  <w:tcW w:w="676" w:type="dxa"/>
                  <w:tcBorders>
                    <w:tl2br w:val="nil"/>
                    <w:tr2bl w:val="nil"/>
                  </w:tcBorders>
                  <w:vAlign w:val="center"/>
                </w:tcPr>
                <w:p w14:paraId="7294BC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zh-CN" w:eastAsia="zh-CN" w:bidi="ar-SA"/>
                    </w:rPr>
                  </w:pPr>
                  <w:r>
                    <w:rPr>
                      <w:rFonts w:hint="default" w:ascii="Times New Roman" w:hAnsi="Times New Roman" w:eastAsia="宋体" w:cs="Times New Roman"/>
                      <w:b/>
                      <w:bCs/>
                      <w:color w:val="auto"/>
                      <w:sz w:val="21"/>
                      <w:szCs w:val="21"/>
                      <w:highlight w:val="none"/>
                      <w:vertAlign w:val="baseline"/>
                      <w:lang w:val="zh-CN" w:eastAsia="zh-CN"/>
                    </w:rPr>
                    <w:t>污染物</w:t>
                  </w:r>
                  <w:r>
                    <w:rPr>
                      <w:rFonts w:hint="default" w:ascii="Times New Roman" w:hAnsi="Times New Roman" w:cs="Times New Roman"/>
                      <w:b/>
                      <w:bCs/>
                      <w:color w:val="auto"/>
                      <w:sz w:val="21"/>
                      <w:szCs w:val="21"/>
                      <w:highlight w:val="none"/>
                      <w:vertAlign w:val="baseline"/>
                      <w:lang w:val="en-US" w:eastAsia="zh-CN"/>
                    </w:rPr>
                    <w:t>产生</w:t>
                  </w:r>
                  <w:r>
                    <w:rPr>
                      <w:rFonts w:hint="default" w:ascii="Times New Roman" w:hAnsi="Times New Roman" w:eastAsia="宋体" w:cs="Times New Roman"/>
                      <w:b/>
                      <w:bCs/>
                      <w:color w:val="auto"/>
                      <w:sz w:val="21"/>
                      <w:szCs w:val="21"/>
                      <w:highlight w:val="none"/>
                      <w:vertAlign w:val="baseline"/>
                      <w:lang w:val="zh-CN" w:eastAsia="zh-CN"/>
                    </w:rPr>
                    <w:t>速率</w:t>
                  </w:r>
                  <w:r>
                    <w:rPr>
                      <w:rFonts w:hint="default" w:ascii="Times New Roman" w:hAnsi="Times New Roman" w:eastAsia="宋体" w:cs="Times New Roman"/>
                      <w:b/>
                      <w:bCs/>
                      <w:color w:val="auto"/>
                      <w:sz w:val="21"/>
                      <w:szCs w:val="21"/>
                      <w:highlight w:val="none"/>
                      <w:vertAlign w:val="baseline"/>
                      <w:lang w:val="en-US" w:eastAsia="zh-CN"/>
                    </w:rPr>
                    <w:t>kg/h</w:t>
                  </w:r>
                </w:p>
              </w:tc>
              <w:tc>
                <w:tcPr>
                  <w:tcW w:w="586" w:type="dxa"/>
                  <w:tcBorders>
                    <w:tl2br w:val="nil"/>
                    <w:tr2bl w:val="nil"/>
                  </w:tcBorders>
                  <w:vAlign w:val="center"/>
                </w:tcPr>
                <w:p w14:paraId="6A0A5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Fonts w:hint="default" w:ascii="Times New Roman" w:hAnsi="Times New Roman" w:eastAsia="宋体" w:cs="Times New Roman"/>
                      <w:b/>
                      <w:bCs/>
                      <w:color w:val="auto"/>
                      <w:sz w:val="21"/>
                      <w:szCs w:val="21"/>
                      <w:highlight w:val="none"/>
                      <w:vertAlign w:val="baseline"/>
                      <w:lang w:val="zh-CN" w:eastAsia="zh-CN"/>
                    </w:rPr>
                    <w:t>排放</w:t>
                  </w:r>
                </w:p>
                <w:p w14:paraId="596C2B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形式</w:t>
                  </w:r>
                </w:p>
              </w:tc>
              <w:tc>
                <w:tcPr>
                  <w:tcW w:w="1301" w:type="dxa"/>
                  <w:tcBorders>
                    <w:tl2br w:val="nil"/>
                    <w:tr2bl w:val="nil"/>
                  </w:tcBorders>
                  <w:vAlign w:val="center"/>
                </w:tcPr>
                <w:p w14:paraId="47B31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治理设施（名称、处理能力、收集效率、去除率）</w:t>
                  </w:r>
                </w:p>
              </w:tc>
              <w:tc>
                <w:tcPr>
                  <w:tcW w:w="917" w:type="dxa"/>
                  <w:tcBorders>
                    <w:tl2br w:val="nil"/>
                    <w:tr2bl w:val="nil"/>
                  </w:tcBorders>
                  <w:vAlign w:val="center"/>
                </w:tcPr>
                <w:p w14:paraId="752018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污染物排放浓度mg/m</w:t>
                  </w:r>
                  <w:r>
                    <w:rPr>
                      <w:rFonts w:hint="default" w:ascii="Times New Roman" w:hAnsi="Times New Roman" w:eastAsia="宋体" w:cs="Times New Roman"/>
                      <w:b/>
                      <w:bCs/>
                      <w:color w:val="auto"/>
                      <w:sz w:val="21"/>
                      <w:szCs w:val="21"/>
                      <w:highlight w:val="none"/>
                      <w:vertAlign w:val="superscript"/>
                      <w:lang w:val="zh-CN" w:eastAsia="zh-CN"/>
                    </w:rPr>
                    <w:t>3</w:t>
                  </w:r>
                </w:p>
              </w:tc>
              <w:tc>
                <w:tcPr>
                  <w:tcW w:w="769" w:type="dxa"/>
                  <w:tcBorders>
                    <w:tl2br w:val="nil"/>
                    <w:tr2bl w:val="nil"/>
                  </w:tcBorders>
                  <w:vAlign w:val="center"/>
                </w:tcPr>
                <w:p w14:paraId="20C62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污染物排放速率</w:t>
                  </w:r>
                  <w:r>
                    <w:rPr>
                      <w:rFonts w:hint="default" w:ascii="Times New Roman" w:hAnsi="Times New Roman" w:eastAsia="宋体" w:cs="Times New Roman"/>
                      <w:b/>
                      <w:bCs/>
                      <w:color w:val="auto"/>
                      <w:sz w:val="21"/>
                      <w:szCs w:val="21"/>
                      <w:highlight w:val="none"/>
                      <w:vertAlign w:val="baseline"/>
                      <w:lang w:val="en-US" w:eastAsia="zh-CN"/>
                    </w:rPr>
                    <w:t>kg/h</w:t>
                  </w:r>
                </w:p>
              </w:tc>
              <w:tc>
                <w:tcPr>
                  <w:tcW w:w="717" w:type="dxa"/>
                  <w:tcBorders>
                    <w:tl2br w:val="nil"/>
                    <w:tr2bl w:val="nil"/>
                  </w:tcBorders>
                  <w:vAlign w:val="center"/>
                </w:tcPr>
                <w:p w14:paraId="1FB7E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污染物排放量t/a</w:t>
                  </w:r>
                </w:p>
              </w:tc>
            </w:tr>
            <w:tr w14:paraId="377B1AF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888" w:hRule="atLeast"/>
              </w:trPr>
              <w:tc>
                <w:tcPr>
                  <w:tcW w:w="487" w:type="dxa"/>
                  <w:vMerge w:val="restart"/>
                  <w:tcBorders>
                    <w:tl2br w:val="nil"/>
                    <w:tr2bl w:val="nil"/>
                  </w:tcBorders>
                  <w:vAlign w:val="center"/>
                </w:tcPr>
                <w:p w14:paraId="54B5F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锅炉</w:t>
                  </w:r>
                </w:p>
              </w:tc>
              <w:tc>
                <w:tcPr>
                  <w:tcW w:w="487" w:type="dxa"/>
                  <w:vMerge w:val="restart"/>
                  <w:tcBorders>
                    <w:tl2br w:val="nil"/>
                    <w:tr2bl w:val="nil"/>
                  </w:tcBorders>
                  <w:vAlign w:val="center"/>
                </w:tcPr>
                <w:p w14:paraId="79209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天然气燃烧</w:t>
                  </w:r>
                </w:p>
              </w:tc>
              <w:tc>
                <w:tcPr>
                  <w:tcW w:w="522" w:type="dxa"/>
                  <w:tcBorders>
                    <w:tl2br w:val="nil"/>
                    <w:tr2bl w:val="nil"/>
                  </w:tcBorders>
                  <w:vAlign w:val="center"/>
                </w:tcPr>
                <w:p w14:paraId="6B7E6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694" w:type="dxa"/>
                  <w:tcBorders>
                    <w:tl2br w:val="nil"/>
                    <w:tr2bl w:val="nil"/>
                  </w:tcBorders>
                  <w:vAlign w:val="center"/>
                </w:tcPr>
                <w:p w14:paraId="081B7A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w:t>
                  </w:r>
                </w:p>
                <w:p w14:paraId="3E0B2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53</w:t>
                  </w:r>
                </w:p>
              </w:tc>
              <w:tc>
                <w:tcPr>
                  <w:tcW w:w="798" w:type="dxa"/>
                  <w:tcBorders>
                    <w:tl2br w:val="nil"/>
                    <w:tr2bl w:val="nil"/>
                  </w:tcBorders>
                  <w:vAlign w:val="center"/>
                </w:tcPr>
                <w:p w14:paraId="605BBC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4.9</w:t>
                  </w:r>
                </w:p>
              </w:tc>
              <w:tc>
                <w:tcPr>
                  <w:tcW w:w="676" w:type="dxa"/>
                  <w:tcBorders>
                    <w:tl2br w:val="nil"/>
                    <w:tr2bl w:val="nil"/>
                  </w:tcBorders>
                  <w:vAlign w:val="center"/>
                </w:tcPr>
                <w:p w14:paraId="5E332A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0.0018</w:t>
                  </w:r>
                </w:p>
              </w:tc>
              <w:tc>
                <w:tcPr>
                  <w:tcW w:w="586" w:type="dxa"/>
                  <w:tcBorders>
                    <w:tl2br w:val="nil"/>
                    <w:tr2bl w:val="nil"/>
                  </w:tcBorders>
                  <w:vAlign w:val="center"/>
                </w:tcPr>
                <w:p w14:paraId="1CA176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有组织</w:t>
                  </w:r>
                </w:p>
              </w:tc>
              <w:tc>
                <w:tcPr>
                  <w:tcW w:w="1301" w:type="dxa"/>
                  <w:vMerge w:val="restart"/>
                  <w:tcBorders>
                    <w:tl2br w:val="nil"/>
                    <w:tr2bl w:val="nil"/>
                  </w:tcBorders>
                  <w:vAlign w:val="center"/>
                </w:tcPr>
                <w:p w14:paraId="5AFA3A1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u w:val="none"/>
                      <w:lang w:val="en-US" w:eastAsia="zh-CN"/>
                    </w:rPr>
                    <w:t>低氮燃烧</w:t>
                  </w:r>
                  <w:r>
                    <w:rPr>
                      <w:rFonts w:hint="eastAsia" w:cs="Times New Roman"/>
                      <w:color w:val="auto"/>
                      <w:sz w:val="21"/>
                      <w:szCs w:val="21"/>
                      <w:u w:val="none"/>
                      <w:lang w:val="en-US" w:eastAsia="zh-CN"/>
                    </w:rPr>
                    <w:t>装置+8</w:t>
                  </w:r>
                  <w:r>
                    <w:rPr>
                      <w:rFonts w:hint="default" w:ascii="Times New Roman" w:hAnsi="Times New Roman" w:cs="Times New Roman"/>
                      <w:color w:val="auto"/>
                      <w:sz w:val="21"/>
                      <w:szCs w:val="21"/>
                      <w:u w:val="none"/>
                      <w:lang w:val="en-US" w:eastAsia="zh-CN"/>
                    </w:rPr>
                    <w:t>m高排气筒排放</w:t>
                  </w:r>
                  <w:r>
                    <w:rPr>
                      <w:rFonts w:hint="default" w:ascii="Times New Roman" w:hAnsi="Times New Roman" w:eastAsia="宋体" w:cs="Times New Roman"/>
                      <w:color w:val="auto"/>
                      <w:sz w:val="21"/>
                      <w:szCs w:val="21"/>
                      <w:highlight w:val="none"/>
                      <w:u w:val="none"/>
                      <w:vertAlign w:val="baseline"/>
                      <w:lang w:val="en-US" w:eastAsia="zh-CN"/>
                    </w:rPr>
                    <w:t>（DA001）</w:t>
                  </w:r>
                </w:p>
              </w:tc>
              <w:tc>
                <w:tcPr>
                  <w:tcW w:w="917" w:type="dxa"/>
                  <w:tcBorders>
                    <w:tl2br w:val="nil"/>
                    <w:tr2bl w:val="nil"/>
                  </w:tcBorders>
                  <w:shd w:val="clear" w:color="auto" w:fill="auto"/>
                  <w:vAlign w:val="center"/>
                </w:tcPr>
                <w:p w14:paraId="1847F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4.9</w:t>
                  </w:r>
                </w:p>
              </w:tc>
              <w:tc>
                <w:tcPr>
                  <w:tcW w:w="769" w:type="dxa"/>
                  <w:tcBorders>
                    <w:tl2br w:val="nil"/>
                    <w:tr2bl w:val="nil"/>
                  </w:tcBorders>
                  <w:shd w:val="clear" w:color="auto" w:fill="auto"/>
                  <w:vAlign w:val="center"/>
                </w:tcPr>
                <w:p w14:paraId="35AE78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w:t>
                  </w:r>
                </w:p>
                <w:p w14:paraId="7B256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18</w:t>
                  </w:r>
                </w:p>
              </w:tc>
              <w:tc>
                <w:tcPr>
                  <w:tcW w:w="717" w:type="dxa"/>
                  <w:tcBorders>
                    <w:tl2br w:val="nil"/>
                    <w:tr2bl w:val="nil"/>
                  </w:tcBorders>
                  <w:shd w:val="clear" w:color="auto" w:fill="auto"/>
                  <w:vAlign w:val="center"/>
                </w:tcPr>
                <w:p w14:paraId="4A957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w:t>
                  </w:r>
                </w:p>
                <w:p w14:paraId="55E808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532</w:t>
                  </w:r>
                </w:p>
              </w:tc>
            </w:tr>
            <w:tr w14:paraId="5686EC0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1" w:hRule="atLeast"/>
              </w:trPr>
              <w:tc>
                <w:tcPr>
                  <w:tcW w:w="487" w:type="dxa"/>
                  <w:vMerge w:val="continue"/>
                  <w:tcBorders>
                    <w:tl2br w:val="nil"/>
                    <w:tr2bl w:val="nil"/>
                  </w:tcBorders>
                  <w:vAlign w:val="center"/>
                </w:tcPr>
                <w:p w14:paraId="1B3AB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487" w:type="dxa"/>
                  <w:vMerge w:val="continue"/>
                  <w:tcBorders>
                    <w:tl2br w:val="nil"/>
                    <w:tr2bl w:val="nil"/>
                  </w:tcBorders>
                  <w:vAlign w:val="center"/>
                </w:tcPr>
                <w:p w14:paraId="3110C5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22" w:type="dxa"/>
                  <w:tcBorders>
                    <w:tl2br w:val="nil"/>
                    <w:tr2bl w:val="nil"/>
                  </w:tcBorders>
                  <w:vAlign w:val="center"/>
                </w:tcPr>
                <w:p w14:paraId="487D7F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二氧化硫</w:t>
                  </w:r>
                </w:p>
              </w:tc>
              <w:tc>
                <w:tcPr>
                  <w:tcW w:w="694" w:type="dxa"/>
                  <w:tcBorders>
                    <w:tl2br w:val="nil"/>
                    <w:tr2bl w:val="nil"/>
                  </w:tcBorders>
                  <w:vAlign w:val="center"/>
                </w:tcPr>
                <w:p w14:paraId="3A4D0F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0.008</w:t>
                  </w:r>
                </w:p>
              </w:tc>
              <w:tc>
                <w:tcPr>
                  <w:tcW w:w="798" w:type="dxa"/>
                  <w:tcBorders>
                    <w:tl2br w:val="nil"/>
                    <w:tr2bl w:val="nil"/>
                  </w:tcBorders>
                  <w:vAlign w:val="center"/>
                </w:tcPr>
                <w:p w14:paraId="11A1B7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7.43</w:t>
                  </w:r>
                </w:p>
              </w:tc>
              <w:tc>
                <w:tcPr>
                  <w:tcW w:w="676" w:type="dxa"/>
                  <w:tcBorders>
                    <w:tl2br w:val="nil"/>
                    <w:tr2bl w:val="nil"/>
                  </w:tcBorders>
                  <w:vAlign w:val="center"/>
                </w:tcPr>
                <w:p w14:paraId="69F202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0.0027</w:t>
                  </w:r>
                </w:p>
              </w:tc>
              <w:tc>
                <w:tcPr>
                  <w:tcW w:w="586" w:type="dxa"/>
                  <w:tcBorders>
                    <w:tl2br w:val="nil"/>
                    <w:tr2bl w:val="nil"/>
                  </w:tcBorders>
                  <w:vAlign w:val="center"/>
                </w:tcPr>
                <w:p w14:paraId="3571F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有组织</w:t>
                  </w:r>
                </w:p>
              </w:tc>
              <w:tc>
                <w:tcPr>
                  <w:tcW w:w="1301" w:type="dxa"/>
                  <w:vMerge w:val="continue"/>
                  <w:tcBorders>
                    <w:tl2br w:val="nil"/>
                    <w:tr2bl w:val="nil"/>
                  </w:tcBorders>
                  <w:vAlign w:val="center"/>
                </w:tcPr>
                <w:p w14:paraId="73C80F0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p>
              </w:tc>
              <w:tc>
                <w:tcPr>
                  <w:tcW w:w="917" w:type="dxa"/>
                  <w:tcBorders>
                    <w:tl2br w:val="nil"/>
                    <w:tr2bl w:val="nil"/>
                  </w:tcBorders>
                  <w:shd w:val="clear" w:color="auto" w:fill="auto"/>
                  <w:vAlign w:val="center"/>
                </w:tcPr>
                <w:p w14:paraId="53E25C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7.43</w:t>
                  </w:r>
                </w:p>
              </w:tc>
              <w:tc>
                <w:tcPr>
                  <w:tcW w:w="769" w:type="dxa"/>
                  <w:tcBorders>
                    <w:tl2br w:val="nil"/>
                    <w:tr2bl w:val="nil"/>
                  </w:tcBorders>
                  <w:shd w:val="clear" w:color="auto" w:fill="auto"/>
                  <w:vAlign w:val="center"/>
                </w:tcPr>
                <w:p w14:paraId="6D71C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w:t>
                  </w:r>
                </w:p>
                <w:p w14:paraId="0AE89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w:t>
                  </w:r>
                </w:p>
              </w:tc>
              <w:tc>
                <w:tcPr>
                  <w:tcW w:w="717" w:type="dxa"/>
                  <w:tcBorders>
                    <w:tl2br w:val="nil"/>
                    <w:tr2bl w:val="nil"/>
                  </w:tcBorders>
                  <w:shd w:val="clear" w:color="auto" w:fill="auto"/>
                  <w:vAlign w:val="center"/>
                </w:tcPr>
                <w:p w14:paraId="1619F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0.008</w:t>
                  </w:r>
                </w:p>
              </w:tc>
            </w:tr>
            <w:tr w14:paraId="2999B6B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948" w:hRule="atLeast"/>
              </w:trPr>
              <w:tc>
                <w:tcPr>
                  <w:tcW w:w="487" w:type="dxa"/>
                  <w:vMerge w:val="continue"/>
                  <w:tcBorders>
                    <w:tl2br w:val="nil"/>
                    <w:tr2bl w:val="nil"/>
                  </w:tcBorders>
                  <w:vAlign w:val="center"/>
                </w:tcPr>
                <w:p w14:paraId="1A36F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87" w:type="dxa"/>
                  <w:vMerge w:val="continue"/>
                  <w:tcBorders>
                    <w:tl2br w:val="nil"/>
                    <w:tr2bl w:val="nil"/>
                  </w:tcBorders>
                  <w:vAlign w:val="center"/>
                </w:tcPr>
                <w:p w14:paraId="3544F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22" w:type="dxa"/>
                  <w:tcBorders>
                    <w:tl2br w:val="nil"/>
                    <w:tr2bl w:val="nil"/>
                  </w:tcBorders>
                  <w:vAlign w:val="center"/>
                </w:tcPr>
                <w:p w14:paraId="125807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氮氧化物</w:t>
                  </w:r>
                </w:p>
              </w:tc>
              <w:tc>
                <w:tcPr>
                  <w:tcW w:w="694" w:type="dxa"/>
                  <w:tcBorders>
                    <w:tl2br w:val="nil"/>
                    <w:tr2bl w:val="nil"/>
                  </w:tcBorders>
                  <w:vAlign w:val="center"/>
                </w:tcPr>
                <w:p w14:paraId="6FEE7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0.03</w:t>
                  </w:r>
                </w:p>
                <w:p w14:paraId="62C55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03</w:t>
                  </w:r>
                </w:p>
              </w:tc>
              <w:tc>
                <w:tcPr>
                  <w:tcW w:w="798" w:type="dxa"/>
                  <w:tcBorders>
                    <w:tl2br w:val="nil"/>
                    <w:tr2bl w:val="nil"/>
                  </w:tcBorders>
                  <w:vAlign w:val="center"/>
                </w:tcPr>
                <w:p w14:paraId="75F59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28.13</w:t>
                  </w:r>
                </w:p>
              </w:tc>
              <w:tc>
                <w:tcPr>
                  <w:tcW w:w="676" w:type="dxa"/>
                  <w:tcBorders>
                    <w:tl2br w:val="nil"/>
                    <w:tr2bl w:val="nil"/>
                  </w:tcBorders>
                  <w:vAlign w:val="center"/>
                </w:tcPr>
                <w:p w14:paraId="269FDB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0.0105</w:t>
                  </w:r>
                </w:p>
              </w:tc>
              <w:tc>
                <w:tcPr>
                  <w:tcW w:w="586" w:type="dxa"/>
                  <w:tcBorders>
                    <w:tl2br w:val="nil"/>
                    <w:tr2bl w:val="nil"/>
                  </w:tcBorders>
                  <w:vAlign w:val="center"/>
                </w:tcPr>
                <w:p w14:paraId="45384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w:t>
                  </w:r>
                </w:p>
              </w:tc>
              <w:tc>
                <w:tcPr>
                  <w:tcW w:w="1301" w:type="dxa"/>
                  <w:vMerge w:val="continue"/>
                  <w:tcBorders>
                    <w:tl2br w:val="nil"/>
                    <w:tr2bl w:val="nil"/>
                  </w:tcBorders>
                  <w:vAlign w:val="center"/>
                </w:tcPr>
                <w:p w14:paraId="069AF1E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p>
              </w:tc>
              <w:tc>
                <w:tcPr>
                  <w:tcW w:w="917" w:type="dxa"/>
                  <w:tcBorders>
                    <w:tl2br w:val="nil"/>
                    <w:tr2bl w:val="nil"/>
                  </w:tcBorders>
                  <w:shd w:val="clear" w:color="auto" w:fill="auto"/>
                  <w:vAlign w:val="center"/>
                </w:tcPr>
                <w:p w14:paraId="7FC04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28.13</w:t>
                  </w:r>
                </w:p>
              </w:tc>
              <w:tc>
                <w:tcPr>
                  <w:tcW w:w="769" w:type="dxa"/>
                  <w:tcBorders>
                    <w:tl2br w:val="nil"/>
                    <w:tr2bl w:val="nil"/>
                  </w:tcBorders>
                  <w:shd w:val="clear" w:color="auto" w:fill="auto"/>
                  <w:vAlign w:val="center"/>
                </w:tcPr>
                <w:p w14:paraId="60D6C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0.01</w:t>
                  </w:r>
                </w:p>
                <w:p w14:paraId="04B0F1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05</w:t>
                  </w:r>
                </w:p>
              </w:tc>
              <w:tc>
                <w:tcPr>
                  <w:tcW w:w="717" w:type="dxa"/>
                  <w:tcBorders>
                    <w:tl2br w:val="nil"/>
                    <w:tr2bl w:val="nil"/>
                  </w:tcBorders>
                  <w:shd w:val="clear" w:color="auto" w:fill="auto"/>
                  <w:vAlign w:val="center"/>
                </w:tcPr>
                <w:p w14:paraId="46D49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0.03</w:t>
                  </w:r>
                </w:p>
                <w:p w14:paraId="3F290F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03</w:t>
                  </w:r>
                </w:p>
              </w:tc>
            </w:tr>
            <w:tr w14:paraId="4E524A8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200" w:hRule="atLeast"/>
              </w:trPr>
              <w:tc>
                <w:tcPr>
                  <w:tcW w:w="487" w:type="dxa"/>
                  <w:vMerge w:val="restart"/>
                  <w:tcBorders>
                    <w:tl2br w:val="nil"/>
                    <w:tr2bl w:val="nil"/>
                  </w:tcBorders>
                  <w:vAlign w:val="center"/>
                </w:tcPr>
                <w:p w14:paraId="2BB63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油辣椒</w:t>
                  </w:r>
                </w:p>
              </w:tc>
              <w:tc>
                <w:tcPr>
                  <w:tcW w:w="487" w:type="dxa"/>
                  <w:vMerge w:val="restart"/>
                  <w:tcBorders>
                    <w:tl2br w:val="nil"/>
                    <w:tr2bl w:val="nil"/>
                  </w:tcBorders>
                  <w:vAlign w:val="center"/>
                </w:tcPr>
                <w:p w14:paraId="1E2A7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炒制</w:t>
                  </w:r>
                  <w:r>
                    <w:rPr>
                      <w:rFonts w:hint="default" w:ascii="Times New Roman" w:hAnsi="Times New Roman" w:eastAsia="宋体" w:cs="Times New Roman"/>
                      <w:color w:val="auto"/>
                      <w:sz w:val="21"/>
                      <w:szCs w:val="21"/>
                      <w:highlight w:val="none"/>
                      <w:vertAlign w:val="baseline"/>
                      <w:lang w:val="en-US" w:eastAsia="zh-CN"/>
                    </w:rPr>
                    <w:t>工序</w:t>
                  </w:r>
                </w:p>
              </w:tc>
              <w:tc>
                <w:tcPr>
                  <w:tcW w:w="522" w:type="dxa"/>
                  <w:vMerge w:val="restart"/>
                  <w:tcBorders>
                    <w:tl2br w:val="nil"/>
                    <w:tr2bl w:val="nil"/>
                  </w:tcBorders>
                  <w:vAlign w:val="center"/>
                </w:tcPr>
                <w:p w14:paraId="70868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油烟</w:t>
                  </w:r>
                </w:p>
              </w:tc>
              <w:tc>
                <w:tcPr>
                  <w:tcW w:w="694" w:type="dxa"/>
                  <w:vMerge w:val="restart"/>
                  <w:tcBorders>
                    <w:tl2br w:val="nil"/>
                    <w:tr2bl w:val="nil"/>
                  </w:tcBorders>
                  <w:vAlign w:val="center"/>
                </w:tcPr>
                <w:p w14:paraId="2D23E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0.763</w:t>
                  </w:r>
                </w:p>
              </w:tc>
              <w:tc>
                <w:tcPr>
                  <w:tcW w:w="798" w:type="dxa"/>
                  <w:vMerge w:val="restart"/>
                  <w:tcBorders>
                    <w:tl2br w:val="nil"/>
                    <w:tr2bl w:val="nil"/>
                  </w:tcBorders>
                  <w:vAlign w:val="center"/>
                </w:tcPr>
                <w:p w14:paraId="256E67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15.9</w:t>
                  </w:r>
                </w:p>
              </w:tc>
              <w:tc>
                <w:tcPr>
                  <w:tcW w:w="676" w:type="dxa"/>
                  <w:vMerge w:val="restart"/>
                  <w:tcBorders>
                    <w:tl2br w:val="nil"/>
                    <w:tr2bl w:val="nil"/>
                  </w:tcBorders>
                  <w:vAlign w:val="center"/>
                </w:tcPr>
                <w:p w14:paraId="23E933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0.3179</w:t>
                  </w:r>
                </w:p>
              </w:tc>
              <w:tc>
                <w:tcPr>
                  <w:tcW w:w="586" w:type="dxa"/>
                  <w:tcBorders>
                    <w:tl2br w:val="nil"/>
                    <w:tr2bl w:val="nil"/>
                  </w:tcBorders>
                  <w:vAlign w:val="center"/>
                </w:tcPr>
                <w:p w14:paraId="61955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w:t>
                  </w:r>
                </w:p>
              </w:tc>
              <w:tc>
                <w:tcPr>
                  <w:tcW w:w="1301" w:type="dxa"/>
                  <w:vMerge w:val="restart"/>
                  <w:tcBorders>
                    <w:tl2br w:val="nil"/>
                    <w:tr2bl w:val="nil"/>
                  </w:tcBorders>
                  <w:vAlign w:val="center"/>
                </w:tcPr>
                <w:p w14:paraId="020608D4">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油烟经过集气罩收集后进入油烟净化器</w:t>
                  </w:r>
                  <w:r>
                    <w:rPr>
                      <w:rFonts w:hint="eastAsia" w:cs="Times New Roman"/>
                      <w:color w:val="auto"/>
                      <w:sz w:val="21"/>
                      <w:szCs w:val="21"/>
                      <w:highlight w:val="none"/>
                      <w:vertAlign w:val="baseline"/>
                      <w:lang w:val="en-US" w:eastAsia="zh-CN"/>
                    </w:rPr>
                    <w:t>（收集效率85%，处理效率90%）</w:t>
                  </w:r>
                  <w:r>
                    <w:rPr>
                      <w:rFonts w:hint="default" w:ascii="Times New Roman" w:hAnsi="Times New Roman" w:cs="Times New Roman"/>
                      <w:color w:val="auto"/>
                      <w:sz w:val="21"/>
                      <w:szCs w:val="21"/>
                      <w:highlight w:val="none"/>
                      <w:vertAlign w:val="baseline"/>
                      <w:lang w:val="en-US" w:eastAsia="zh-CN"/>
                    </w:rPr>
                    <w:t>处理后</w:t>
                  </w:r>
                  <w:r>
                    <w:rPr>
                      <w:rFonts w:hint="default" w:ascii="Times New Roman" w:hAnsi="Times New Roman" w:eastAsia="宋体" w:cs="Times New Roman"/>
                      <w:color w:val="auto"/>
                      <w:sz w:val="21"/>
                      <w:szCs w:val="21"/>
                      <w:highlight w:val="none"/>
                      <w:vertAlign w:val="baseline"/>
                      <w:lang w:val="en-US" w:eastAsia="zh-CN"/>
                    </w:rPr>
                    <w:t>最终从</w:t>
                  </w:r>
                  <w:r>
                    <w:rPr>
                      <w:rFonts w:hint="default" w:ascii="Times New Roman" w:hAnsi="Times New Roman" w:cs="Times New Roman"/>
                      <w:color w:val="auto"/>
                      <w:sz w:val="21"/>
                      <w:szCs w:val="21"/>
                      <w:highlight w:val="none"/>
                      <w:u w:val="none"/>
                      <w:lang w:val="en-US" w:eastAsia="zh-CN"/>
                    </w:rPr>
                    <w:t>15m高排气筒</w:t>
                  </w:r>
                  <w:r>
                    <w:rPr>
                      <w:rFonts w:hint="default" w:ascii="Times New Roman" w:hAnsi="Times New Roman" w:eastAsia="宋体" w:cs="Times New Roman"/>
                      <w:color w:val="auto"/>
                      <w:sz w:val="21"/>
                      <w:szCs w:val="21"/>
                      <w:highlight w:val="none"/>
                      <w:u w:val="none"/>
                      <w:vertAlign w:val="baseline"/>
                      <w:lang w:val="en-US" w:eastAsia="zh-CN"/>
                    </w:rPr>
                    <w:t>（DA002）达标排放</w:t>
                  </w:r>
                </w:p>
              </w:tc>
              <w:tc>
                <w:tcPr>
                  <w:tcW w:w="917" w:type="dxa"/>
                  <w:tcBorders>
                    <w:tl2br w:val="nil"/>
                    <w:tr2bl w:val="nil"/>
                  </w:tcBorders>
                  <w:vAlign w:val="center"/>
                </w:tcPr>
                <w:p w14:paraId="54C200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cs="Times New Roman"/>
                      <w:color w:val="auto"/>
                      <w:sz w:val="21"/>
                      <w:szCs w:val="21"/>
                      <w:highlight w:val="none"/>
                      <w:vertAlign w:val="baseline"/>
                      <w:lang w:val="en-US" w:eastAsia="zh-CN"/>
                    </w:rPr>
                    <w:t>8</w:t>
                  </w:r>
                </w:p>
              </w:tc>
              <w:tc>
                <w:tcPr>
                  <w:tcW w:w="769" w:type="dxa"/>
                  <w:tcBorders>
                    <w:tl2br w:val="nil"/>
                    <w:tr2bl w:val="nil"/>
                  </w:tcBorders>
                  <w:vAlign w:val="center"/>
                </w:tcPr>
                <w:p w14:paraId="731E7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0.027</w:t>
                  </w:r>
                </w:p>
              </w:tc>
              <w:tc>
                <w:tcPr>
                  <w:tcW w:w="717" w:type="dxa"/>
                  <w:tcBorders>
                    <w:tl2br w:val="nil"/>
                    <w:tr2bl w:val="nil"/>
                  </w:tcBorders>
                  <w:vAlign w:val="center"/>
                </w:tcPr>
                <w:p w14:paraId="1981AC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0.0649</w:t>
                  </w:r>
                </w:p>
              </w:tc>
            </w:tr>
            <w:tr w14:paraId="6C0065B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67" w:hRule="atLeast"/>
              </w:trPr>
              <w:tc>
                <w:tcPr>
                  <w:tcW w:w="487" w:type="dxa"/>
                  <w:vMerge w:val="continue"/>
                  <w:tcBorders>
                    <w:tl2br w:val="nil"/>
                    <w:tr2bl w:val="nil"/>
                  </w:tcBorders>
                  <w:vAlign w:val="center"/>
                </w:tcPr>
                <w:p w14:paraId="57D67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487" w:type="dxa"/>
                  <w:vMerge w:val="continue"/>
                  <w:tcBorders>
                    <w:tl2br w:val="nil"/>
                    <w:tr2bl w:val="nil"/>
                  </w:tcBorders>
                  <w:vAlign w:val="center"/>
                </w:tcPr>
                <w:p w14:paraId="51A5E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22" w:type="dxa"/>
                  <w:vMerge w:val="continue"/>
                  <w:tcBorders>
                    <w:tl2br w:val="nil"/>
                    <w:tr2bl w:val="nil"/>
                  </w:tcBorders>
                  <w:vAlign w:val="center"/>
                </w:tcPr>
                <w:p w14:paraId="31494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94" w:type="dxa"/>
                  <w:vMerge w:val="continue"/>
                  <w:tcBorders>
                    <w:tl2br w:val="nil"/>
                    <w:tr2bl w:val="nil"/>
                  </w:tcBorders>
                  <w:vAlign w:val="center"/>
                </w:tcPr>
                <w:p w14:paraId="55CFA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98" w:type="dxa"/>
                  <w:vMerge w:val="continue"/>
                  <w:tcBorders>
                    <w:tl2br w:val="nil"/>
                    <w:tr2bl w:val="nil"/>
                  </w:tcBorders>
                  <w:vAlign w:val="center"/>
                </w:tcPr>
                <w:p w14:paraId="36AF06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76" w:type="dxa"/>
                  <w:vMerge w:val="continue"/>
                  <w:tcBorders>
                    <w:tl2br w:val="nil"/>
                    <w:tr2bl w:val="nil"/>
                  </w:tcBorders>
                  <w:vAlign w:val="center"/>
                </w:tcPr>
                <w:p w14:paraId="63EED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86" w:type="dxa"/>
                  <w:tcBorders>
                    <w:tl2br w:val="nil"/>
                    <w:tr2bl w:val="nil"/>
                  </w:tcBorders>
                  <w:vAlign w:val="center"/>
                </w:tcPr>
                <w:p w14:paraId="4AB34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w:t>
                  </w:r>
                </w:p>
              </w:tc>
              <w:tc>
                <w:tcPr>
                  <w:tcW w:w="1301" w:type="dxa"/>
                  <w:vMerge w:val="continue"/>
                  <w:tcBorders>
                    <w:tl2br w:val="nil"/>
                    <w:tr2bl w:val="nil"/>
                  </w:tcBorders>
                  <w:vAlign w:val="center"/>
                </w:tcPr>
                <w:p w14:paraId="76B26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7" w:type="dxa"/>
                  <w:tcBorders>
                    <w:tl2br w:val="nil"/>
                    <w:tr2bl w:val="nil"/>
                  </w:tcBorders>
                  <w:vAlign w:val="center"/>
                </w:tcPr>
                <w:p w14:paraId="3FF2A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69" w:type="dxa"/>
                  <w:tcBorders>
                    <w:tl2br w:val="nil"/>
                    <w:tr2bl w:val="nil"/>
                  </w:tcBorders>
                  <w:vAlign w:val="center"/>
                </w:tcPr>
                <w:p w14:paraId="5A44C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0.04</w:t>
                  </w:r>
                </w:p>
                <w:p w14:paraId="20855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77</w:t>
                  </w:r>
                </w:p>
              </w:tc>
              <w:tc>
                <w:tcPr>
                  <w:tcW w:w="717" w:type="dxa"/>
                  <w:tcBorders>
                    <w:tl2br w:val="nil"/>
                    <w:tr2bl w:val="nil"/>
                  </w:tcBorders>
                  <w:vAlign w:val="center"/>
                </w:tcPr>
                <w:p w14:paraId="490DB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0.11445</w:t>
                  </w:r>
                </w:p>
              </w:tc>
            </w:tr>
            <w:tr w14:paraId="536767F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485" w:hRule="atLeast"/>
              </w:trPr>
              <w:tc>
                <w:tcPr>
                  <w:tcW w:w="487" w:type="dxa"/>
                  <w:vMerge w:val="restart"/>
                  <w:tcBorders>
                    <w:tl2br w:val="nil"/>
                    <w:tr2bl w:val="nil"/>
                  </w:tcBorders>
                  <w:vAlign w:val="center"/>
                </w:tcPr>
                <w:p w14:paraId="369F99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污水处理设施</w:t>
                  </w:r>
                </w:p>
              </w:tc>
              <w:tc>
                <w:tcPr>
                  <w:tcW w:w="487" w:type="dxa"/>
                  <w:vMerge w:val="restart"/>
                  <w:tcBorders>
                    <w:tl2br w:val="nil"/>
                    <w:tr2bl w:val="nil"/>
                  </w:tcBorders>
                  <w:vAlign w:val="center"/>
                </w:tcPr>
                <w:p w14:paraId="538DF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废水处理</w:t>
                  </w:r>
                </w:p>
              </w:tc>
              <w:tc>
                <w:tcPr>
                  <w:tcW w:w="522" w:type="dxa"/>
                  <w:tcBorders>
                    <w:tl2br w:val="nil"/>
                    <w:tr2bl w:val="nil"/>
                  </w:tcBorders>
                  <w:vAlign w:val="center"/>
                </w:tcPr>
                <w:p w14:paraId="49E94B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氨</w:t>
                  </w:r>
                </w:p>
              </w:tc>
              <w:tc>
                <w:tcPr>
                  <w:tcW w:w="694" w:type="dxa"/>
                  <w:tcBorders>
                    <w:tl2br w:val="nil"/>
                    <w:tr2bl w:val="nil"/>
                  </w:tcBorders>
                  <w:vAlign w:val="center"/>
                </w:tcPr>
                <w:p w14:paraId="095803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w:t>
                  </w:r>
                </w:p>
                <w:p w14:paraId="01783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w:t>
                  </w:r>
                </w:p>
              </w:tc>
              <w:tc>
                <w:tcPr>
                  <w:tcW w:w="798" w:type="dxa"/>
                  <w:tcBorders>
                    <w:tl2br w:val="nil"/>
                    <w:tr2bl w:val="nil"/>
                  </w:tcBorders>
                  <w:vAlign w:val="center"/>
                </w:tcPr>
                <w:p w14:paraId="20462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1.2083</w:t>
                  </w:r>
                </w:p>
              </w:tc>
              <w:tc>
                <w:tcPr>
                  <w:tcW w:w="676" w:type="dxa"/>
                  <w:tcBorders>
                    <w:tl2br w:val="nil"/>
                    <w:tr2bl w:val="nil"/>
                  </w:tcBorders>
                  <w:vAlign w:val="center"/>
                </w:tcPr>
                <w:p w14:paraId="66D21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0.0012</w:t>
                  </w:r>
                </w:p>
              </w:tc>
              <w:tc>
                <w:tcPr>
                  <w:tcW w:w="586" w:type="dxa"/>
                  <w:vMerge w:val="restart"/>
                  <w:tcBorders>
                    <w:tl2br w:val="nil"/>
                    <w:tr2bl w:val="nil"/>
                  </w:tcBorders>
                  <w:vAlign w:val="center"/>
                </w:tcPr>
                <w:p w14:paraId="11EAF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w:t>
                  </w:r>
                  <w:r>
                    <w:rPr>
                      <w:rFonts w:hint="default" w:ascii="Times New Roman" w:hAnsi="Times New Roman" w:eastAsia="宋体" w:cs="Times New Roman"/>
                      <w:color w:val="auto"/>
                      <w:sz w:val="21"/>
                      <w:szCs w:val="21"/>
                      <w:highlight w:val="none"/>
                      <w:vertAlign w:val="baseline"/>
                      <w:lang w:val="en-US" w:eastAsia="zh-CN"/>
                    </w:rPr>
                    <w:t>组织</w:t>
                  </w:r>
                </w:p>
              </w:tc>
              <w:tc>
                <w:tcPr>
                  <w:tcW w:w="1301" w:type="dxa"/>
                  <w:vMerge w:val="restart"/>
                  <w:tcBorders>
                    <w:tl2br w:val="nil"/>
                    <w:tr2bl w:val="nil"/>
                  </w:tcBorders>
                  <w:vAlign w:val="center"/>
                </w:tcPr>
                <w:p w14:paraId="454E09A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废气</w:t>
                  </w:r>
                  <w:r>
                    <w:rPr>
                      <w:rFonts w:hint="default" w:ascii="Times New Roman" w:hAnsi="Times New Roman" w:cs="Times New Roman"/>
                      <w:color w:val="auto"/>
                      <w:sz w:val="21"/>
                      <w:szCs w:val="21"/>
                      <w:highlight w:val="none"/>
                      <w:vertAlign w:val="baseline"/>
                      <w:lang w:val="en-US" w:eastAsia="zh-CN"/>
                    </w:rPr>
                    <w:t>经过收集后进入</w:t>
                  </w:r>
                  <w:r>
                    <w:rPr>
                      <w:rFonts w:hint="eastAsia" w:ascii="Times New Roman" w:hAnsi="Times New Roman"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（收集效率90%，处理效率85%）</w:t>
                  </w:r>
                  <w:r>
                    <w:rPr>
                      <w:rFonts w:hint="default" w:ascii="Times New Roman" w:hAnsi="Times New Roman" w:cs="Times New Roman"/>
                      <w:color w:val="auto"/>
                      <w:sz w:val="21"/>
                      <w:szCs w:val="21"/>
                      <w:highlight w:val="none"/>
                      <w:vertAlign w:val="baseline"/>
                      <w:lang w:val="en-US" w:eastAsia="zh-CN"/>
                    </w:rPr>
                    <w:t>处理后</w:t>
                  </w:r>
                  <w:r>
                    <w:rPr>
                      <w:rFonts w:hint="default" w:ascii="Times New Roman" w:hAnsi="Times New Roman" w:eastAsia="宋体" w:cs="Times New Roman"/>
                      <w:color w:val="auto"/>
                      <w:sz w:val="21"/>
                      <w:szCs w:val="21"/>
                      <w:highlight w:val="none"/>
                      <w:vertAlign w:val="baseline"/>
                      <w:lang w:val="en-US" w:eastAsia="zh-CN"/>
                    </w:rPr>
                    <w:t>最终从</w:t>
                  </w:r>
                  <w:r>
                    <w:rPr>
                      <w:rFonts w:hint="default" w:ascii="Times New Roman" w:hAnsi="Times New Roman" w:cs="Times New Roman"/>
                      <w:color w:val="auto"/>
                      <w:sz w:val="21"/>
                      <w:szCs w:val="21"/>
                      <w:highlight w:val="none"/>
                      <w:u w:val="none"/>
                      <w:lang w:val="en-US" w:eastAsia="zh-CN"/>
                    </w:rPr>
                    <w:t>15m高排气筒</w:t>
                  </w:r>
                  <w:r>
                    <w:rPr>
                      <w:rFonts w:hint="default" w:ascii="Times New Roman" w:hAnsi="Times New Roman" w:eastAsia="宋体" w:cs="Times New Roman"/>
                      <w:color w:val="auto"/>
                      <w:sz w:val="21"/>
                      <w:szCs w:val="21"/>
                      <w:highlight w:val="none"/>
                      <w:u w:val="none"/>
                      <w:vertAlign w:val="baseline"/>
                      <w:lang w:val="en-US" w:eastAsia="zh-CN"/>
                    </w:rPr>
                    <w:t>（DA00</w:t>
                  </w:r>
                  <w:r>
                    <w:rPr>
                      <w:rFonts w:hint="eastAsia" w:cs="Times New Roman"/>
                      <w:color w:val="auto"/>
                      <w:sz w:val="21"/>
                      <w:szCs w:val="21"/>
                      <w:highlight w:val="none"/>
                      <w:u w:val="none"/>
                      <w:vertAlign w:val="baseline"/>
                      <w:lang w:val="en-US" w:eastAsia="zh-CN"/>
                    </w:rPr>
                    <w:t>3</w:t>
                  </w:r>
                  <w:r>
                    <w:rPr>
                      <w:rFonts w:hint="default" w:ascii="Times New Roman" w:hAnsi="Times New Roman" w:eastAsia="宋体" w:cs="Times New Roman"/>
                      <w:color w:val="auto"/>
                      <w:sz w:val="21"/>
                      <w:szCs w:val="21"/>
                      <w:highlight w:val="none"/>
                      <w:u w:val="none"/>
                      <w:vertAlign w:val="baseline"/>
                      <w:lang w:val="en-US" w:eastAsia="zh-CN"/>
                    </w:rPr>
                    <w:t>）排放</w:t>
                  </w:r>
                </w:p>
              </w:tc>
              <w:tc>
                <w:tcPr>
                  <w:tcW w:w="917" w:type="dxa"/>
                  <w:tcBorders>
                    <w:tl2br w:val="nil"/>
                    <w:tr2bl w:val="nil"/>
                  </w:tcBorders>
                  <w:vAlign w:val="center"/>
                </w:tcPr>
                <w:p w14:paraId="763B1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0.1625</w:t>
                  </w:r>
                </w:p>
              </w:tc>
              <w:tc>
                <w:tcPr>
                  <w:tcW w:w="769" w:type="dxa"/>
                  <w:tcBorders>
                    <w:tl2br w:val="nil"/>
                    <w:tr2bl w:val="nil"/>
                  </w:tcBorders>
                  <w:vAlign w:val="center"/>
                </w:tcPr>
                <w:p w14:paraId="4C55A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0.00016</w:t>
                  </w:r>
                </w:p>
              </w:tc>
              <w:tc>
                <w:tcPr>
                  <w:tcW w:w="717" w:type="dxa"/>
                  <w:tcBorders>
                    <w:tl2br w:val="nil"/>
                    <w:tr2bl w:val="nil"/>
                  </w:tcBorders>
                  <w:vAlign w:val="center"/>
                </w:tcPr>
                <w:p w14:paraId="3AAA1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0.00039</w:t>
                  </w:r>
                </w:p>
              </w:tc>
            </w:tr>
            <w:tr w14:paraId="67329984">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195" w:hRule="atLeast"/>
              </w:trPr>
              <w:tc>
                <w:tcPr>
                  <w:tcW w:w="487" w:type="dxa"/>
                  <w:vMerge w:val="continue"/>
                  <w:tcBorders>
                    <w:tl2br w:val="nil"/>
                    <w:tr2bl w:val="nil"/>
                  </w:tcBorders>
                  <w:vAlign w:val="center"/>
                </w:tcPr>
                <w:p w14:paraId="4B334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487" w:type="dxa"/>
                  <w:vMerge w:val="continue"/>
                  <w:tcBorders>
                    <w:tl2br w:val="nil"/>
                    <w:tr2bl w:val="nil"/>
                  </w:tcBorders>
                  <w:vAlign w:val="center"/>
                </w:tcPr>
                <w:p w14:paraId="50719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522" w:type="dxa"/>
                  <w:tcBorders>
                    <w:tl2br w:val="nil"/>
                    <w:tr2bl w:val="nil"/>
                  </w:tcBorders>
                  <w:vAlign w:val="center"/>
                </w:tcPr>
                <w:p w14:paraId="374BB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硫化氢</w:t>
                  </w:r>
                </w:p>
              </w:tc>
              <w:tc>
                <w:tcPr>
                  <w:tcW w:w="694" w:type="dxa"/>
                  <w:tcBorders>
                    <w:tl2br w:val="nil"/>
                    <w:tr2bl w:val="nil"/>
                  </w:tcBorders>
                  <w:vAlign w:val="center"/>
                </w:tcPr>
                <w:p w14:paraId="039A61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w:t>
                  </w:r>
                </w:p>
                <w:p w14:paraId="46C1F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02</w:t>
                  </w:r>
                </w:p>
              </w:tc>
              <w:tc>
                <w:tcPr>
                  <w:tcW w:w="798" w:type="dxa"/>
                  <w:tcBorders>
                    <w:tl2br w:val="nil"/>
                    <w:tr2bl w:val="nil"/>
                  </w:tcBorders>
                  <w:vAlign w:val="center"/>
                </w:tcPr>
                <w:p w14:paraId="636A3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0.0833</w:t>
                  </w:r>
                </w:p>
              </w:tc>
              <w:tc>
                <w:tcPr>
                  <w:tcW w:w="676" w:type="dxa"/>
                  <w:tcBorders>
                    <w:tl2br w:val="nil"/>
                    <w:tr2bl w:val="nil"/>
                  </w:tcBorders>
                  <w:vAlign w:val="center"/>
                </w:tcPr>
                <w:p w14:paraId="76825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0.000083</w:t>
                  </w:r>
                </w:p>
              </w:tc>
              <w:tc>
                <w:tcPr>
                  <w:tcW w:w="586" w:type="dxa"/>
                  <w:vMerge w:val="continue"/>
                  <w:tcBorders>
                    <w:tl2br w:val="nil"/>
                    <w:tr2bl w:val="nil"/>
                  </w:tcBorders>
                  <w:vAlign w:val="center"/>
                </w:tcPr>
                <w:p w14:paraId="60D91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301" w:type="dxa"/>
                  <w:vMerge w:val="continue"/>
                  <w:tcBorders>
                    <w:tl2br w:val="nil"/>
                    <w:tr2bl w:val="nil"/>
                  </w:tcBorders>
                  <w:vAlign w:val="center"/>
                </w:tcPr>
                <w:p w14:paraId="727663A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21"/>
                      <w:szCs w:val="21"/>
                      <w:highlight w:val="none"/>
                      <w:u w:val="none"/>
                      <w:vertAlign w:val="baseline"/>
                      <w:lang w:val="en-US" w:eastAsia="zh-CN" w:bidi="ar-SA"/>
                    </w:rPr>
                  </w:pPr>
                </w:p>
              </w:tc>
              <w:tc>
                <w:tcPr>
                  <w:tcW w:w="917" w:type="dxa"/>
                  <w:tcBorders>
                    <w:tl2br w:val="nil"/>
                    <w:tr2bl w:val="nil"/>
                  </w:tcBorders>
                  <w:vAlign w:val="center"/>
                </w:tcPr>
                <w:p w14:paraId="2B9CDB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0.0113</w:t>
                  </w:r>
                </w:p>
              </w:tc>
              <w:tc>
                <w:tcPr>
                  <w:tcW w:w="769" w:type="dxa"/>
                  <w:tcBorders>
                    <w:tl2br w:val="nil"/>
                    <w:tr2bl w:val="nil"/>
                  </w:tcBorders>
                  <w:vAlign w:val="center"/>
                </w:tcPr>
                <w:p w14:paraId="36F507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0.000011</w:t>
                  </w:r>
                </w:p>
              </w:tc>
              <w:tc>
                <w:tcPr>
                  <w:tcW w:w="717" w:type="dxa"/>
                  <w:tcBorders>
                    <w:tl2br w:val="nil"/>
                    <w:tr2bl w:val="nil"/>
                  </w:tcBorders>
                  <w:vAlign w:val="center"/>
                </w:tcPr>
                <w:p w14:paraId="00B31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0.000027</w:t>
                  </w:r>
                </w:p>
              </w:tc>
            </w:tr>
            <w:tr w14:paraId="66A6970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635" w:hRule="atLeast"/>
              </w:trPr>
              <w:tc>
                <w:tcPr>
                  <w:tcW w:w="487" w:type="dxa"/>
                  <w:vMerge w:val="continue"/>
                  <w:tcBorders>
                    <w:tl2br w:val="nil"/>
                    <w:tr2bl w:val="nil"/>
                  </w:tcBorders>
                  <w:vAlign w:val="center"/>
                </w:tcPr>
                <w:p w14:paraId="29E557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487" w:type="dxa"/>
                  <w:vMerge w:val="continue"/>
                  <w:tcBorders>
                    <w:tl2br w:val="nil"/>
                    <w:tr2bl w:val="nil"/>
                  </w:tcBorders>
                  <w:vAlign w:val="center"/>
                </w:tcPr>
                <w:p w14:paraId="2123D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522" w:type="dxa"/>
                  <w:tcBorders>
                    <w:tl2br w:val="nil"/>
                    <w:tr2bl w:val="nil"/>
                  </w:tcBorders>
                  <w:vAlign w:val="center"/>
                </w:tcPr>
                <w:p w14:paraId="39087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氨</w:t>
                  </w:r>
                </w:p>
              </w:tc>
              <w:tc>
                <w:tcPr>
                  <w:tcW w:w="694" w:type="dxa"/>
                  <w:tcBorders>
                    <w:tl2br w:val="nil"/>
                    <w:tr2bl w:val="nil"/>
                  </w:tcBorders>
                  <w:vAlign w:val="center"/>
                </w:tcPr>
                <w:p w14:paraId="734F3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0.00029</w:t>
                  </w:r>
                </w:p>
              </w:tc>
              <w:tc>
                <w:tcPr>
                  <w:tcW w:w="798" w:type="dxa"/>
                  <w:tcBorders>
                    <w:tl2br w:val="nil"/>
                    <w:tr2bl w:val="nil"/>
                  </w:tcBorders>
                  <w:vAlign w:val="center"/>
                </w:tcPr>
                <w:p w14:paraId="1D1AE0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0.1208</w:t>
                  </w:r>
                </w:p>
              </w:tc>
              <w:tc>
                <w:tcPr>
                  <w:tcW w:w="676" w:type="dxa"/>
                  <w:tcBorders>
                    <w:tl2br w:val="nil"/>
                    <w:tr2bl w:val="nil"/>
                  </w:tcBorders>
                  <w:vAlign w:val="center"/>
                </w:tcPr>
                <w:p w14:paraId="49E0A6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586" w:type="dxa"/>
                  <w:vMerge w:val="restart"/>
                  <w:tcBorders>
                    <w:tl2br w:val="nil"/>
                    <w:tr2bl w:val="nil"/>
                  </w:tcBorders>
                  <w:vAlign w:val="center"/>
                </w:tcPr>
                <w:p w14:paraId="60E23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w:t>
                  </w:r>
                  <w:r>
                    <w:rPr>
                      <w:rFonts w:hint="default" w:ascii="Times New Roman" w:hAnsi="Times New Roman" w:eastAsia="宋体" w:cs="Times New Roman"/>
                      <w:color w:val="auto"/>
                      <w:sz w:val="21"/>
                      <w:szCs w:val="21"/>
                      <w:highlight w:val="none"/>
                      <w:vertAlign w:val="baseline"/>
                      <w:lang w:val="en-US" w:eastAsia="zh-CN"/>
                    </w:rPr>
                    <w:t>组织</w:t>
                  </w:r>
                </w:p>
              </w:tc>
              <w:tc>
                <w:tcPr>
                  <w:tcW w:w="1301" w:type="dxa"/>
                  <w:vMerge w:val="restart"/>
                  <w:tcBorders>
                    <w:tl2br w:val="nil"/>
                    <w:tr2bl w:val="nil"/>
                  </w:tcBorders>
                  <w:vAlign w:val="center"/>
                </w:tcPr>
                <w:p w14:paraId="3099986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加强厂</w:t>
                  </w:r>
                </w:p>
                <w:p w14:paraId="610BAB2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21"/>
                      <w:szCs w:val="21"/>
                      <w:highlight w:val="none"/>
                      <w:u w:val="none"/>
                      <w:vertAlign w:val="baseline"/>
                      <w:lang w:val="en-US" w:eastAsia="zh-CN" w:bidi="ar-SA"/>
                    </w:rPr>
                  </w:pPr>
                  <w:r>
                    <w:rPr>
                      <w:rFonts w:hint="eastAsia" w:ascii="Times New Roman" w:hAnsi="Times New Roman" w:cs="Times New Roman"/>
                      <w:color w:val="auto"/>
                      <w:szCs w:val="22"/>
                      <w:highlight w:val="none"/>
                      <w:lang w:val="en-US" w:eastAsia="zh-CN"/>
                    </w:rPr>
                    <w:t>界通风</w:t>
                  </w:r>
                </w:p>
              </w:tc>
              <w:tc>
                <w:tcPr>
                  <w:tcW w:w="917" w:type="dxa"/>
                  <w:tcBorders>
                    <w:tl2br w:val="nil"/>
                    <w:tr2bl w:val="nil"/>
                  </w:tcBorders>
                  <w:shd w:val="clear" w:color="auto" w:fill="auto"/>
                  <w:vAlign w:val="center"/>
                </w:tcPr>
                <w:p w14:paraId="54CAE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0.1208</w:t>
                  </w:r>
                </w:p>
              </w:tc>
              <w:tc>
                <w:tcPr>
                  <w:tcW w:w="769" w:type="dxa"/>
                  <w:tcBorders>
                    <w:tl2br w:val="nil"/>
                    <w:tr2bl w:val="nil"/>
                  </w:tcBorders>
                  <w:shd w:val="clear" w:color="auto" w:fill="auto"/>
                  <w:vAlign w:val="center"/>
                </w:tcPr>
                <w:p w14:paraId="42CECA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717" w:type="dxa"/>
                  <w:tcBorders>
                    <w:tl2br w:val="nil"/>
                    <w:tr2bl w:val="nil"/>
                  </w:tcBorders>
                  <w:shd w:val="clear" w:color="auto" w:fill="auto"/>
                  <w:vAlign w:val="center"/>
                </w:tcPr>
                <w:p w14:paraId="60E98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0.00029</w:t>
                  </w:r>
                </w:p>
              </w:tc>
            </w:tr>
            <w:tr w14:paraId="097332B5">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49" w:hRule="atLeast"/>
              </w:trPr>
              <w:tc>
                <w:tcPr>
                  <w:tcW w:w="487" w:type="dxa"/>
                  <w:vMerge w:val="continue"/>
                  <w:tcBorders>
                    <w:tl2br w:val="nil"/>
                    <w:tr2bl w:val="nil"/>
                  </w:tcBorders>
                  <w:vAlign w:val="center"/>
                </w:tcPr>
                <w:p w14:paraId="246A2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487" w:type="dxa"/>
                  <w:vMerge w:val="continue"/>
                  <w:tcBorders>
                    <w:tl2br w:val="nil"/>
                    <w:tr2bl w:val="nil"/>
                  </w:tcBorders>
                  <w:vAlign w:val="center"/>
                </w:tcPr>
                <w:p w14:paraId="2EE9CF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522" w:type="dxa"/>
                  <w:tcBorders>
                    <w:tl2br w:val="nil"/>
                    <w:tr2bl w:val="nil"/>
                  </w:tcBorders>
                  <w:vAlign w:val="center"/>
                </w:tcPr>
                <w:p w14:paraId="34B50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硫化氢</w:t>
                  </w:r>
                </w:p>
              </w:tc>
              <w:tc>
                <w:tcPr>
                  <w:tcW w:w="694" w:type="dxa"/>
                  <w:tcBorders>
                    <w:tl2br w:val="nil"/>
                    <w:tr2bl w:val="nil"/>
                  </w:tcBorders>
                  <w:vAlign w:val="center"/>
                </w:tcPr>
                <w:p w14:paraId="21A75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0.00002</w:t>
                  </w:r>
                </w:p>
              </w:tc>
              <w:tc>
                <w:tcPr>
                  <w:tcW w:w="798" w:type="dxa"/>
                  <w:tcBorders>
                    <w:tl2br w:val="nil"/>
                    <w:tr2bl w:val="nil"/>
                  </w:tcBorders>
                  <w:vAlign w:val="center"/>
                </w:tcPr>
                <w:p w14:paraId="10CC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0.0083</w:t>
                  </w:r>
                </w:p>
              </w:tc>
              <w:tc>
                <w:tcPr>
                  <w:tcW w:w="676" w:type="dxa"/>
                  <w:tcBorders>
                    <w:tl2br w:val="nil"/>
                    <w:tr2bl w:val="nil"/>
                  </w:tcBorders>
                  <w:vAlign w:val="center"/>
                </w:tcPr>
                <w:p w14:paraId="7614E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586" w:type="dxa"/>
                  <w:vMerge w:val="continue"/>
                  <w:tcBorders>
                    <w:tl2br w:val="nil"/>
                    <w:tr2bl w:val="nil"/>
                  </w:tcBorders>
                  <w:vAlign w:val="center"/>
                </w:tcPr>
                <w:p w14:paraId="219F1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301" w:type="dxa"/>
                  <w:vMerge w:val="continue"/>
                  <w:tcBorders>
                    <w:tl2br w:val="nil"/>
                    <w:tr2bl w:val="nil"/>
                  </w:tcBorders>
                  <w:vAlign w:val="center"/>
                </w:tcPr>
                <w:p w14:paraId="309FB5B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21"/>
                      <w:szCs w:val="21"/>
                      <w:highlight w:val="none"/>
                      <w:u w:val="none"/>
                      <w:vertAlign w:val="baseline"/>
                      <w:lang w:val="en-US" w:eastAsia="zh-CN" w:bidi="ar-SA"/>
                    </w:rPr>
                  </w:pPr>
                </w:p>
              </w:tc>
              <w:tc>
                <w:tcPr>
                  <w:tcW w:w="917" w:type="dxa"/>
                  <w:tcBorders>
                    <w:tl2br w:val="nil"/>
                    <w:tr2bl w:val="nil"/>
                  </w:tcBorders>
                  <w:shd w:val="clear" w:color="auto" w:fill="auto"/>
                  <w:vAlign w:val="center"/>
                </w:tcPr>
                <w:p w14:paraId="38F71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0.0083</w:t>
                  </w:r>
                </w:p>
              </w:tc>
              <w:tc>
                <w:tcPr>
                  <w:tcW w:w="769" w:type="dxa"/>
                  <w:tcBorders>
                    <w:tl2br w:val="nil"/>
                    <w:tr2bl w:val="nil"/>
                  </w:tcBorders>
                  <w:shd w:val="clear" w:color="auto" w:fill="auto"/>
                  <w:vAlign w:val="center"/>
                </w:tcPr>
                <w:p w14:paraId="120A45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717" w:type="dxa"/>
                  <w:tcBorders>
                    <w:tl2br w:val="nil"/>
                    <w:tr2bl w:val="nil"/>
                  </w:tcBorders>
                  <w:shd w:val="clear" w:color="auto" w:fill="auto"/>
                  <w:vAlign w:val="center"/>
                </w:tcPr>
                <w:p w14:paraId="15061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0.00002</w:t>
                  </w:r>
                </w:p>
              </w:tc>
            </w:tr>
            <w:tr w14:paraId="325B1FC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1178" w:hRule="atLeast"/>
              </w:trPr>
              <w:tc>
                <w:tcPr>
                  <w:tcW w:w="487" w:type="dxa"/>
                  <w:tcBorders>
                    <w:tl2br w:val="nil"/>
                    <w:tr2bl w:val="nil"/>
                  </w:tcBorders>
                  <w:vAlign w:val="center"/>
                </w:tcPr>
                <w:p w14:paraId="7D8F8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打包机</w:t>
                  </w:r>
                </w:p>
              </w:tc>
              <w:tc>
                <w:tcPr>
                  <w:tcW w:w="487" w:type="dxa"/>
                  <w:tcBorders>
                    <w:tl2br w:val="nil"/>
                    <w:tr2bl w:val="nil"/>
                  </w:tcBorders>
                  <w:vAlign w:val="center"/>
                </w:tcPr>
                <w:p w14:paraId="50DD2B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封口工序</w:t>
                  </w:r>
                </w:p>
              </w:tc>
              <w:tc>
                <w:tcPr>
                  <w:tcW w:w="522" w:type="dxa"/>
                  <w:tcBorders>
                    <w:tl2br w:val="nil"/>
                    <w:tr2bl w:val="nil"/>
                  </w:tcBorders>
                  <w:vAlign w:val="center"/>
                </w:tcPr>
                <w:p w14:paraId="1A8126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kern w:val="2"/>
                      <w:sz w:val="21"/>
                      <w:szCs w:val="21"/>
                      <w:lang w:val="en-US" w:eastAsia="zh-CN" w:bidi="ar-SA"/>
                    </w:rPr>
                    <w:t>VOCs</w:t>
                  </w:r>
                </w:p>
              </w:tc>
              <w:tc>
                <w:tcPr>
                  <w:tcW w:w="694" w:type="dxa"/>
                  <w:tcBorders>
                    <w:tl2br w:val="nil"/>
                    <w:tr2bl w:val="nil"/>
                  </w:tcBorders>
                  <w:vAlign w:val="center"/>
                </w:tcPr>
                <w:p w14:paraId="4193A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0.0875×10</w:t>
                  </w:r>
                  <w:r>
                    <w:rPr>
                      <w:rFonts w:hint="default" w:ascii="Times New Roman" w:hAnsi="Times New Roman" w:cs="Times New Roman"/>
                      <w:color w:val="auto"/>
                      <w:kern w:val="2"/>
                      <w:sz w:val="21"/>
                      <w:szCs w:val="21"/>
                      <w:highlight w:val="none"/>
                      <w:vertAlign w:val="superscript"/>
                      <w:lang w:val="en-US" w:eastAsia="zh-CN" w:bidi="ar-SA"/>
                    </w:rPr>
                    <w:t>-3</w:t>
                  </w:r>
                </w:p>
              </w:tc>
              <w:tc>
                <w:tcPr>
                  <w:tcW w:w="798" w:type="dxa"/>
                  <w:tcBorders>
                    <w:tl2br w:val="nil"/>
                    <w:tr2bl w:val="nil"/>
                  </w:tcBorders>
                  <w:vAlign w:val="center"/>
                </w:tcPr>
                <w:p w14:paraId="408A1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w:t>
                  </w:r>
                </w:p>
              </w:tc>
              <w:tc>
                <w:tcPr>
                  <w:tcW w:w="676" w:type="dxa"/>
                  <w:tcBorders>
                    <w:tl2br w:val="nil"/>
                    <w:tr2bl w:val="nil"/>
                  </w:tcBorders>
                  <w:vAlign w:val="center"/>
                </w:tcPr>
                <w:p w14:paraId="13E9C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0.0365×10</w:t>
                  </w:r>
                  <w:r>
                    <w:rPr>
                      <w:rFonts w:hint="default" w:ascii="Times New Roman" w:hAnsi="Times New Roman" w:cs="Times New Roman"/>
                      <w:color w:val="auto"/>
                      <w:kern w:val="2"/>
                      <w:sz w:val="21"/>
                      <w:szCs w:val="21"/>
                      <w:highlight w:val="none"/>
                      <w:vertAlign w:val="superscript"/>
                      <w:lang w:val="en-US" w:eastAsia="zh-CN" w:bidi="ar-SA"/>
                    </w:rPr>
                    <w:t>-3</w:t>
                  </w:r>
                </w:p>
              </w:tc>
              <w:tc>
                <w:tcPr>
                  <w:tcW w:w="586" w:type="dxa"/>
                  <w:tcBorders>
                    <w:tl2br w:val="nil"/>
                    <w:tr2bl w:val="nil"/>
                  </w:tcBorders>
                  <w:vAlign w:val="center"/>
                </w:tcPr>
                <w:p w14:paraId="10014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无</w:t>
                  </w:r>
                  <w:r>
                    <w:rPr>
                      <w:rFonts w:hint="default" w:ascii="Times New Roman" w:hAnsi="Times New Roman" w:eastAsia="宋体" w:cs="Times New Roman"/>
                      <w:color w:val="auto"/>
                      <w:sz w:val="21"/>
                      <w:szCs w:val="21"/>
                      <w:highlight w:val="none"/>
                      <w:vertAlign w:val="baseline"/>
                      <w:lang w:val="en-US" w:eastAsia="zh-CN"/>
                    </w:rPr>
                    <w:t>组织</w:t>
                  </w:r>
                </w:p>
              </w:tc>
              <w:tc>
                <w:tcPr>
                  <w:tcW w:w="1301" w:type="dxa"/>
                  <w:tcBorders>
                    <w:tl2br w:val="nil"/>
                    <w:tr2bl w:val="nil"/>
                  </w:tcBorders>
                  <w:vAlign w:val="center"/>
                </w:tcPr>
                <w:p w14:paraId="363CA4B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21"/>
                      <w:szCs w:val="21"/>
                      <w:highlight w:val="none"/>
                      <w:u w:val="none"/>
                      <w:vertAlign w:val="baseline"/>
                      <w:lang w:val="en-US" w:eastAsia="zh-CN" w:bidi="ar-SA"/>
                    </w:rPr>
                  </w:pPr>
                  <w:r>
                    <w:rPr>
                      <w:rFonts w:hint="eastAsia" w:ascii="Times New Roman" w:hAnsi="Times New Roman" w:cs="Times New Roman"/>
                      <w:color w:val="auto"/>
                      <w:kern w:val="2"/>
                      <w:sz w:val="21"/>
                      <w:szCs w:val="21"/>
                      <w:highlight w:val="none"/>
                      <w:u w:val="none"/>
                      <w:vertAlign w:val="baseline"/>
                      <w:lang w:val="en-US" w:eastAsia="zh-CN" w:bidi="ar-SA"/>
                    </w:rPr>
                    <w:t>加强车间</w:t>
                  </w:r>
                </w:p>
                <w:p w14:paraId="2EDAA6F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cs="Times New Roman"/>
                      <w:color w:val="auto"/>
                      <w:kern w:val="2"/>
                      <w:sz w:val="21"/>
                      <w:szCs w:val="21"/>
                      <w:highlight w:val="none"/>
                      <w:u w:val="none"/>
                      <w:vertAlign w:val="baseline"/>
                      <w:lang w:val="en-US" w:eastAsia="zh-CN" w:bidi="ar-SA"/>
                    </w:rPr>
                    <w:t>通风</w:t>
                  </w:r>
                </w:p>
              </w:tc>
              <w:tc>
                <w:tcPr>
                  <w:tcW w:w="917" w:type="dxa"/>
                  <w:tcBorders>
                    <w:tl2br w:val="nil"/>
                    <w:tr2bl w:val="nil"/>
                  </w:tcBorders>
                  <w:vAlign w:val="center"/>
                </w:tcPr>
                <w:p w14:paraId="213AB3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w:t>
                  </w:r>
                </w:p>
              </w:tc>
              <w:tc>
                <w:tcPr>
                  <w:tcW w:w="769" w:type="dxa"/>
                  <w:tcBorders>
                    <w:tl2br w:val="nil"/>
                    <w:tr2bl w:val="nil"/>
                  </w:tcBorders>
                  <w:vAlign w:val="center"/>
                </w:tcPr>
                <w:p w14:paraId="09A6E3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0.0365×10</w:t>
                  </w:r>
                  <w:r>
                    <w:rPr>
                      <w:rFonts w:hint="default" w:ascii="Times New Roman" w:hAnsi="Times New Roman" w:cs="Times New Roman"/>
                      <w:color w:val="auto"/>
                      <w:kern w:val="2"/>
                      <w:sz w:val="21"/>
                      <w:szCs w:val="21"/>
                      <w:highlight w:val="none"/>
                      <w:vertAlign w:val="superscript"/>
                      <w:lang w:val="en-US" w:eastAsia="zh-CN" w:bidi="ar-SA"/>
                    </w:rPr>
                    <w:t>-3</w:t>
                  </w:r>
                </w:p>
              </w:tc>
              <w:tc>
                <w:tcPr>
                  <w:tcW w:w="717" w:type="dxa"/>
                  <w:tcBorders>
                    <w:tl2br w:val="nil"/>
                    <w:tr2bl w:val="nil"/>
                  </w:tcBorders>
                  <w:vAlign w:val="center"/>
                </w:tcPr>
                <w:p w14:paraId="31B84C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0.0875×10</w:t>
                  </w:r>
                  <w:r>
                    <w:rPr>
                      <w:rFonts w:hint="default" w:ascii="Times New Roman" w:hAnsi="Times New Roman" w:cs="Times New Roman"/>
                      <w:color w:val="auto"/>
                      <w:kern w:val="2"/>
                      <w:sz w:val="21"/>
                      <w:szCs w:val="21"/>
                      <w:highlight w:val="none"/>
                      <w:vertAlign w:val="superscript"/>
                      <w:lang w:val="en-US" w:eastAsia="zh-CN" w:bidi="ar-SA"/>
                    </w:rPr>
                    <w:t>-3</w:t>
                  </w:r>
                </w:p>
              </w:tc>
            </w:tr>
            <w:tr w14:paraId="2E740E24">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421" w:hRule="atLeast"/>
              </w:trPr>
              <w:tc>
                <w:tcPr>
                  <w:tcW w:w="1496" w:type="dxa"/>
                  <w:gridSpan w:val="3"/>
                  <w:vMerge w:val="restart"/>
                  <w:tcBorders>
                    <w:tl2br w:val="nil"/>
                    <w:tr2bl w:val="nil"/>
                  </w:tcBorders>
                  <w:vAlign w:val="center"/>
                </w:tcPr>
                <w:p w14:paraId="67CFCCBE">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sz w:val="21"/>
                      <w:szCs w:val="21"/>
                      <w:highlight w:val="none"/>
                      <w:lang w:val="en-US" w:eastAsia="zh-CN"/>
                    </w:rPr>
                    <w:t>总计</w:t>
                  </w:r>
                </w:p>
              </w:tc>
              <w:tc>
                <w:tcPr>
                  <w:tcW w:w="6458" w:type="dxa"/>
                  <w:gridSpan w:val="8"/>
                  <w:tcBorders>
                    <w:tl2br w:val="nil"/>
                    <w:tr2bl w:val="nil"/>
                  </w:tcBorders>
                  <w:vAlign w:val="center"/>
                </w:tcPr>
                <w:p w14:paraId="5857C9C8">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产生量：油烟0.763t/a、颗粒物0.0053t/a、二氧化硫0.008t/a、</w:t>
                  </w:r>
                </w:p>
                <w:p w14:paraId="08E699BD">
                  <w:pPr>
                    <w:pStyle w:val="5"/>
                    <w:pageBreakBefore w:val="0"/>
                    <w:widowControl w:val="0"/>
                    <w:kinsoku/>
                    <w:wordWrap w:val="0"/>
                    <w:overflowPunct/>
                    <w:topLinePunct w:val="0"/>
                    <w:autoSpaceDE/>
                    <w:autoSpaceDN/>
                    <w:bidi w:val="0"/>
                    <w:ind w:left="0" w:leftChars="0" w:firstLine="0" w:firstLineChars="0"/>
                    <w:jc w:val="center"/>
                    <w:textAlignment w:val="auto"/>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氮氧化物0.0303t/a、</w:t>
                  </w:r>
                  <w:r>
                    <w:rPr>
                      <w:rFonts w:hint="default" w:ascii="Times New Roman" w:hAnsi="Times New Roman" w:eastAsia="宋体" w:cs="Times New Roman"/>
                      <w:kern w:val="2"/>
                      <w:sz w:val="21"/>
                      <w:szCs w:val="21"/>
                      <w:highlight w:val="none"/>
                      <w:lang w:val="en-US" w:eastAsia="zh-CN" w:bidi="ar-SA"/>
                    </w:rPr>
                    <w:t xml:space="preserve">VOCs </w:t>
                  </w:r>
                  <w:r>
                    <w:rPr>
                      <w:rFonts w:hint="default" w:ascii="Times New Roman" w:hAnsi="Times New Roman" w:cs="Times New Roman"/>
                      <w:color w:val="auto"/>
                      <w:kern w:val="2"/>
                      <w:sz w:val="21"/>
                      <w:szCs w:val="21"/>
                      <w:highlight w:val="none"/>
                      <w:vertAlign w:val="baseline"/>
                      <w:lang w:val="en-US" w:eastAsia="zh-CN" w:bidi="ar-SA"/>
                    </w:rPr>
                    <w:t>0.0875×10</w:t>
                  </w:r>
                  <w:r>
                    <w:rPr>
                      <w:rFonts w:hint="default" w:ascii="Times New Roman" w:hAnsi="Times New Roman" w:cs="Times New Roman"/>
                      <w:color w:val="auto"/>
                      <w:kern w:val="2"/>
                      <w:sz w:val="21"/>
                      <w:szCs w:val="21"/>
                      <w:highlight w:val="none"/>
                      <w:vertAlign w:val="superscript"/>
                      <w:lang w:val="en-US" w:eastAsia="zh-CN" w:bidi="ar-SA"/>
                    </w:rPr>
                    <w:t>-3</w:t>
                  </w:r>
                  <w:r>
                    <w:rPr>
                      <w:rFonts w:hint="default" w:ascii="Times New Roman" w:hAnsi="Times New Roman" w:cs="Times New Roman"/>
                      <w:sz w:val="21"/>
                      <w:szCs w:val="21"/>
                      <w:highlight w:val="none"/>
                      <w:lang w:val="en-US" w:eastAsia="zh-CN"/>
                    </w:rPr>
                    <w:t>t/a</w:t>
                  </w:r>
                  <w:r>
                    <w:rPr>
                      <w:rFonts w:hint="eastAsia" w:ascii="Times New Roman" w:hAnsi="Times New Roman" w:cs="Times New Roman"/>
                      <w:sz w:val="21"/>
                      <w:szCs w:val="21"/>
                      <w:highlight w:val="none"/>
                      <w:lang w:val="en-US" w:eastAsia="zh-CN"/>
                    </w:rPr>
                    <w:t>、</w:t>
                  </w:r>
                </w:p>
                <w:p w14:paraId="1B4A677F">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sz w:val="21"/>
                      <w:szCs w:val="21"/>
                      <w:highlight w:val="none"/>
                      <w:lang w:val="en-US" w:eastAsia="zh-CN"/>
                    </w:rPr>
                    <w:t>氨0.0029t/a、硫化氢0.0002t/a</w:t>
                  </w:r>
                </w:p>
              </w:tc>
            </w:tr>
            <w:tr w14:paraId="3872F201">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581" w:hRule="atLeast"/>
              </w:trPr>
              <w:tc>
                <w:tcPr>
                  <w:tcW w:w="1496" w:type="dxa"/>
                  <w:gridSpan w:val="3"/>
                  <w:vMerge w:val="continue"/>
                  <w:tcBorders>
                    <w:tl2br w:val="nil"/>
                    <w:tr2bl w:val="nil"/>
                  </w:tcBorders>
                  <w:vAlign w:val="center"/>
                </w:tcPr>
                <w:p w14:paraId="7D902F46">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cs="Times New Roman"/>
                      <w:sz w:val="21"/>
                      <w:szCs w:val="21"/>
                      <w:highlight w:val="none"/>
                      <w:lang w:val="en-US" w:eastAsia="zh-CN"/>
                    </w:rPr>
                  </w:pPr>
                </w:p>
              </w:tc>
              <w:tc>
                <w:tcPr>
                  <w:tcW w:w="6458" w:type="dxa"/>
                  <w:gridSpan w:val="8"/>
                  <w:tcBorders>
                    <w:tl2br w:val="nil"/>
                    <w:tr2bl w:val="nil"/>
                  </w:tcBorders>
                  <w:vAlign w:val="center"/>
                </w:tcPr>
                <w:p w14:paraId="1649D252">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有组织排放量：油烟0.0649t/a、颗粒物0.00532t/a、</w:t>
                  </w:r>
                </w:p>
                <w:p w14:paraId="78CD7E86">
                  <w:pPr>
                    <w:pStyle w:val="5"/>
                    <w:pageBreakBefore w:val="0"/>
                    <w:widowControl w:val="0"/>
                    <w:kinsoku/>
                    <w:wordWrap w:val="0"/>
                    <w:overflowPunct/>
                    <w:topLinePunct w:val="0"/>
                    <w:autoSpaceDE/>
                    <w:autoSpaceDN/>
                    <w:bidi w:val="0"/>
                    <w:ind w:left="0" w:leftChars="0" w:firstLine="0" w:firstLineChars="0"/>
                    <w:jc w:val="center"/>
                    <w:textAlignment w:val="auto"/>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二氧化硫0.008t/a、氮氧化物0.0303t/a</w:t>
                  </w:r>
                  <w:r>
                    <w:rPr>
                      <w:rFonts w:hint="eastAsia" w:ascii="Times New Roman" w:hAnsi="Times New Roman" w:cs="Times New Roman"/>
                      <w:sz w:val="21"/>
                      <w:szCs w:val="21"/>
                      <w:highlight w:val="none"/>
                      <w:lang w:val="en-US" w:eastAsia="zh-CN"/>
                    </w:rPr>
                    <w:t>、</w:t>
                  </w:r>
                </w:p>
                <w:p w14:paraId="38815FAE">
                  <w:pPr>
                    <w:pStyle w:val="5"/>
                    <w:pageBreakBefore w:val="0"/>
                    <w:widowControl w:val="0"/>
                    <w:kinsoku/>
                    <w:wordWrap w:val="0"/>
                    <w:overflowPunct/>
                    <w:topLinePunct w:val="0"/>
                    <w:autoSpaceDE/>
                    <w:autoSpaceDN/>
                    <w:bidi w:val="0"/>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氨0.00039t/a、硫化氢0.000027t/a</w:t>
                  </w:r>
                </w:p>
              </w:tc>
            </w:tr>
          </w:tbl>
          <w:p w14:paraId="3144753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宋体"/>
                <w:bCs/>
                <w:sz w:val="24"/>
                <w:lang w:val="en-US" w:eastAsia="zh-CN"/>
              </w:rPr>
            </w:pPr>
            <w:r>
              <w:rPr>
                <w:rFonts w:hint="eastAsia"/>
                <w:bCs/>
                <w:sz w:val="24"/>
              </w:rPr>
              <w:t>1.</w:t>
            </w:r>
            <w:r>
              <w:rPr>
                <w:rFonts w:hint="eastAsia"/>
                <w:bCs/>
                <w:sz w:val="24"/>
                <w:lang w:val="en-US" w:eastAsia="zh-CN"/>
              </w:rPr>
              <w:t>2废气</w:t>
            </w:r>
            <w:r>
              <w:rPr>
                <w:rFonts w:hint="eastAsia"/>
                <w:bCs/>
                <w:sz w:val="24"/>
              </w:rPr>
              <w:t>非正常工况排放</w:t>
            </w:r>
            <w:r>
              <w:rPr>
                <w:rFonts w:hint="eastAsia"/>
                <w:bCs/>
                <w:sz w:val="24"/>
                <w:lang w:val="en-US" w:eastAsia="zh-CN"/>
              </w:rPr>
              <w:t>分析</w:t>
            </w:r>
          </w:p>
          <w:p w14:paraId="2978B0EB">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Times New Roman" w:hAnsi="Times New Roman"/>
                <w:lang w:val="en-US" w:eastAsia="zh-CN"/>
              </w:rPr>
            </w:pPr>
            <w:r>
              <w:rPr>
                <w:rFonts w:ascii="Times New Roman" w:hAnsi="Times New Roman"/>
                <w:color w:val="auto"/>
                <w:sz w:val="24"/>
                <w:szCs w:val="32"/>
              </w:rPr>
              <w:t>非正常生产排污包括以下几方面：全厂紧急停电、临时性故障等。本项目非正常生产时大气的主要污染源为</w:t>
            </w:r>
            <w:r>
              <w:rPr>
                <w:rFonts w:hint="eastAsia"/>
                <w:color w:val="auto"/>
                <w:sz w:val="24"/>
                <w:szCs w:val="32"/>
                <w:lang w:val="en-US" w:eastAsia="zh-CN"/>
              </w:rPr>
              <w:t>炒制废气、锅炉废气、污水处理设施废气等</w:t>
            </w:r>
            <w:r>
              <w:rPr>
                <w:rFonts w:ascii="Times New Roman" w:hAnsi="Times New Roman"/>
                <w:color w:val="auto"/>
                <w:sz w:val="24"/>
                <w:szCs w:val="32"/>
              </w:rPr>
              <w:t>。公司应加强管理，避免在运行期间可能发生的非正常工况污染物排放的突发性事故。避免工人长时间停留在通风不良的生产车间内。</w:t>
            </w:r>
          </w:p>
          <w:p w14:paraId="78444C70">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eastAsia"/>
                <w:sz w:val="24"/>
                <w:lang w:bidi="zh-TW"/>
              </w:rPr>
            </w:pPr>
            <w:r>
              <w:rPr>
                <w:rFonts w:ascii="Times New Roman" w:hAnsi="Times New Roman"/>
                <w:color w:val="auto"/>
                <w:sz w:val="24"/>
                <w:szCs w:val="32"/>
                <w:u w:val="none"/>
              </w:rPr>
              <w:t>经分析，集气装置</w:t>
            </w:r>
            <w:r>
              <w:rPr>
                <w:rFonts w:hint="eastAsia"/>
                <w:color w:val="auto"/>
                <w:sz w:val="24"/>
                <w:szCs w:val="32"/>
                <w:u w:val="none"/>
                <w:lang w:val="en-US" w:eastAsia="zh-CN"/>
              </w:rPr>
              <w:t>或者</w:t>
            </w:r>
            <w:r>
              <w:rPr>
                <w:rFonts w:hint="eastAsia"/>
                <w:color w:val="auto"/>
                <w:sz w:val="24"/>
                <w:szCs w:val="32"/>
                <w:lang w:val="en-US" w:eastAsia="zh-CN"/>
              </w:rPr>
              <w:t>锅炉</w:t>
            </w:r>
            <w:r>
              <w:rPr>
                <w:rFonts w:ascii="Times New Roman" w:hAnsi="Times New Roman"/>
                <w:color w:val="auto"/>
                <w:sz w:val="24"/>
                <w:szCs w:val="32"/>
                <w:u w:val="none"/>
              </w:rPr>
              <w:t>非正常工况易于及时发现，</w:t>
            </w:r>
            <w:r>
              <w:rPr>
                <w:rFonts w:hint="eastAsia" w:ascii="Times New Roman" w:hAnsi="Times New Roman"/>
                <w:color w:val="auto"/>
                <w:sz w:val="24"/>
                <w:szCs w:val="32"/>
                <w:u w:val="none"/>
                <w:lang w:val="en-US" w:eastAsia="zh-CN"/>
              </w:rPr>
              <w:t>若发生集气装置异常时，可及时停产</w:t>
            </w:r>
            <w:r>
              <w:rPr>
                <w:rFonts w:hint="eastAsia"/>
                <w:color w:val="auto"/>
                <w:sz w:val="24"/>
                <w:szCs w:val="32"/>
                <w:u w:val="none"/>
                <w:lang w:val="en-US" w:eastAsia="zh-CN"/>
              </w:rPr>
              <w:t>，</w:t>
            </w:r>
            <w:r>
              <w:rPr>
                <w:rFonts w:hint="eastAsia"/>
                <w:sz w:val="24"/>
                <w:lang w:eastAsia="zh-CN" w:bidi="zh-TW"/>
              </w:rPr>
              <w:t>（</w:t>
            </w:r>
            <w:r>
              <w:rPr>
                <w:rFonts w:hint="eastAsia"/>
                <w:color w:val="auto"/>
                <w:sz w:val="24"/>
                <w:szCs w:val="32"/>
                <w:lang w:val="en-US" w:eastAsia="zh-CN"/>
              </w:rPr>
              <w:t>锅炉</w:t>
            </w:r>
            <w:r>
              <w:rPr>
                <w:rFonts w:hint="eastAsia"/>
                <w:sz w:val="24"/>
                <w:lang w:val="en-US" w:eastAsia="zh-CN" w:bidi="zh-TW"/>
              </w:rPr>
              <w:t>非正常工作时会影响生产中蒸汽的供应，直接影响生产会直接进行检查和维护</w:t>
            </w:r>
            <w:r>
              <w:rPr>
                <w:rFonts w:hint="eastAsia"/>
                <w:sz w:val="24"/>
                <w:lang w:eastAsia="zh-CN" w:bidi="zh-TW"/>
              </w:rPr>
              <w:t>）</w:t>
            </w:r>
            <w:r>
              <w:rPr>
                <w:rFonts w:hint="eastAsia" w:ascii="Times New Roman" w:hAnsi="Times New Roman"/>
                <w:color w:val="auto"/>
                <w:sz w:val="24"/>
                <w:szCs w:val="32"/>
                <w:u w:val="none"/>
                <w:lang w:val="en-US" w:eastAsia="zh-CN"/>
              </w:rPr>
              <w:t>，</w:t>
            </w:r>
            <w:r>
              <w:rPr>
                <w:rFonts w:ascii="Times New Roman" w:hAnsi="Times New Roman"/>
                <w:color w:val="auto"/>
                <w:sz w:val="24"/>
                <w:szCs w:val="32"/>
                <w:u w:val="none"/>
              </w:rPr>
              <w:t>而</w:t>
            </w:r>
            <w:r>
              <w:rPr>
                <w:rFonts w:hint="eastAsia"/>
                <w:color w:val="auto"/>
                <w:sz w:val="24"/>
                <w:szCs w:val="32"/>
                <w:u w:val="none"/>
                <w:lang w:val="en-US" w:eastAsia="zh-CN"/>
              </w:rPr>
              <w:t>其他</w:t>
            </w:r>
            <w:r>
              <w:rPr>
                <w:rFonts w:ascii="Times New Roman" w:hAnsi="Times New Roman"/>
                <w:color w:val="auto"/>
                <w:sz w:val="24"/>
                <w:szCs w:val="32"/>
                <w:u w:val="none"/>
              </w:rPr>
              <w:t>废气处理装置非正常工况不易及时发现，因此本次评价主要分析废气处理系统非正常工况情况即集气装置正常，废气处理装置处理效率均为</w:t>
            </w:r>
            <w:r>
              <w:rPr>
                <w:rFonts w:hint="eastAsia"/>
                <w:color w:val="auto"/>
                <w:sz w:val="24"/>
                <w:szCs w:val="32"/>
                <w:u w:val="none"/>
                <w:lang w:val="en-US" w:eastAsia="zh-CN"/>
              </w:rPr>
              <w:t>0</w:t>
            </w:r>
            <w:r>
              <w:rPr>
                <w:rFonts w:hint="eastAsia" w:ascii="Times New Roman" w:hAnsi="Times New Roman"/>
                <w:color w:val="auto"/>
                <w:sz w:val="24"/>
                <w:szCs w:val="32"/>
                <w:u w:val="none"/>
                <w:lang w:eastAsia="zh-CN"/>
              </w:rPr>
              <w:t>，</w:t>
            </w:r>
            <w:r>
              <w:rPr>
                <w:rFonts w:hint="eastAsia"/>
                <w:sz w:val="24"/>
                <w:lang w:bidi="zh-TW"/>
              </w:rPr>
              <w:t>拟定发生频次为1次/年</w:t>
            </w:r>
            <w:r>
              <w:rPr>
                <w:rFonts w:hint="eastAsia"/>
                <w:sz w:val="24"/>
                <w:lang w:eastAsia="zh-CN" w:bidi="zh-TW"/>
              </w:rPr>
              <w:t>，</w:t>
            </w:r>
            <w:r>
              <w:rPr>
                <w:rFonts w:hint="eastAsia"/>
                <w:sz w:val="24"/>
                <w:lang w:val="en-US" w:eastAsia="zh-CN" w:bidi="zh-TW"/>
              </w:rPr>
              <w:t>持续时间为0.5h</w:t>
            </w:r>
            <w:r>
              <w:rPr>
                <w:rFonts w:hint="eastAsia"/>
                <w:sz w:val="24"/>
                <w:lang w:bidi="zh-TW"/>
              </w:rPr>
              <w:t>。在拟定的非正常工况下，项目废气污染物排放情况见下表。</w:t>
            </w:r>
          </w:p>
          <w:p w14:paraId="033C9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黑体" w:cs="Times New Roman"/>
                <w:color w:val="auto"/>
                <w:kern w:val="2"/>
                <w:sz w:val="24"/>
                <w:lang w:val="en-US" w:eastAsia="zh-CN" w:bidi="ar-SA"/>
              </w:rPr>
            </w:pPr>
            <w:r>
              <w:rPr>
                <w:rFonts w:hint="eastAsia" w:ascii="Times New Roman" w:hAnsi="Times New Roman" w:eastAsia="黑体" w:cs="Times New Roman"/>
                <w:color w:val="auto"/>
                <w:kern w:val="2"/>
                <w:sz w:val="24"/>
                <w:lang w:val="en-US" w:eastAsia="zh-CN" w:bidi="ar-SA"/>
              </w:rPr>
              <w:t>表</w:t>
            </w:r>
            <w:r>
              <w:rPr>
                <w:rFonts w:hint="eastAsia" w:eastAsia="黑体" w:cs="Times New Roman"/>
                <w:color w:val="auto"/>
                <w:kern w:val="2"/>
                <w:sz w:val="24"/>
                <w:lang w:val="en-US" w:eastAsia="zh-CN" w:bidi="ar-SA"/>
              </w:rPr>
              <w:t xml:space="preserve">4-2 </w:t>
            </w:r>
            <w:r>
              <w:rPr>
                <w:rFonts w:hint="eastAsia" w:ascii="Times New Roman" w:hAnsi="Times New Roman" w:eastAsia="黑体" w:cs="Times New Roman"/>
                <w:color w:val="auto"/>
                <w:kern w:val="2"/>
                <w:sz w:val="24"/>
                <w:lang w:val="en-US" w:eastAsia="zh-CN" w:bidi="ar-SA"/>
              </w:rPr>
              <w:t>非正常工况下主要污染源汇总表</w:t>
            </w:r>
          </w:p>
          <w:tbl>
            <w:tblPr>
              <w:tblStyle w:val="2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759"/>
              <w:gridCol w:w="838"/>
              <w:gridCol w:w="831"/>
              <w:gridCol w:w="1355"/>
              <w:gridCol w:w="744"/>
              <w:gridCol w:w="780"/>
              <w:gridCol w:w="684"/>
              <w:gridCol w:w="852"/>
              <w:gridCol w:w="1073"/>
            </w:tblGrid>
            <w:tr w14:paraId="29E18BD5">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488" w:hRule="atLeast"/>
                <w:jc w:val="center"/>
              </w:trPr>
              <w:tc>
                <w:tcPr>
                  <w:tcW w:w="759" w:type="dxa"/>
                  <w:tcBorders>
                    <w:tl2br w:val="nil"/>
                    <w:tr2bl w:val="nil"/>
                  </w:tcBorders>
                  <w:noWrap w:val="0"/>
                  <w:vAlign w:val="center"/>
                </w:tcPr>
                <w:p w14:paraId="138BC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sz w:val="21"/>
                      <w:szCs w:val="21"/>
                    </w:rPr>
                  </w:pPr>
                  <w:r>
                    <w:rPr>
                      <w:rFonts w:ascii="Times New Roman" w:hAnsi="Times New Roman"/>
                      <w:b/>
                      <w:bCs/>
                      <w:color w:val="000000"/>
                      <w:sz w:val="21"/>
                      <w:szCs w:val="21"/>
                    </w:rPr>
                    <w:t>污染源</w:t>
                  </w:r>
                </w:p>
              </w:tc>
              <w:tc>
                <w:tcPr>
                  <w:tcW w:w="838" w:type="dxa"/>
                  <w:tcBorders>
                    <w:tl2br w:val="nil"/>
                    <w:tr2bl w:val="nil"/>
                  </w:tcBorders>
                  <w:noWrap w:val="0"/>
                  <w:vAlign w:val="center"/>
                </w:tcPr>
                <w:p w14:paraId="4C5F9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sz w:val="21"/>
                      <w:szCs w:val="21"/>
                    </w:rPr>
                  </w:pPr>
                  <w:r>
                    <w:rPr>
                      <w:rFonts w:ascii="Times New Roman" w:hAnsi="Times New Roman"/>
                      <w:b/>
                      <w:bCs/>
                      <w:color w:val="000000"/>
                      <w:sz w:val="21"/>
                      <w:szCs w:val="21"/>
                    </w:rPr>
                    <w:t>污染物</w:t>
                  </w:r>
                </w:p>
              </w:tc>
              <w:tc>
                <w:tcPr>
                  <w:tcW w:w="831" w:type="dxa"/>
                  <w:tcBorders>
                    <w:tl2br w:val="nil"/>
                    <w:tr2bl w:val="nil"/>
                  </w:tcBorders>
                  <w:noWrap w:val="0"/>
                  <w:vAlign w:val="center"/>
                </w:tcPr>
                <w:p w14:paraId="7F482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sz w:val="21"/>
                      <w:szCs w:val="21"/>
                    </w:rPr>
                  </w:pPr>
                  <w:r>
                    <w:rPr>
                      <w:rFonts w:ascii="Times New Roman" w:hAnsi="Times New Roman"/>
                      <w:b/>
                      <w:bCs/>
                      <w:color w:val="000000"/>
                      <w:sz w:val="21"/>
                      <w:szCs w:val="21"/>
                    </w:rPr>
                    <w:t>产生量</w:t>
                  </w:r>
                  <w:r>
                    <w:rPr>
                      <w:rFonts w:ascii="Times New Roman" w:hAnsi="Times New Roman"/>
                      <w:color w:val="auto"/>
                      <w:sz w:val="21"/>
                      <w:szCs w:val="21"/>
                    </w:rPr>
                    <w:t>t/a</w:t>
                  </w:r>
                </w:p>
              </w:tc>
              <w:tc>
                <w:tcPr>
                  <w:tcW w:w="1355" w:type="dxa"/>
                  <w:tcBorders>
                    <w:tl2br w:val="nil"/>
                    <w:tr2bl w:val="nil"/>
                  </w:tcBorders>
                  <w:noWrap w:val="0"/>
                  <w:vAlign w:val="center"/>
                </w:tcPr>
                <w:p w14:paraId="7B3FB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sz w:val="21"/>
                      <w:szCs w:val="21"/>
                    </w:rPr>
                  </w:pPr>
                  <w:r>
                    <w:rPr>
                      <w:rFonts w:ascii="Times New Roman" w:hAnsi="Times New Roman"/>
                      <w:b/>
                      <w:bCs/>
                      <w:color w:val="000000"/>
                      <w:sz w:val="21"/>
                      <w:szCs w:val="21"/>
                    </w:rPr>
                    <w:t>产生浓度</w:t>
                  </w:r>
                  <w:r>
                    <w:rPr>
                      <w:rFonts w:ascii="Times New Roman" w:hAnsi="Times New Roman"/>
                      <w:color w:val="auto"/>
                      <w:sz w:val="21"/>
                      <w:szCs w:val="21"/>
                    </w:rPr>
                    <w:t>mg/m</w:t>
                  </w:r>
                  <w:r>
                    <w:rPr>
                      <w:rFonts w:ascii="Times New Roman" w:hAnsi="Times New Roman"/>
                      <w:color w:val="auto"/>
                      <w:sz w:val="21"/>
                      <w:szCs w:val="21"/>
                      <w:vertAlign w:val="superscript"/>
                    </w:rPr>
                    <w:t>3</w:t>
                  </w:r>
                </w:p>
              </w:tc>
              <w:tc>
                <w:tcPr>
                  <w:tcW w:w="744" w:type="dxa"/>
                  <w:tcBorders>
                    <w:tl2br w:val="nil"/>
                    <w:tr2bl w:val="nil"/>
                  </w:tcBorders>
                  <w:noWrap w:val="0"/>
                  <w:vAlign w:val="center"/>
                </w:tcPr>
                <w:p w14:paraId="1730F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sz w:val="21"/>
                      <w:szCs w:val="21"/>
                    </w:rPr>
                  </w:pPr>
                  <w:r>
                    <w:rPr>
                      <w:rFonts w:ascii="Times New Roman" w:hAnsi="Times New Roman"/>
                      <w:b/>
                      <w:bCs/>
                      <w:color w:val="000000"/>
                      <w:sz w:val="21"/>
                      <w:szCs w:val="21"/>
                    </w:rPr>
                    <w:t>处理效率</w:t>
                  </w:r>
                </w:p>
              </w:tc>
              <w:tc>
                <w:tcPr>
                  <w:tcW w:w="780" w:type="dxa"/>
                  <w:tcBorders>
                    <w:tl2br w:val="nil"/>
                    <w:tr2bl w:val="nil"/>
                  </w:tcBorders>
                  <w:noWrap w:val="0"/>
                  <w:vAlign w:val="center"/>
                </w:tcPr>
                <w:p w14:paraId="1D306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sz w:val="21"/>
                      <w:szCs w:val="21"/>
                      <w:lang w:val="en-US" w:eastAsia="zh-CN"/>
                    </w:rPr>
                  </w:pPr>
                  <w:r>
                    <w:rPr>
                      <w:rFonts w:hint="eastAsia"/>
                      <w:b/>
                      <w:bCs/>
                      <w:color w:val="000000"/>
                      <w:sz w:val="21"/>
                      <w:szCs w:val="21"/>
                      <w:lang w:val="en-US" w:eastAsia="zh-CN"/>
                    </w:rPr>
                    <w:t>排放</w:t>
                  </w:r>
                </w:p>
                <w:p w14:paraId="3A1D1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000000"/>
                      <w:sz w:val="21"/>
                      <w:szCs w:val="21"/>
                      <w:lang w:val="en-US" w:eastAsia="zh-CN"/>
                    </w:rPr>
                  </w:pPr>
                  <w:r>
                    <w:rPr>
                      <w:rFonts w:hint="eastAsia"/>
                      <w:b/>
                      <w:bCs/>
                      <w:color w:val="000000"/>
                      <w:sz w:val="21"/>
                      <w:szCs w:val="21"/>
                      <w:lang w:val="en-US" w:eastAsia="zh-CN"/>
                    </w:rPr>
                    <w:t>频次</w:t>
                  </w:r>
                </w:p>
              </w:tc>
              <w:tc>
                <w:tcPr>
                  <w:tcW w:w="684" w:type="dxa"/>
                  <w:tcBorders>
                    <w:tl2br w:val="nil"/>
                    <w:tr2bl w:val="nil"/>
                  </w:tcBorders>
                  <w:noWrap w:val="0"/>
                  <w:vAlign w:val="center"/>
                </w:tcPr>
                <w:p w14:paraId="42A6E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sz w:val="21"/>
                      <w:szCs w:val="21"/>
                      <w:lang w:val="en-US" w:eastAsia="zh-CN"/>
                    </w:rPr>
                  </w:pPr>
                  <w:r>
                    <w:rPr>
                      <w:rFonts w:hint="eastAsia"/>
                      <w:b/>
                      <w:bCs/>
                      <w:color w:val="000000"/>
                      <w:sz w:val="21"/>
                      <w:szCs w:val="21"/>
                      <w:lang w:val="en-US" w:eastAsia="zh-CN"/>
                    </w:rPr>
                    <w:t>持续</w:t>
                  </w:r>
                </w:p>
                <w:p w14:paraId="5D739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000000"/>
                      <w:sz w:val="21"/>
                      <w:szCs w:val="21"/>
                      <w:lang w:val="en-US" w:eastAsia="zh-CN"/>
                    </w:rPr>
                  </w:pPr>
                  <w:r>
                    <w:rPr>
                      <w:rFonts w:hint="eastAsia"/>
                      <w:b/>
                      <w:bCs/>
                      <w:color w:val="000000"/>
                      <w:sz w:val="21"/>
                      <w:szCs w:val="21"/>
                      <w:lang w:val="en-US" w:eastAsia="zh-CN"/>
                    </w:rPr>
                    <w:t>时间</w:t>
                  </w:r>
                </w:p>
              </w:tc>
              <w:tc>
                <w:tcPr>
                  <w:tcW w:w="852" w:type="dxa"/>
                  <w:tcBorders>
                    <w:tl2br w:val="nil"/>
                    <w:tr2bl w:val="nil"/>
                  </w:tcBorders>
                  <w:noWrap w:val="0"/>
                  <w:vAlign w:val="center"/>
                </w:tcPr>
                <w:p w14:paraId="34E83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000000"/>
                      <w:kern w:val="2"/>
                      <w:sz w:val="21"/>
                      <w:szCs w:val="21"/>
                      <w:lang w:val="en-US" w:eastAsia="zh-CN" w:bidi="ar-SA"/>
                    </w:rPr>
                  </w:pPr>
                  <w:r>
                    <w:rPr>
                      <w:rFonts w:ascii="Times New Roman" w:hAnsi="Times New Roman"/>
                      <w:b/>
                      <w:bCs/>
                      <w:color w:val="000000"/>
                      <w:sz w:val="21"/>
                      <w:szCs w:val="21"/>
                    </w:rPr>
                    <w:t>排放量</w:t>
                  </w:r>
                  <w:r>
                    <w:rPr>
                      <w:rFonts w:ascii="Times New Roman" w:hAnsi="Times New Roman"/>
                      <w:color w:val="auto"/>
                      <w:sz w:val="21"/>
                      <w:szCs w:val="21"/>
                    </w:rPr>
                    <w:t>t/a</w:t>
                  </w:r>
                </w:p>
              </w:tc>
              <w:tc>
                <w:tcPr>
                  <w:tcW w:w="1073" w:type="dxa"/>
                  <w:tcBorders>
                    <w:tl2br w:val="nil"/>
                    <w:tr2bl w:val="nil"/>
                  </w:tcBorders>
                  <w:noWrap w:val="0"/>
                  <w:vAlign w:val="center"/>
                </w:tcPr>
                <w:p w14:paraId="5F0D3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000000"/>
                      <w:kern w:val="2"/>
                      <w:sz w:val="21"/>
                      <w:szCs w:val="21"/>
                      <w:lang w:val="en-US" w:eastAsia="zh-CN" w:bidi="ar-SA"/>
                    </w:rPr>
                  </w:pPr>
                  <w:r>
                    <w:rPr>
                      <w:rFonts w:ascii="Times New Roman" w:hAnsi="Times New Roman"/>
                      <w:b/>
                      <w:bCs/>
                      <w:color w:val="000000"/>
                      <w:sz w:val="21"/>
                      <w:szCs w:val="21"/>
                    </w:rPr>
                    <w:t>排放浓度</w:t>
                  </w:r>
                  <w:r>
                    <w:rPr>
                      <w:rFonts w:ascii="Times New Roman" w:hAnsi="Times New Roman"/>
                      <w:color w:val="auto"/>
                      <w:sz w:val="21"/>
                      <w:szCs w:val="21"/>
                    </w:rPr>
                    <w:t>mg/m</w:t>
                  </w:r>
                  <w:r>
                    <w:rPr>
                      <w:rFonts w:ascii="Times New Roman" w:hAnsi="Times New Roman"/>
                      <w:color w:val="auto"/>
                      <w:sz w:val="21"/>
                      <w:szCs w:val="21"/>
                      <w:vertAlign w:val="superscript"/>
                    </w:rPr>
                    <w:t>3</w:t>
                  </w:r>
                </w:p>
              </w:tc>
            </w:tr>
            <w:tr w14:paraId="14BAB63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664" w:hRule="atLeast"/>
                <w:jc w:val="center"/>
              </w:trPr>
              <w:tc>
                <w:tcPr>
                  <w:tcW w:w="759" w:type="dxa"/>
                  <w:tcBorders>
                    <w:tl2br w:val="nil"/>
                    <w:tr2bl w:val="nil"/>
                  </w:tcBorders>
                  <w:noWrap w:val="0"/>
                  <w:vAlign w:val="center"/>
                </w:tcPr>
                <w:p w14:paraId="2BEA75C0">
                  <w:pPr>
                    <w:pStyle w:val="1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u w:val="none"/>
                      <w:lang w:val="en-US" w:eastAsia="zh-CN"/>
                    </w:rPr>
                    <w:t>炒制工序</w:t>
                  </w:r>
                </w:p>
              </w:tc>
              <w:tc>
                <w:tcPr>
                  <w:tcW w:w="838" w:type="dxa"/>
                  <w:tcBorders>
                    <w:tl2br w:val="nil"/>
                    <w:tr2bl w:val="nil"/>
                  </w:tcBorders>
                  <w:noWrap w:val="0"/>
                  <w:vAlign w:val="center"/>
                </w:tcPr>
                <w:p w14:paraId="76DA5A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油烟</w:t>
                  </w:r>
                </w:p>
              </w:tc>
              <w:tc>
                <w:tcPr>
                  <w:tcW w:w="831" w:type="dxa"/>
                  <w:tcBorders>
                    <w:tl2br w:val="nil"/>
                    <w:tr2bl w:val="nil"/>
                  </w:tcBorders>
                  <w:noWrap w:val="0"/>
                  <w:vAlign w:val="center"/>
                </w:tcPr>
                <w:p w14:paraId="43807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0.763</w:t>
                  </w:r>
                </w:p>
              </w:tc>
              <w:tc>
                <w:tcPr>
                  <w:tcW w:w="1355" w:type="dxa"/>
                  <w:tcBorders>
                    <w:tl2br w:val="nil"/>
                    <w:tr2bl w:val="nil"/>
                  </w:tcBorders>
                  <w:noWrap w:val="0"/>
                  <w:vAlign w:val="center"/>
                </w:tcPr>
                <w:p w14:paraId="4831E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15.9</w:t>
                  </w:r>
                </w:p>
              </w:tc>
              <w:tc>
                <w:tcPr>
                  <w:tcW w:w="744" w:type="dxa"/>
                  <w:tcBorders>
                    <w:tl2br w:val="nil"/>
                    <w:tr2bl w:val="nil"/>
                  </w:tcBorders>
                  <w:noWrap w:val="0"/>
                  <w:vAlign w:val="center"/>
                </w:tcPr>
                <w:p w14:paraId="478C9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c>
                <w:tcPr>
                  <w:tcW w:w="780" w:type="dxa"/>
                  <w:tcBorders>
                    <w:tl2br w:val="nil"/>
                    <w:tr2bl w:val="nil"/>
                  </w:tcBorders>
                  <w:shd w:val="clear" w:color="auto" w:fill="auto"/>
                  <w:noWrap w:val="0"/>
                  <w:vAlign w:val="center"/>
                </w:tcPr>
                <w:p w14:paraId="75539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bCs/>
                      <w:color w:val="000000"/>
                      <w:sz w:val="21"/>
                      <w:szCs w:val="21"/>
                    </w:rPr>
                    <w:t>1次/a</w:t>
                  </w:r>
                </w:p>
              </w:tc>
              <w:tc>
                <w:tcPr>
                  <w:tcW w:w="684" w:type="dxa"/>
                  <w:tcBorders>
                    <w:tl2br w:val="nil"/>
                    <w:tr2bl w:val="nil"/>
                  </w:tcBorders>
                  <w:shd w:val="clear" w:color="auto" w:fill="auto"/>
                  <w:noWrap w:val="0"/>
                  <w:vAlign w:val="center"/>
                </w:tcPr>
                <w:p w14:paraId="667A5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bCs/>
                      <w:color w:val="000000"/>
                      <w:sz w:val="21"/>
                      <w:szCs w:val="21"/>
                    </w:rPr>
                    <w:t>0.5h</w:t>
                  </w:r>
                </w:p>
              </w:tc>
              <w:tc>
                <w:tcPr>
                  <w:tcW w:w="852" w:type="dxa"/>
                  <w:tcBorders>
                    <w:tl2br w:val="nil"/>
                    <w:tr2bl w:val="nil"/>
                  </w:tcBorders>
                  <w:noWrap w:val="0"/>
                  <w:vAlign w:val="center"/>
                </w:tcPr>
                <w:p w14:paraId="3F0074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0.763</w:t>
                  </w:r>
                </w:p>
              </w:tc>
              <w:tc>
                <w:tcPr>
                  <w:tcW w:w="1073" w:type="dxa"/>
                  <w:tcBorders>
                    <w:tl2br w:val="nil"/>
                    <w:tr2bl w:val="nil"/>
                  </w:tcBorders>
                  <w:noWrap w:val="0"/>
                  <w:vAlign w:val="center"/>
                </w:tcPr>
                <w:p w14:paraId="08502A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15.9</w:t>
                  </w:r>
                </w:p>
              </w:tc>
            </w:tr>
            <w:tr w14:paraId="65E8DFB1">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534" w:hRule="atLeast"/>
                <w:jc w:val="center"/>
              </w:trPr>
              <w:tc>
                <w:tcPr>
                  <w:tcW w:w="759" w:type="dxa"/>
                  <w:vMerge w:val="restart"/>
                  <w:tcBorders>
                    <w:tl2br w:val="nil"/>
                    <w:tr2bl w:val="nil"/>
                  </w:tcBorders>
                  <w:noWrap w:val="0"/>
                  <w:vAlign w:val="center"/>
                </w:tcPr>
                <w:p w14:paraId="13B8C410">
                  <w:pPr>
                    <w:pStyle w:val="1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污水设施</w:t>
                  </w:r>
                </w:p>
              </w:tc>
              <w:tc>
                <w:tcPr>
                  <w:tcW w:w="838" w:type="dxa"/>
                  <w:tcBorders>
                    <w:tl2br w:val="nil"/>
                    <w:tr2bl w:val="nil"/>
                  </w:tcBorders>
                  <w:noWrap w:val="0"/>
                  <w:vAlign w:val="center"/>
                </w:tcPr>
                <w:p w14:paraId="786115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氨</w:t>
                  </w:r>
                </w:p>
              </w:tc>
              <w:tc>
                <w:tcPr>
                  <w:tcW w:w="831" w:type="dxa"/>
                  <w:tcBorders>
                    <w:tl2br w:val="nil"/>
                    <w:tr2bl w:val="nil"/>
                  </w:tcBorders>
                  <w:shd w:val="clear" w:color="auto" w:fill="auto"/>
                  <w:noWrap w:val="0"/>
                  <w:vAlign w:val="center"/>
                </w:tcPr>
                <w:p w14:paraId="610CB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0.0029</w:t>
                  </w:r>
                </w:p>
              </w:tc>
              <w:tc>
                <w:tcPr>
                  <w:tcW w:w="1355" w:type="dxa"/>
                  <w:tcBorders>
                    <w:tl2br w:val="nil"/>
                    <w:tr2bl w:val="nil"/>
                  </w:tcBorders>
                  <w:shd w:val="clear" w:color="auto" w:fill="auto"/>
                  <w:noWrap w:val="0"/>
                  <w:vAlign w:val="center"/>
                </w:tcPr>
                <w:p w14:paraId="4FC800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1.2083</w:t>
                  </w:r>
                </w:p>
              </w:tc>
              <w:tc>
                <w:tcPr>
                  <w:tcW w:w="744" w:type="dxa"/>
                  <w:tcBorders>
                    <w:tl2br w:val="nil"/>
                    <w:tr2bl w:val="nil"/>
                  </w:tcBorders>
                  <w:noWrap w:val="0"/>
                  <w:vAlign w:val="center"/>
                </w:tcPr>
                <w:p w14:paraId="1F99C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0</w:t>
                  </w:r>
                </w:p>
              </w:tc>
              <w:tc>
                <w:tcPr>
                  <w:tcW w:w="780" w:type="dxa"/>
                  <w:tcBorders>
                    <w:tl2br w:val="nil"/>
                    <w:tr2bl w:val="nil"/>
                  </w:tcBorders>
                  <w:shd w:val="clear" w:color="auto" w:fill="auto"/>
                  <w:noWrap w:val="0"/>
                  <w:vAlign w:val="center"/>
                </w:tcPr>
                <w:p w14:paraId="627E2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sz w:val="21"/>
                      <w:szCs w:val="21"/>
                    </w:rPr>
                  </w:pPr>
                  <w:r>
                    <w:rPr>
                      <w:bCs/>
                      <w:color w:val="000000"/>
                      <w:sz w:val="21"/>
                      <w:szCs w:val="21"/>
                    </w:rPr>
                    <w:t>1次/a</w:t>
                  </w:r>
                </w:p>
              </w:tc>
              <w:tc>
                <w:tcPr>
                  <w:tcW w:w="684" w:type="dxa"/>
                  <w:tcBorders>
                    <w:tl2br w:val="nil"/>
                    <w:tr2bl w:val="nil"/>
                  </w:tcBorders>
                  <w:shd w:val="clear" w:color="auto" w:fill="auto"/>
                  <w:noWrap w:val="0"/>
                  <w:vAlign w:val="center"/>
                </w:tcPr>
                <w:p w14:paraId="4E81C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000000"/>
                      <w:sz w:val="21"/>
                      <w:szCs w:val="21"/>
                      <w:lang w:val="en-US" w:eastAsia="zh-CN"/>
                    </w:rPr>
                  </w:pPr>
                  <w:r>
                    <w:rPr>
                      <w:bCs/>
                      <w:color w:val="000000"/>
                      <w:sz w:val="21"/>
                      <w:szCs w:val="21"/>
                    </w:rPr>
                    <w:t>0.5h</w:t>
                  </w:r>
                </w:p>
              </w:tc>
              <w:tc>
                <w:tcPr>
                  <w:tcW w:w="852" w:type="dxa"/>
                  <w:tcBorders>
                    <w:tl2br w:val="nil"/>
                    <w:tr2bl w:val="nil"/>
                  </w:tcBorders>
                  <w:shd w:val="clear" w:color="auto" w:fill="auto"/>
                  <w:noWrap w:val="0"/>
                  <w:vAlign w:val="center"/>
                </w:tcPr>
                <w:p w14:paraId="52CB9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0.0029</w:t>
                  </w:r>
                </w:p>
              </w:tc>
              <w:tc>
                <w:tcPr>
                  <w:tcW w:w="1073" w:type="dxa"/>
                  <w:tcBorders>
                    <w:tl2br w:val="nil"/>
                    <w:tr2bl w:val="nil"/>
                  </w:tcBorders>
                  <w:shd w:val="clear" w:color="auto" w:fill="auto"/>
                  <w:noWrap w:val="0"/>
                  <w:vAlign w:val="center"/>
                </w:tcPr>
                <w:p w14:paraId="27568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1.2083</w:t>
                  </w:r>
                </w:p>
              </w:tc>
            </w:tr>
            <w:tr w14:paraId="36927161">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544" w:hRule="atLeast"/>
                <w:jc w:val="center"/>
              </w:trPr>
              <w:tc>
                <w:tcPr>
                  <w:tcW w:w="759" w:type="dxa"/>
                  <w:vMerge w:val="continue"/>
                  <w:tcBorders>
                    <w:tl2br w:val="nil"/>
                    <w:tr2bl w:val="nil"/>
                  </w:tcBorders>
                  <w:noWrap w:val="0"/>
                  <w:vAlign w:val="center"/>
                </w:tcPr>
                <w:p w14:paraId="0315DBEF">
                  <w:pPr>
                    <w:pStyle w:val="1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sz w:val="21"/>
                      <w:szCs w:val="21"/>
                      <w:u w:val="none"/>
                      <w:lang w:val="en-US" w:eastAsia="zh-CN"/>
                    </w:rPr>
                  </w:pPr>
                </w:p>
              </w:tc>
              <w:tc>
                <w:tcPr>
                  <w:tcW w:w="838" w:type="dxa"/>
                  <w:tcBorders>
                    <w:tl2br w:val="nil"/>
                    <w:tr2bl w:val="nil"/>
                  </w:tcBorders>
                  <w:noWrap w:val="0"/>
                  <w:vAlign w:val="center"/>
                </w:tcPr>
                <w:p w14:paraId="11F4F0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硫化氢</w:t>
                  </w:r>
                </w:p>
              </w:tc>
              <w:tc>
                <w:tcPr>
                  <w:tcW w:w="831" w:type="dxa"/>
                  <w:tcBorders>
                    <w:tl2br w:val="nil"/>
                    <w:tr2bl w:val="nil"/>
                  </w:tcBorders>
                  <w:shd w:val="clear" w:color="auto" w:fill="auto"/>
                  <w:noWrap w:val="0"/>
                  <w:vAlign w:val="center"/>
                </w:tcPr>
                <w:p w14:paraId="586CDB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0.0002</w:t>
                  </w:r>
                </w:p>
              </w:tc>
              <w:tc>
                <w:tcPr>
                  <w:tcW w:w="1355" w:type="dxa"/>
                  <w:tcBorders>
                    <w:tl2br w:val="nil"/>
                    <w:tr2bl w:val="nil"/>
                  </w:tcBorders>
                  <w:shd w:val="clear" w:color="auto" w:fill="auto"/>
                  <w:noWrap w:val="0"/>
                  <w:vAlign w:val="center"/>
                </w:tcPr>
                <w:p w14:paraId="591E6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0.0833</w:t>
                  </w:r>
                </w:p>
              </w:tc>
              <w:tc>
                <w:tcPr>
                  <w:tcW w:w="744" w:type="dxa"/>
                  <w:tcBorders>
                    <w:tl2br w:val="nil"/>
                    <w:tr2bl w:val="nil"/>
                  </w:tcBorders>
                  <w:noWrap w:val="0"/>
                  <w:vAlign w:val="center"/>
                </w:tcPr>
                <w:p w14:paraId="18B64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0</w:t>
                  </w:r>
                </w:p>
              </w:tc>
              <w:tc>
                <w:tcPr>
                  <w:tcW w:w="780" w:type="dxa"/>
                  <w:tcBorders>
                    <w:tl2br w:val="nil"/>
                    <w:tr2bl w:val="nil"/>
                  </w:tcBorders>
                  <w:shd w:val="clear" w:color="auto" w:fill="auto"/>
                  <w:noWrap w:val="0"/>
                  <w:vAlign w:val="center"/>
                </w:tcPr>
                <w:p w14:paraId="136EC3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sz w:val="21"/>
                      <w:szCs w:val="21"/>
                    </w:rPr>
                  </w:pPr>
                  <w:r>
                    <w:rPr>
                      <w:bCs/>
                      <w:color w:val="000000"/>
                      <w:sz w:val="21"/>
                      <w:szCs w:val="21"/>
                    </w:rPr>
                    <w:t>1次/a</w:t>
                  </w:r>
                </w:p>
              </w:tc>
              <w:tc>
                <w:tcPr>
                  <w:tcW w:w="684" w:type="dxa"/>
                  <w:tcBorders>
                    <w:tl2br w:val="nil"/>
                    <w:tr2bl w:val="nil"/>
                  </w:tcBorders>
                  <w:shd w:val="clear" w:color="auto" w:fill="auto"/>
                  <w:noWrap w:val="0"/>
                  <w:vAlign w:val="center"/>
                </w:tcPr>
                <w:p w14:paraId="71825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sz w:val="21"/>
                      <w:szCs w:val="21"/>
                    </w:rPr>
                  </w:pPr>
                  <w:r>
                    <w:rPr>
                      <w:bCs/>
                      <w:color w:val="000000"/>
                      <w:sz w:val="21"/>
                      <w:szCs w:val="21"/>
                    </w:rPr>
                    <w:t>0.5h</w:t>
                  </w:r>
                </w:p>
              </w:tc>
              <w:tc>
                <w:tcPr>
                  <w:tcW w:w="852" w:type="dxa"/>
                  <w:tcBorders>
                    <w:tl2br w:val="nil"/>
                    <w:tr2bl w:val="nil"/>
                  </w:tcBorders>
                  <w:shd w:val="clear" w:color="auto" w:fill="auto"/>
                  <w:noWrap w:val="0"/>
                  <w:vAlign w:val="center"/>
                </w:tcPr>
                <w:p w14:paraId="710A7F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0.0002</w:t>
                  </w:r>
                </w:p>
              </w:tc>
              <w:tc>
                <w:tcPr>
                  <w:tcW w:w="1073" w:type="dxa"/>
                  <w:tcBorders>
                    <w:tl2br w:val="nil"/>
                    <w:tr2bl w:val="nil"/>
                  </w:tcBorders>
                  <w:shd w:val="clear" w:color="auto" w:fill="auto"/>
                  <w:noWrap w:val="0"/>
                  <w:vAlign w:val="center"/>
                </w:tcPr>
                <w:p w14:paraId="106BA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0.0833</w:t>
                  </w:r>
                </w:p>
              </w:tc>
            </w:tr>
          </w:tbl>
          <w:p w14:paraId="598BB78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left"/>
              <w:textAlignment w:val="auto"/>
              <w:outlineLvl w:val="9"/>
              <w:rPr>
                <w:rFonts w:hint="eastAsia"/>
                <w:sz w:val="24"/>
                <w:lang w:bidi="zh-TW"/>
              </w:rPr>
            </w:pPr>
            <w:r>
              <w:rPr>
                <w:rFonts w:hint="default" w:ascii="Times New Roman" w:hAnsi="Times New Roman" w:eastAsia="宋体" w:cs="Times New Roman"/>
                <w:b w:val="0"/>
                <w:bCs w:val="0"/>
                <w:color w:val="auto"/>
                <w:kern w:val="0"/>
                <w:sz w:val="24"/>
                <w:szCs w:val="24"/>
                <w:u w:val="none"/>
                <w:lang w:val="en-US" w:eastAsia="zh-CN"/>
              </w:rPr>
              <w:t>此种情况下，设施处理效率降低，对废气无处理效率，非正常排放历时不超过0.5h</w:t>
            </w:r>
            <w:r>
              <w:rPr>
                <w:rFonts w:hint="eastAsia" w:ascii="Times New Roman" w:hAnsi="Times New Roman" w:eastAsia="宋体" w:cs="Times New Roman"/>
                <w:b w:val="0"/>
                <w:bCs w:val="0"/>
                <w:color w:val="auto"/>
                <w:kern w:val="0"/>
                <w:sz w:val="24"/>
                <w:szCs w:val="24"/>
                <w:u w:val="none"/>
                <w:lang w:val="en-US" w:eastAsia="zh-CN"/>
              </w:rPr>
              <w:t>，应该及时停工停产，维修环保设备。</w:t>
            </w:r>
            <w:r>
              <w:rPr>
                <w:rFonts w:hint="eastAsia"/>
                <w:sz w:val="24"/>
                <w:lang w:bidi="zh-TW"/>
              </w:rPr>
              <w:t>为确保项目废气处理装置正常运行，建设方在日常运行过程中，拟采取如下措施：</w:t>
            </w:r>
          </w:p>
          <w:p w14:paraId="237B8DE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lang w:bidi="zh-TW"/>
              </w:rPr>
            </w:pPr>
            <w:r>
              <w:rPr>
                <w:rFonts w:hint="eastAsia"/>
                <w:sz w:val="24"/>
                <w:lang w:bidi="zh-TW"/>
              </w:rPr>
              <w:t>①由公司委派专人负责每日巡检废气处理装置，做好巡检记录。</w:t>
            </w:r>
          </w:p>
          <w:p w14:paraId="15D89DC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lang w:bidi="zh-TW"/>
              </w:rPr>
            </w:pPr>
            <w:r>
              <w:rPr>
                <w:rFonts w:hint="eastAsia"/>
                <w:sz w:val="24"/>
                <w:lang w:bidi="zh-TW"/>
              </w:rPr>
              <w:t>②当发现废气处理设施故障并导致废气非正常排放时，应立即停止生产等，待废气处理装置故障排除后并可正常运行时方可恢复生产。</w:t>
            </w:r>
          </w:p>
          <w:p w14:paraId="64DB675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lang w:bidi="zh-TW"/>
              </w:rPr>
            </w:pPr>
            <w:r>
              <w:rPr>
                <w:rFonts w:hint="eastAsia"/>
                <w:sz w:val="24"/>
                <w:lang w:bidi="zh-TW"/>
              </w:rPr>
              <w:t>③按照环评要求定期对废气处理装置进行维护保养，以减少废气的非正常排放。</w:t>
            </w:r>
          </w:p>
          <w:p w14:paraId="5A77024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lang w:bidi="zh-TW"/>
              </w:rPr>
            </w:pPr>
            <w:r>
              <w:rPr>
                <w:rFonts w:hint="eastAsia"/>
                <w:sz w:val="24"/>
                <w:lang w:bidi="zh-TW"/>
              </w:rPr>
              <w:t>④建立废气处理装置运行管理台账，由专人负责记录</w:t>
            </w:r>
            <w:r>
              <w:rPr>
                <w:rFonts w:hint="eastAsia"/>
                <w:sz w:val="24"/>
                <w:lang w:val="en-US" w:eastAsia="zh-CN" w:bidi="zh-TW"/>
              </w:rPr>
              <w:t>并且保存</w:t>
            </w:r>
            <w:r>
              <w:rPr>
                <w:rFonts w:hint="eastAsia"/>
                <w:sz w:val="24"/>
                <w:lang w:bidi="zh-TW"/>
              </w:rPr>
              <w:t>。</w:t>
            </w:r>
          </w:p>
          <w:p w14:paraId="37ED8B3C">
            <w:pPr>
              <w:keepNext w:val="0"/>
              <w:keepLines w:val="0"/>
              <w:pageBreakBefore w:val="0"/>
              <w:widowControl w:val="0"/>
              <w:kinsoku/>
              <w:wordWrap/>
              <w:overflowPunct/>
              <w:topLinePunct w:val="0"/>
              <w:autoSpaceDE/>
              <w:autoSpaceDN/>
              <w:bidi w:val="0"/>
              <w:adjustRightInd/>
              <w:snapToGrid/>
              <w:spacing w:line="500" w:lineRule="exact"/>
              <w:ind w:firstLine="464" w:firstLineChars="200"/>
              <w:textAlignment w:val="auto"/>
              <w:rPr>
                <w:b w:val="0"/>
                <w:bCs/>
                <w:color w:val="000000"/>
                <w:spacing w:val="-4"/>
                <w:sz w:val="24"/>
                <w:highlight w:val="none"/>
                <w:u w:val="none"/>
              </w:rPr>
            </w:pPr>
            <w:r>
              <w:rPr>
                <w:b w:val="0"/>
                <w:bCs/>
                <w:color w:val="000000"/>
                <w:spacing w:val="-4"/>
                <w:sz w:val="24"/>
                <w:highlight w:val="none"/>
                <w:u w:val="none"/>
              </w:rPr>
              <w:t>1.</w:t>
            </w:r>
            <w:r>
              <w:rPr>
                <w:rFonts w:hint="eastAsia"/>
                <w:b w:val="0"/>
                <w:bCs/>
                <w:color w:val="000000"/>
                <w:spacing w:val="-4"/>
                <w:sz w:val="24"/>
                <w:highlight w:val="none"/>
                <w:u w:val="none"/>
                <w:lang w:val="en-US" w:eastAsia="zh-CN"/>
              </w:rPr>
              <w:t>3</w:t>
            </w:r>
            <w:r>
              <w:rPr>
                <w:b w:val="0"/>
                <w:bCs/>
                <w:color w:val="000000"/>
                <w:spacing w:val="-4"/>
                <w:sz w:val="24"/>
                <w:highlight w:val="none"/>
                <w:u w:val="none"/>
              </w:rPr>
              <w:t>废气处理措施可行性分析</w:t>
            </w:r>
          </w:p>
          <w:p w14:paraId="458B2654">
            <w:pPr>
              <w:keepNext w:val="0"/>
              <w:keepLines w:val="0"/>
              <w:pageBreakBefore w:val="0"/>
              <w:widowControl w:val="0"/>
              <w:kinsoku/>
              <w:wordWrap/>
              <w:overflowPunct/>
              <w:topLinePunct w:val="0"/>
              <w:autoSpaceDE/>
              <w:autoSpaceDN/>
              <w:bidi w:val="0"/>
              <w:spacing w:line="500" w:lineRule="exact"/>
              <w:ind w:firstLine="480"/>
              <w:textAlignment w:val="auto"/>
              <w:rPr>
                <w:rFonts w:hint="eastAsia"/>
                <w:sz w:val="24"/>
                <w:u w:val="none"/>
                <w:lang w:eastAsia="zh-CN"/>
              </w:rPr>
            </w:pPr>
            <w:r>
              <w:rPr>
                <w:rFonts w:hint="eastAsia"/>
                <w:color w:val="000000"/>
                <w:sz w:val="24"/>
                <w:highlight w:val="none"/>
                <w:u w:val="none"/>
                <w:lang w:val="en-US" w:eastAsia="zh-CN"/>
              </w:rPr>
              <w:t>有组织排放</w:t>
            </w:r>
            <w:r>
              <w:rPr>
                <w:rFonts w:hint="eastAsia"/>
                <w:color w:val="000000"/>
                <w:sz w:val="24"/>
                <w:u w:val="none"/>
                <w:lang w:val="en-US" w:eastAsia="zh-CN"/>
              </w:rPr>
              <w:t>可行性分析，参考《餐饮业油烟污染物排放标准</w:t>
            </w:r>
            <w:r>
              <w:rPr>
                <w:rFonts w:hint="eastAsia"/>
                <w:sz w:val="24"/>
                <w:szCs w:val="24"/>
                <w:u w:val="none"/>
                <w:lang w:val="en-US" w:eastAsia="zh-CN"/>
              </w:rPr>
              <w:t>》</w:t>
            </w:r>
            <w:r>
              <w:rPr>
                <w:color w:val="000000"/>
                <w:sz w:val="24"/>
                <w:u w:val="none"/>
              </w:rPr>
              <w:t>（</w:t>
            </w:r>
            <w:r>
              <w:rPr>
                <w:rFonts w:hint="eastAsia"/>
                <w:color w:val="000000"/>
                <w:sz w:val="24"/>
                <w:u w:val="none"/>
                <w:lang w:val="en-US" w:eastAsia="zh-CN"/>
              </w:rPr>
              <w:t>DB</w:t>
            </w:r>
            <w:r>
              <w:rPr>
                <w:color w:val="000000"/>
                <w:sz w:val="24"/>
                <w:u w:val="none"/>
              </w:rPr>
              <w:t xml:space="preserve"> 1</w:t>
            </w:r>
            <w:r>
              <w:rPr>
                <w:rFonts w:hint="eastAsia"/>
                <w:color w:val="000000"/>
                <w:sz w:val="24"/>
                <w:u w:val="none"/>
                <w:lang w:val="en-US" w:eastAsia="zh-CN"/>
              </w:rPr>
              <w:t>604</w:t>
            </w:r>
            <w:r>
              <w:rPr>
                <w:color w:val="000000"/>
                <w:sz w:val="24"/>
                <w:u w:val="none"/>
              </w:rPr>
              <w:t>—</w:t>
            </w:r>
            <w:r>
              <w:rPr>
                <w:color w:val="000000"/>
                <w:sz w:val="24"/>
                <w:highlight w:val="none"/>
                <w:u w:val="none"/>
              </w:rPr>
              <w:t>201</w:t>
            </w:r>
            <w:r>
              <w:rPr>
                <w:rFonts w:hint="eastAsia"/>
                <w:color w:val="000000"/>
                <w:sz w:val="24"/>
                <w:highlight w:val="none"/>
                <w:u w:val="none"/>
                <w:lang w:val="en-US" w:eastAsia="zh-CN"/>
              </w:rPr>
              <w:t>8</w:t>
            </w:r>
            <w:r>
              <w:rPr>
                <w:color w:val="000000"/>
                <w:sz w:val="24"/>
                <w:u w:val="none"/>
              </w:rPr>
              <w:t>）</w:t>
            </w:r>
            <w:r>
              <w:rPr>
                <w:rFonts w:hint="eastAsia"/>
                <w:color w:val="000000"/>
                <w:sz w:val="24"/>
                <w:u w:val="none"/>
                <w:lang w:val="en-US" w:eastAsia="zh-CN"/>
              </w:rPr>
              <w:t>中4.3</w:t>
            </w:r>
            <w:r>
              <w:rPr>
                <w:rFonts w:hint="eastAsia"/>
                <w:sz w:val="24"/>
                <w:u w:val="none"/>
              </w:rPr>
              <w:t>可知</w:t>
            </w:r>
            <w:r>
              <w:rPr>
                <w:rFonts w:ascii="宋体" w:hAnsi="宋体" w:eastAsia="宋体" w:cs="宋体"/>
                <w:sz w:val="24"/>
                <w:szCs w:val="24"/>
              </w:rPr>
              <w:t>餐饮服务单位产生的油烟污染物应通过集排气系统收集经净化设备处理后达标排放。</w:t>
            </w:r>
            <w:r>
              <w:rPr>
                <w:rFonts w:hint="eastAsia"/>
                <w:sz w:val="24"/>
                <w:u w:val="none"/>
                <w:lang w:val="en-US" w:eastAsia="zh-CN"/>
              </w:rPr>
              <w:t>本项目油辣椒炒制工序产生的油烟，选用油烟净化器对废气进行处理，</w:t>
            </w:r>
            <w:r>
              <w:rPr>
                <w:rFonts w:hint="eastAsia"/>
                <w:sz w:val="24"/>
                <w:u w:val="none"/>
              </w:rPr>
              <w:t>属于废气污染防治</w:t>
            </w:r>
            <w:r>
              <w:rPr>
                <w:rFonts w:hint="eastAsia"/>
                <w:sz w:val="24"/>
                <w:u w:val="none"/>
                <w:lang w:val="en-US" w:eastAsia="zh-CN"/>
              </w:rPr>
              <w:t>措施</w:t>
            </w:r>
            <w:r>
              <w:rPr>
                <w:rFonts w:hint="eastAsia"/>
                <w:sz w:val="24"/>
                <w:u w:val="none"/>
              </w:rPr>
              <w:t>可行技术，</w:t>
            </w:r>
            <w:r>
              <w:rPr>
                <w:rFonts w:hint="eastAsia"/>
                <w:sz w:val="24"/>
                <w:u w:val="none"/>
                <w:lang w:val="en-US" w:eastAsia="zh-CN"/>
              </w:rPr>
              <w:t>该项目环保措施</w:t>
            </w:r>
            <w:r>
              <w:rPr>
                <w:rFonts w:hint="eastAsia"/>
                <w:sz w:val="24"/>
                <w:u w:val="none"/>
              </w:rPr>
              <w:t>技术可行</w:t>
            </w:r>
            <w:r>
              <w:rPr>
                <w:rFonts w:hint="eastAsia"/>
                <w:sz w:val="24"/>
                <w:u w:val="none"/>
                <w:lang w:eastAsia="zh-CN"/>
              </w:rPr>
              <w:t>。</w:t>
            </w:r>
          </w:p>
          <w:p w14:paraId="76A3C6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baseline"/>
              <w:rPr>
                <w:rFonts w:hint="eastAsia" w:cs="Times New Roman"/>
                <w:b/>
                <w:bCs/>
                <w:color w:val="auto"/>
                <w:sz w:val="24"/>
                <w:szCs w:val="24"/>
                <w:u w:val="none"/>
                <w:lang w:val="en-US" w:eastAsia="zh-CN"/>
              </w:rPr>
            </w:pPr>
            <w:r>
              <w:rPr>
                <w:rFonts w:hint="eastAsia" w:ascii="Times New Roman" w:hAnsi="Times New Roman" w:eastAsia="宋体" w:cs="Times New Roman"/>
                <w:color w:val="auto"/>
                <w:kern w:val="2"/>
                <w:sz w:val="24"/>
                <w:szCs w:val="24"/>
                <w:highlight w:val="none"/>
                <w:lang w:val="en-US" w:eastAsia="zh-CN" w:bidi="ar-SA"/>
              </w:rPr>
              <w:t>根据《排污许可证申</w:t>
            </w:r>
            <w:r>
              <w:rPr>
                <w:rFonts w:hint="eastAsia" w:ascii="Times New Roman" w:hAnsi="Times New Roman" w:eastAsia="宋体" w:cs="Times New Roman"/>
                <w:color w:val="auto"/>
                <w:kern w:val="2"/>
                <w:sz w:val="24"/>
                <w:szCs w:val="24"/>
                <w:lang w:val="en-US" w:eastAsia="zh-CN" w:bidi="ar-SA"/>
              </w:rPr>
              <w:t xml:space="preserve">请与核发技术规范 </w:t>
            </w:r>
            <w:r>
              <w:rPr>
                <w:rFonts w:hint="eastAsia" w:cs="Times New Roman"/>
                <w:color w:val="auto"/>
                <w:kern w:val="2"/>
                <w:sz w:val="24"/>
                <w:szCs w:val="24"/>
                <w:lang w:val="en-US" w:eastAsia="zh-CN" w:bidi="ar-SA"/>
              </w:rPr>
              <w:t>锅炉</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（H</w:t>
            </w:r>
            <w:r>
              <w:rPr>
                <w:rFonts w:hint="eastAsia" w:ascii="Times New Roman" w:hAnsi="Times New Roman" w:eastAsia="宋体" w:cs="Times New Roman"/>
                <w:color w:val="auto"/>
                <w:kern w:val="2"/>
                <w:sz w:val="24"/>
                <w:szCs w:val="24"/>
                <w:lang w:val="en-US" w:eastAsia="zh-CN" w:bidi="ar-SA"/>
              </w:rPr>
              <w:t>J953—2018）</w:t>
            </w:r>
            <w:r>
              <w:rPr>
                <w:rFonts w:hint="eastAsia" w:cs="Times New Roman"/>
                <w:color w:val="auto"/>
                <w:kern w:val="2"/>
                <w:sz w:val="24"/>
                <w:szCs w:val="24"/>
                <w:lang w:val="en-US" w:eastAsia="zh-CN" w:bidi="ar-SA"/>
              </w:rPr>
              <w:t>，表7锅炉烟气污染防治可行技术中低氮燃烧为可行技术，因此</w:t>
            </w:r>
            <w:r>
              <w:rPr>
                <w:rFonts w:hint="eastAsia" w:cs="Times New Roman"/>
                <w:b w:val="0"/>
                <w:bCs w:val="0"/>
                <w:color w:val="auto"/>
                <w:sz w:val="24"/>
                <w:szCs w:val="24"/>
                <w:u w:val="none"/>
                <w:lang w:val="en-US" w:eastAsia="zh-CN"/>
              </w:rPr>
              <w:t>本项目燃烧机采用低氮燃烧技术，通过采用低氮燃烧器装置降低NO</w:t>
            </w:r>
            <w:r>
              <w:rPr>
                <w:rFonts w:hint="eastAsia" w:cs="Times New Roman"/>
                <w:b w:val="0"/>
                <w:bCs w:val="0"/>
                <w:color w:val="auto"/>
                <w:sz w:val="24"/>
                <w:szCs w:val="24"/>
                <w:u w:val="none"/>
                <w:vertAlign w:val="subscript"/>
                <w:lang w:val="en-US" w:eastAsia="zh-CN"/>
              </w:rPr>
              <w:t>X</w:t>
            </w:r>
            <w:r>
              <w:rPr>
                <w:rFonts w:hint="eastAsia" w:cs="Times New Roman"/>
                <w:b w:val="0"/>
                <w:bCs w:val="0"/>
                <w:color w:val="auto"/>
                <w:sz w:val="24"/>
                <w:szCs w:val="24"/>
                <w:u w:val="none"/>
                <w:lang w:val="en-US" w:eastAsia="zh-CN"/>
              </w:rPr>
              <w:t>的产生。低氮燃烧器是常见的低氮燃烧控制技术，其主要通过抑制燃烧过程中NO</w:t>
            </w:r>
            <w:r>
              <w:rPr>
                <w:rFonts w:hint="eastAsia" w:cs="Times New Roman"/>
                <w:b w:val="0"/>
                <w:bCs w:val="0"/>
                <w:color w:val="auto"/>
                <w:sz w:val="24"/>
                <w:szCs w:val="24"/>
                <w:u w:val="none"/>
                <w:vertAlign w:val="subscript"/>
                <w:lang w:val="en-US" w:eastAsia="zh-CN"/>
              </w:rPr>
              <w:t>X</w:t>
            </w:r>
            <w:r>
              <w:rPr>
                <w:rFonts w:hint="eastAsia" w:cs="Times New Roman"/>
                <w:b w:val="0"/>
                <w:bCs w:val="0"/>
                <w:color w:val="auto"/>
                <w:sz w:val="24"/>
                <w:szCs w:val="24"/>
                <w:u w:val="none"/>
                <w:lang w:val="en-US" w:eastAsia="zh-CN"/>
              </w:rPr>
              <w:t>的产生来实现低NO</w:t>
            </w:r>
            <w:r>
              <w:rPr>
                <w:rFonts w:hint="eastAsia" w:cs="Times New Roman"/>
                <w:b w:val="0"/>
                <w:bCs w:val="0"/>
                <w:color w:val="auto"/>
                <w:sz w:val="24"/>
                <w:szCs w:val="24"/>
                <w:u w:val="none"/>
                <w:vertAlign w:val="subscript"/>
                <w:lang w:val="en-US" w:eastAsia="zh-CN"/>
              </w:rPr>
              <w:t>X</w:t>
            </w:r>
            <w:r>
              <w:rPr>
                <w:rFonts w:hint="eastAsia" w:cs="Times New Roman"/>
                <w:b w:val="0"/>
                <w:bCs w:val="0"/>
                <w:color w:val="auto"/>
                <w:sz w:val="24"/>
                <w:szCs w:val="24"/>
                <w:u w:val="none"/>
                <w:lang w:val="en-US" w:eastAsia="zh-CN"/>
              </w:rPr>
              <w:t>的目的，一般可NO</w:t>
            </w:r>
            <w:r>
              <w:rPr>
                <w:rFonts w:hint="eastAsia" w:cs="Times New Roman"/>
                <w:b w:val="0"/>
                <w:bCs w:val="0"/>
                <w:color w:val="auto"/>
                <w:sz w:val="24"/>
                <w:szCs w:val="24"/>
                <w:u w:val="none"/>
                <w:vertAlign w:val="subscript"/>
                <w:lang w:val="en-US" w:eastAsia="zh-CN"/>
              </w:rPr>
              <w:t>X</w:t>
            </w:r>
            <w:r>
              <w:rPr>
                <w:rFonts w:hint="eastAsia" w:cs="Times New Roman"/>
                <w:b w:val="0"/>
                <w:bCs w:val="0"/>
                <w:color w:val="auto"/>
                <w:sz w:val="24"/>
                <w:szCs w:val="24"/>
                <w:u w:val="none"/>
                <w:lang w:val="en-US" w:eastAsia="zh-CN"/>
              </w:rPr>
              <w:t>的初始排放量减20%以上，属于预防性脱硝技术。低氮燃烧运行管理中要严控制燃烧区温度、氧含量和燃烧区停留时间，运营期做到相应的管理要求后，其采取的措施有效可行。</w:t>
            </w:r>
            <w:r>
              <w:rPr>
                <w:rFonts w:hint="eastAsia" w:cs="Times New Roman"/>
                <w:color w:val="auto"/>
                <w:kern w:val="2"/>
                <w:sz w:val="24"/>
                <w:szCs w:val="24"/>
                <w:lang w:val="en-US" w:eastAsia="zh-CN" w:bidi="ar-SA"/>
              </w:rPr>
              <w:t>因此本项目选取低氮燃烧技术为可行技术。</w:t>
            </w:r>
          </w:p>
          <w:p w14:paraId="736A567B">
            <w:pPr>
              <w:keepNext w:val="0"/>
              <w:keepLines w:val="0"/>
              <w:pageBreakBefore w:val="0"/>
              <w:widowControl w:val="0"/>
              <w:kinsoku/>
              <w:wordWrap/>
              <w:overflowPunct/>
              <w:topLinePunct w:val="0"/>
              <w:autoSpaceDE/>
              <w:autoSpaceDN/>
              <w:bidi w:val="0"/>
              <w:adjustRightInd/>
              <w:snapToGrid/>
              <w:spacing w:line="500" w:lineRule="exact"/>
              <w:ind w:firstLine="464" w:firstLineChars="200"/>
              <w:textAlignment w:val="auto"/>
              <w:rPr>
                <w:b w:val="0"/>
                <w:bCs/>
                <w:color w:val="000000"/>
                <w:spacing w:val="-4"/>
                <w:sz w:val="24"/>
              </w:rPr>
            </w:pPr>
            <w:r>
              <w:rPr>
                <w:b w:val="0"/>
                <w:bCs/>
                <w:color w:val="000000"/>
                <w:spacing w:val="-4"/>
                <w:sz w:val="24"/>
              </w:rPr>
              <w:t>1.</w:t>
            </w:r>
            <w:r>
              <w:rPr>
                <w:rFonts w:hint="eastAsia"/>
                <w:b w:val="0"/>
                <w:bCs/>
                <w:color w:val="000000"/>
                <w:spacing w:val="-4"/>
                <w:sz w:val="24"/>
                <w:lang w:val="en-US" w:eastAsia="zh-CN"/>
              </w:rPr>
              <w:t>4</w:t>
            </w:r>
            <w:r>
              <w:rPr>
                <w:rFonts w:hint="eastAsia"/>
                <w:b w:val="0"/>
                <w:bCs/>
                <w:color w:val="000000"/>
                <w:spacing w:val="-4"/>
                <w:sz w:val="24"/>
              </w:rPr>
              <w:t>废气排放口基本情况</w:t>
            </w:r>
          </w:p>
          <w:p w14:paraId="51AE2123">
            <w:pPr>
              <w:keepNext w:val="0"/>
              <w:keepLines w:val="0"/>
              <w:pageBreakBefore w:val="0"/>
              <w:widowControl w:val="0"/>
              <w:kinsoku/>
              <w:wordWrap/>
              <w:overflowPunct/>
              <w:topLinePunct w:val="0"/>
              <w:autoSpaceDE/>
              <w:autoSpaceDN/>
              <w:bidi w:val="0"/>
              <w:adjustRightInd w:val="0"/>
              <w:snapToGrid w:val="0"/>
              <w:spacing w:line="500" w:lineRule="exact"/>
              <w:ind w:firstLine="504" w:firstLineChars="200"/>
              <w:jc w:val="left"/>
              <w:textAlignment w:val="auto"/>
              <w:rPr>
                <w:color w:val="000000"/>
                <w:spacing w:val="6"/>
                <w:sz w:val="24"/>
              </w:rPr>
            </w:pPr>
            <w:r>
              <w:rPr>
                <w:color w:val="000000"/>
                <w:spacing w:val="6"/>
                <w:sz w:val="24"/>
              </w:rPr>
              <w:t>项目废气排放口设置情况见下表。</w:t>
            </w:r>
          </w:p>
          <w:p w14:paraId="137D5CD1">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黑体" w:cs="Times New Roman"/>
                <w:b w:val="0"/>
                <w:bCs w:val="0"/>
                <w:sz w:val="24"/>
                <w:szCs w:val="24"/>
                <w:lang w:val="en-US" w:eastAsia="zh-CN"/>
              </w:rPr>
            </w:pPr>
            <w:r>
              <w:rPr>
                <w:rFonts w:hint="eastAsia" w:ascii="Times New Roman" w:hAnsi="Times New Roman" w:eastAsia="黑体" w:cs="Times New Roman"/>
                <w:b w:val="0"/>
                <w:bCs w:val="0"/>
                <w:sz w:val="24"/>
                <w:szCs w:val="24"/>
                <w:lang w:val="en-US" w:eastAsia="zh-CN"/>
              </w:rPr>
              <w:t>表4-</w:t>
            </w:r>
            <w:r>
              <w:rPr>
                <w:rFonts w:hint="eastAsia" w:eastAsia="黑体" w:cs="Times New Roman"/>
                <w:b w:val="0"/>
                <w:bCs w:val="0"/>
                <w:sz w:val="24"/>
                <w:szCs w:val="24"/>
                <w:lang w:val="en-US" w:eastAsia="zh-CN"/>
              </w:rPr>
              <w:t xml:space="preserve">3 </w:t>
            </w:r>
            <w:r>
              <w:rPr>
                <w:rFonts w:hint="eastAsia" w:ascii="Times New Roman" w:hAnsi="Times New Roman" w:eastAsia="黑体" w:cs="Times New Roman"/>
                <w:b w:val="0"/>
                <w:bCs w:val="0"/>
                <w:sz w:val="24"/>
                <w:szCs w:val="24"/>
                <w:lang w:val="en-US" w:eastAsia="zh-CN"/>
              </w:rPr>
              <w:t>排放口基本情况表</w:t>
            </w:r>
          </w:p>
          <w:tbl>
            <w:tblPr>
              <w:tblStyle w:val="21"/>
              <w:tblW w:w="50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80"/>
              <w:gridCol w:w="1047"/>
              <w:gridCol w:w="896"/>
              <w:gridCol w:w="940"/>
              <w:gridCol w:w="742"/>
              <w:gridCol w:w="894"/>
              <w:gridCol w:w="692"/>
              <w:gridCol w:w="893"/>
            </w:tblGrid>
            <w:tr w14:paraId="77FE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98" w:type="pct"/>
                  <w:vMerge w:val="restart"/>
                  <w:tcBorders>
                    <w:tl2br w:val="nil"/>
                    <w:tr2bl w:val="nil"/>
                  </w:tcBorders>
                  <w:noWrap w:val="0"/>
                  <w:vAlign w:val="center"/>
                </w:tcPr>
                <w:p w14:paraId="728A570C">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排放口编号</w:t>
                  </w:r>
                </w:p>
              </w:tc>
              <w:tc>
                <w:tcPr>
                  <w:tcW w:w="676" w:type="pct"/>
                  <w:vMerge w:val="restart"/>
                  <w:tcBorders>
                    <w:tl2br w:val="nil"/>
                    <w:tr2bl w:val="nil"/>
                  </w:tcBorders>
                  <w:noWrap w:val="0"/>
                  <w:vAlign w:val="center"/>
                </w:tcPr>
                <w:p w14:paraId="29C2AAB8">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656" w:type="pct"/>
                  <w:vMerge w:val="restart"/>
                  <w:tcBorders>
                    <w:tl2br w:val="nil"/>
                    <w:tr2bl w:val="nil"/>
                  </w:tcBorders>
                  <w:noWrap w:val="0"/>
                  <w:vAlign w:val="center"/>
                </w:tcPr>
                <w:p w14:paraId="3C90D398">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1150" w:type="pct"/>
                  <w:gridSpan w:val="2"/>
                  <w:tcBorders>
                    <w:tl2br w:val="nil"/>
                    <w:tr2bl w:val="nil"/>
                  </w:tcBorders>
                  <w:noWrap w:val="0"/>
                  <w:vAlign w:val="center"/>
                </w:tcPr>
                <w:p w14:paraId="3A6A19CC">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坐标</w:t>
                  </w:r>
                </w:p>
              </w:tc>
              <w:tc>
                <w:tcPr>
                  <w:tcW w:w="464" w:type="pct"/>
                  <w:vMerge w:val="restart"/>
                  <w:tcBorders>
                    <w:tl2br w:val="nil"/>
                    <w:tr2bl w:val="nil"/>
                  </w:tcBorders>
                  <w:noWrap w:val="0"/>
                  <w:vAlign w:val="center"/>
                </w:tcPr>
                <w:p w14:paraId="1A2F241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排气筒高度/m</w:t>
                  </w:r>
                </w:p>
              </w:tc>
              <w:tc>
                <w:tcPr>
                  <w:tcW w:w="560" w:type="pct"/>
                  <w:vMerge w:val="restart"/>
                  <w:tcBorders>
                    <w:tl2br w:val="nil"/>
                    <w:tr2bl w:val="nil"/>
                  </w:tcBorders>
                  <w:noWrap w:val="0"/>
                  <w:vAlign w:val="center"/>
                </w:tcPr>
                <w:p w14:paraId="56D70DFB">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排气筒出口内径/m</w:t>
                  </w:r>
                </w:p>
              </w:tc>
              <w:tc>
                <w:tcPr>
                  <w:tcW w:w="433" w:type="pct"/>
                  <w:vMerge w:val="restart"/>
                  <w:tcBorders>
                    <w:tl2br w:val="nil"/>
                    <w:tr2bl w:val="nil"/>
                  </w:tcBorders>
                  <w:noWrap w:val="0"/>
                  <w:vAlign w:val="center"/>
                </w:tcPr>
                <w:p w14:paraId="4864E1E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烟气温度/℃</w:t>
                  </w:r>
                </w:p>
              </w:tc>
              <w:tc>
                <w:tcPr>
                  <w:tcW w:w="559" w:type="pct"/>
                  <w:vMerge w:val="restart"/>
                  <w:tcBorders>
                    <w:tl2br w:val="nil"/>
                    <w:tr2bl w:val="nil"/>
                  </w:tcBorders>
                  <w:noWrap w:val="0"/>
                  <w:vAlign w:val="center"/>
                </w:tcPr>
                <w:p w14:paraId="75522AD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类型</w:t>
                  </w:r>
                </w:p>
              </w:tc>
            </w:tr>
            <w:tr w14:paraId="42AB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8" w:type="pct"/>
                  <w:vMerge w:val="continue"/>
                  <w:tcBorders>
                    <w:tl2br w:val="nil"/>
                    <w:tr2bl w:val="nil"/>
                  </w:tcBorders>
                  <w:noWrap w:val="0"/>
                  <w:vAlign w:val="center"/>
                </w:tcPr>
                <w:p w14:paraId="5A5D2555">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676" w:type="pct"/>
                  <w:vMerge w:val="continue"/>
                  <w:tcBorders>
                    <w:tl2br w:val="nil"/>
                    <w:tr2bl w:val="nil"/>
                  </w:tcBorders>
                  <w:noWrap w:val="0"/>
                  <w:vAlign w:val="center"/>
                </w:tcPr>
                <w:p w14:paraId="132CACEE">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656" w:type="pct"/>
                  <w:vMerge w:val="continue"/>
                  <w:tcBorders>
                    <w:tl2br w:val="nil"/>
                    <w:tr2bl w:val="nil"/>
                  </w:tcBorders>
                  <w:noWrap w:val="0"/>
                  <w:vAlign w:val="center"/>
                </w:tcPr>
                <w:p w14:paraId="2A605F9A">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561" w:type="pct"/>
                  <w:tcBorders>
                    <w:tl2br w:val="nil"/>
                    <w:tr2bl w:val="nil"/>
                  </w:tcBorders>
                  <w:noWrap w:val="0"/>
                  <w:vAlign w:val="center"/>
                </w:tcPr>
                <w:p w14:paraId="79F95AE9">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经度</w:t>
                  </w:r>
                </w:p>
              </w:tc>
              <w:tc>
                <w:tcPr>
                  <w:tcW w:w="589" w:type="pct"/>
                  <w:tcBorders>
                    <w:tl2br w:val="nil"/>
                    <w:tr2bl w:val="nil"/>
                  </w:tcBorders>
                  <w:noWrap w:val="0"/>
                  <w:vAlign w:val="center"/>
                </w:tcPr>
                <w:p w14:paraId="61DD43D0">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纬度</w:t>
                  </w:r>
                </w:p>
              </w:tc>
              <w:tc>
                <w:tcPr>
                  <w:tcW w:w="464" w:type="pct"/>
                  <w:vMerge w:val="continue"/>
                  <w:tcBorders>
                    <w:tl2br w:val="nil"/>
                    <w:tr2bl w:val="nil"/>
                  </w:tcBorders>
                  <w:noWrap w:val="0"/>
                  <w:vAlign w:val="center"/>
                </w:tcPr>
                <w:p w14:paraId="55ED50BA">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560" w:type="pct"/>
                  <w:vMerge w:val="continue"/>
                  <w:tcBorders>
                    <w:tl2br w:val="nil"/>
                    <w:tr2bl w:val="nil"/>
                  </w:tcBorders>
                  <w:noWrap w:val="0"/>
                  <w:vAlign w:val="center"/>
                </w:tcPr>
                <w:p w14:paraId="7852A6F2">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433" w:type="pct"/>
                  <w:vMerge w:val="continue"/>
                  <w:tcBorders>
                    <w:tl2br w:val="nil"/>
                    <w:tr2bl w:val="nil"/>
                  </w:tcBorders>
                  <w:noWrap w:val="0"/>
                  <w:vAlign w:val="center"/>
                </w:tcPr>
                <w:p w14:paraId="47A7E86F">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c>
                <w:tcPr>
                  <w:tcW w:w="559" w:type="pct"/>
                  <w:vMerge w:val="continue"/>
                  <w:tcBorders>
                    <w:tl2br w:val="nil"/>
                    <w:tr2bl w:val="nil"/>
                  </w:tcBorders>
                  <w:noWrap w:val="0"/>
                  <w:vAlign w:val="center"/>
                </w:tcPr>
                <w:p w14:paraId="34B511DA">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p>
              </w:tc>
            </w:tr>
            <w:tr w14:paraId="64F5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498" w:type="pct"/>
                  <w:tcBorders>
                    <w:tl2br w:val="nil"/>
                    <w:tr2bl w:val="nil"/>
                  </w:tcBorders>
                  <w:noWrap w:val="0"/>
                  <w:vAlign w:val="center"/>
                </w:tcPr>
                <w:p w14:paraId="497FE216">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DA</w:t>
                  </w:r>
                </w:p>
                <w:p w14:paraId="6D491B3B">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00</w:t>
                  </w:r>
                  <w:r>
                    <w:rPr>
                      <w:rFonts w:hint="eastAsia" w:ascii="Times New Roman" w:hAnsi="Times New Roman" w:cs="Times New Roman"/>
                      <w:sz w:val="21"/>
                      <w:szCs w:val="21"/>
                      <w:lang w:val="en-US" w:eastAsia="zh-CN"/>
                    </w:rPr>
                    <w:t>1</w:t>
                  </w:r>
                </w:p>
              </w:tc>
              <w:tc>
                <w:tcPr>
                  <w:tcW w:w="676" w:type="pct"/>
                  <w:tcBorders>
                    <w:tl2br w:val="nil"/>
                    <w:tr2bl w:val="nil"/>
                  </w:tcBorders>
                  <w:noWrap w:val="0"/>
                  <w:vAlign w:val="center"/>
                </w:tcPr>
                <w:p w14:paraId="4E871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1"/>
                      <w:szCs w:val="21"/>
                      <w:lang w:val="en-US" w:eastAsia="zh-CN"/>
                    </w:rPr>
                  </w:pPr>
                  <w:r>
                    <w:rPr>
                      <w:rFonts w:hint="eastAsia" w:cs="Times New Roman"/>
                      <w:sz w:val="21"/>
                      <w:szCs w:val="21"/>
                      <w:lang w:val="en-US" w:eastAsia="zh-CN"/>
                    </w:rPr>
                    <w:t>燃气锅炉排气筒</w:t>
                  </w:r>
                </w:p>
              </w:tc>
              <w:tc>
                <w:tcPr>
                  <w:tcW w:w="656" w:type="pct"/>
                  <w:tcBorders>
                    <w:tl2br w:val="nil"/>
                    <w:tr2bl w:val="nil"/>
                  </w:tcBorders>
                  <w:noWrap w:val="0"/>
                  <w:vAlign w:val="center"/>
                </w:tcPr>
                <w:p w14:paraId="5A5E925C">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颗粒物、SO</w:t>
                  </w:r>
                  <w:r>
                    <w:rPr>
                      <w:rFonts w:hint="eastAsia" w:cs="Times New Roman"/>
                      <w:sz w:val="21"/>
                      <w:szCs w:val="21"/>
                      <w:highlight w:val="none"/>
                      <w:vertAlign w:val="subscript"/>
                      <w:lang w:val="en-US" w:eastAsia="zh-CN"/>
                    </w:rPr>
                    <w:t>2</w:t>
                  </w:r>
                  <w:r>
                    <w:rPr>
                      <w:rFonts w:hint="eastAsia" w:cs="Times New Roman"/>
                      <w:sz w:val="21"/>
                      <w:szCs w:val="21"/>
                      <w:highlight w:val="none"/>
                      <w:vertAlign w:val="baseline"/>
                      <w:lang w:val="en-US" w:eastAsia="zh-CN"/>
                    </w:rPr>
                    <w:t>、</w:t>
                  </w:r>
                  <w:r>
                    <w:rPr>
                      <w:rFonts w:hint="eastAsia" w:cs="Times New Roman"/>
                      <w:b w:val="0"/>
                      <w:bCs w:val="0"/>
                      <w:color w:val="auto"/>
                      <w:sz w:val="21"/>
                      <w:szCs w:val="21"/>
                      <w:u w:val="none"/>
                      <w:lang w:val="en-US" w:eastAsia="zh-CN"/>
                    </w:rPr>
                    <w:t>NO</w:t>
                  </w:r>
                  <w:r>
                    <w:rPr>
                      <w:rFonts w:hint="eastAsia" w:cs="Times New Roman"/>
                      <w:b w:val="0"/>
                      <w:bCs w:val="0"/>
                      <w:color w:val="auto"/>
                      <w:sz w:val="21"/>
                      <w:szCs w:val="21"/>
                      <w:u w:val="none"/>
                      <w:vertAlign w:val="subscript"/>
                      <w:lang w:val="en-US" w:eastAsia="zh-CN"/>
                    </w:rPr>
                    <w:t>2</w:t>
                  </w:r>
                </w:p>
              </w:tc>
              <w:tc>
                <w:tcPr>
                  <w:tcW w:w="561" w:type="pct"/>
                  <w:tcBorders>
                    <w:tl2br w:val="nil"/>
                    <w:tr2bl w:val="nil"/>
                  </w:tcBorders>
                  <w:noWrap w:val="0"/>
                  <w:vAlign w:val="center"/>
                </w:tcPr>
                <w:p w14:paraId="755F2436">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113.5065352</w:t>
                  </w:r>
                </w:p>
              </w:tc>
              <w:tc>
                <w:tcPr>
                  <w:tcW w:w="589" w:type="pct"/>
                  <w:tcBorders>
                    <w:tl2br w:val="nil"/>
                    <w:tr2bl w:val="nil"/>
                  </w:tcBorders>
                  <w:noWrap w:val="0"/>
                  <w:vAlign w:val="center"/>
                </w:tcPr>
                <w:p w14:paraId="65F20A08">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33.6130998</w:t>
                  </w:r>
                </w:p>
              </w:tc>
              <w:tc>
                <w:tcPr>
                  <w:tcW w:w="464" w:type="pct"/>
                  <w:tcBorders>
                    <w:tl2br w:val="nil"/>
                    <w:tr2bl w:val="nil"/>
                  </w:tcBorders>
                  <w:noWrap w:val="0"/>
                  <w:vAlign w:val="center"/>
                </w:tcPr>
                <w:p w14:paraId="63B97B57">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p>
              </w:tc>
              <w:tc>
                <w:tcPr>
                  <w:tcW w:w="560" w:type="pct"/>
                  <w:tcBorders>
                    <w:tl2br w:val="nil"/>
                    <w:tr2bl w:val="nil"/>
                  </w:tcBorders>
                  <w:noWrap w:val="0"/>
                  <w:vAlign w:val="center"/>
                </w:tcPr>
                <w:p w14:paraId="764E35EE">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5</w:t>
                  </w:r>
                </w:p>
              </w:tc>
              <w:tc>
                <w:tcPr>
                  <w:tcW w:w="433" w:type="pct"/>
                  <w:tcBorders>
                    <w:tl2br w:val="nil"/>
                    <w:tr2bl w:val="nil"/>
                  </w:tcBorders>
                  <w:noWrap w:val="0"/>
                  <w:vAlign w:val="center"/>
                </w:tcPr>
                <w:p w14:paraId="55868F6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s="Times New Roman"/>
                      <w:sz w:val="21"/>
                      <w:szCs w:val="21"/>
                      <w:lang w:val="en-US" w:eastAsia="zh-CN"/>
                    </w:rPr>
                  </w:pPr>
                  <w:r>
                    <w:rPr>
                      <w:rFonts w:hint="eastAsia" w:cs="Times New Roman"/>
                      <w:sz w:val="21"/>
                      <w:szCs w:val="21"/>
                      <w:lang w:val="en-US" w:eastAsia="zh-CN"/>
                    </w:rPr>
                    <w:t>60</w:t>
                  </w:r>
                </w:p>
              </w:tc>
              <w:tc>
                <w:tcPr>
                  <w:tcW w:w="559" w:type="pct"/>
                  <w:tcBorders>
                    <w:tl2br w:val="nil"/>
                    <w:tr2bl w:val="nil"/>
                  </w:tcBorders>
                  <w:noWrap w:val="0"/>
                  <w:vAlign w:val="center"/>
                </w:tcPr>
                <w:p w14:paraId="15CEBA40">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1"/>
                      <w:szCs w:val="21"/>
                      <w:lang w:val="en-US" w:eastAsia="zh-CN"/>
                    </w:rPr>
                  </w:pPr>
                  <w:r>
                    <w:rPr>
                      <w:rFonts w:hint="eastAsia" w:cs="Times New Roman"/>
                      <w:sz w:val="21"/>
                      <w:szCs w:val="21"/>
                      <w:lang w:val="en-US" w:eastAsia="zh-CN"/>
                    </w:rPr>
                    <w:t>一般排放口</w:t>
                  </w:r>
                </w:p>
              </w:tc>
            </w:tr>
            <w:tr w14:paraId="14DF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98" w:type="pct"/>
                  <w:tcBorders>
                    <w:tl2br w:val="nil"/>
                    <w:tr2bl w:val="nil"/>
                  </w:tcBorders>
                  <w:noWrap w:val="0"/>
                  <w:vAlign w:val="center"/>
                </w:tcPr>
                <w:p w14:paraId="52360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DA</w:t>
                  </w:r>
                </w:p>
                <w:p w14:paraId="53478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w:t>
                  </w:r>
                  <w:r>
                    <w:rPr>
                      <w:rFonts w:hint="eastAsia" w:ascii="Times New Roman" w:hAnsi="Times New Roman" w:cs="Times New Roman"/>
                      <w:sz w:val="21"/>
                      <w:szCs w:val="21"/>
                      <w:lang w:val="en-US" w:eastAsia="zh-CN"/>
                    </w:rPr>
                    <w:t>2</w:t>
                  </w:r>
                </w:p>
              </w:tc>
              <w:tc>
                <w:tcPr>
                  <w:tcW w:w="676" w:type="pct"/>
                  <w:tcBorders>
                    <w:tl2br w:val="nil"/>
                    <w:tr2bl w:val="nil"/>
                  </w:tcBorders>
                  <w:noWrap w:val="0"/>
                  <w:vAlign w:val="center"/>
                </w:tcPr>
                <w:p w14:paraId="22B9E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1"/>
                      <w:szCs w:val="21"/>
                      <w:lang w:val="en-US" w:eastAsia="zh-CN"/>
                    </w:rPr>
                  </w:pPr>
                  <w:r>
                    <w:rPr>
                      <w:rFonts w:hint="eastAsia" w:cs="Times New Roman"/>
                      <w:sz w:val="21"/>
                      <w:szCs w:val="21"/>
                      <w:lang w:val="en-US" w:eastAsia="zh-CN"/>
                    </w:rPr>
                    <w:t>油烟废气排气筒</w:t>
                  </w:r>
                </w:p>
              </w:tc>
              <w:tc>
                <w:tcPr>
                  <w:tcW w:w="656" w:type="pct"/>
                  <w:tcBorders>
                    <w:tl2br w:val="nil"/>
                    <w:tr2bl w:val="nil"/>
                  </w:tcBorders>
                  <w:noWrap w:val="0"/>
                  <w:vAlign w:val="center"/>
                </w:tcPr>
                <w:p w14:paraId="45B91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油烟</w:t>
                  </w:r>
                </w:p>
              </w:tc>
              <w:tc>
                <w:tcPr>
                  <w:tcW w:w="561" w:type="pct"/>
                  <w:tcBorders>
                    <w:tl2br w:val="nil"/>
                    <w:tr2bl w:val="nil"/>
                  </w:tcBorders>
                  <w:noWrap w:val="0"/>
                  <w:vAlign w:val="center"/>
                </w:tcPr>
                <w:p w14:paraId="40604716">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113.5065404</w:t>
                  </w:r>
                </w:p>
              </w:tc>
              <w:tc>
                <w:tcPr>
                  <w:tcW w:w="589" w:type="pct"/>
                  <w:tcBorders>
                    <w:tl2br w:val="nil"/>
                    <w:tr2bl w:val="nil"/>
                  </w:tcBorders>
                  <w:noWrap w:val="0"/>
                  <w:vAlign w:val="center"/>
                </w:tcPr>
                <w:p w14:paraId="6B10094A">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33.6137491</w:t>
                  </w:r>
                </w:p>
              </w:tc>
              <w:tc>
                <w:tcPr>
                  <w:tcW w:w="464" w:type="pct"/>
                  <w:tcBorders>
                    <w:tl2br w:val="nil"/>
                    <w:tr2bl w:val="nil"/>
                  </w:tcBorders>
                  <w:noWrap w:val="0"/>
                  <w:vAlign w:val="center"/>
                </w:tcPr>
                <w:p w14:paraId="24A3D122">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w:t>
                  </w:r>
                </w:p>
              </w:tc>
              <w:tc>
                <w:tcPr>
                  <w:tcW w:w="560" w:type="pct"/>
                  <w:tcBorders>
                    <w:tl2br w:val="nil"/>
                    <w:tr2bl w:val="nil"/>
                  </w:tcBorders>
                  <w:noWrap w:val="0"/>
                  <w:vAlign w:val="center"/>
                </w:tcPr>
                <w:p w14:paraId="79CF8674">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5</w:t>
                  </w:r>
                </w:p>
              </w:tc>
              <w:tc>
                <w:tcPr>
                  <w:tcW w:w="433" w:type="pct"/>
                  <w:tcBorders>
                    <w:tl2br w:val="nil"/>
                    <w:tr2bl w:val="nil"/>
                  </w:tcBorders>
                  <w:noWrap w:val="0"/>
                  <w:vAlign w:val="center"/>
                </w:tcPr>
                <w:p w14:paraId="2BB0848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s="Times New Roman"/>
                      <w:sz w:val="21"/>
                      <w:szCs w:val="21"/>
                      <w:lang w:val="en-US" w:eastAsia="zh-CN"/>
                    </w:rPr>
                  </w:pPr>
                  <w:r>
                    <w:rPr>
                      <w:rFonts w:hint="eastAsia" w:cs="Times New Roman"/>
                      <w:sz w:val="21"/>
                      <w:szCs w:val="21"/>
                      <w:lang w:val="en-US" w:eastAsia="zh-CN"/>
                    </w:rPr>
                    <w:t>40</w:t>
                  </w:r>
                </w:p>
              </w:tc>
              <w:tc>
                <w:tcPr>
                  <w:tcW w:w="559" w:type="pct"/>
                  <w:tcBorders>
                    <w:tl2br w:val="nil"/>
                    <w:tr2bl w:val="nil"/>
                  </w:tcBorders>
                  <w:noWrap w:val="0"/>
                  <w:vAlign w:val="center"/>
                </w:tcPr>
                <w:p w14:paraId="50345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s="Times New Roman"/>
                      <w:sz w:val="21"/>
                      <w:szCs w:val="21"/>
                      <w:lang w:val="en-US" w:eastAsia="zh-CN"/>
                    </w:rPr>
                  </w:pPr>
                  <w:r>
                    <w:rPr>
                      <w:rFonts w:hint="eastAsia" w:cs="Times New Roman"/>
                      <w:sz w:val="21"/>
                      <w:szCs w:val="21"/>
                      <w:lang w:val="en-US" w:eastAsia="zh-CN"/>
                    </w:rPr>
                    <w:t>一般排放口</w:t>
                  </w:r>
                </w:p>
              </w:tc>
            </w:tr>
            <w:tr w14:paraId="3FE7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98" w:type="pct"/>
                  <w:tcBorders>
                    <w:tl2br w:val="nil"/>
                    <w:tr2bl w:val="nil"/>
                  </w:tcBorders>
                  <w:shd w:val="clear" w:color="auto" w:fill="auto"/>
                  <w:noWrap w:val="0"/>
                  <w:vAlign w:val="center"/>
                </w:tcPr>
                <w:p w14:paraId="23F0C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DA</w:t>
                  </w:r>
                </w:p>
                <w:p w14:paraId="61F98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w:t>
                  </w:r>
                  <w:r>
                    <w:rPr>
                      <w:rFonts w:hint="eastAsia" w:cs="Times New Roman"/>
                      <w:sz w:val="21"/>
                      <w:szCs w:val="21"/>
                      <w:highlight w:val="none"/>
                      <w:lang w:val="en-US" w:eastAsia="zh-CN"/>
                    </w:rPr>
                    <w:t>3</w:t>
                  </w:r>
                </w:p>
              </w:tc>
              <w:tc>
                <w:tcPr>
                  <w:tcW w:w="676" w:type="pct"/>
                  <w:tcBorders>
                    <w:tl2br w:val="nil"/>
                    <w:tr2bl w:val="nil"/>
                  </w:tcBorders>
                  <w:shd w:val="clear" w:color="auto" w:fill="auto"/>
                  <w:noWrap w:val="0"/>
                  <w:vAlign w:val="center"/>
                </w:tcPr>
                <w:p w14:paraId="52C6E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污水处理排气筒</w:t>
                  </w:r>
                </w:p>
              </w:tc>
              <w:tc>
                <w:tcPr>
                  <w:tcW w:w="656" w:type="pct"/>
                  <w:tcBorders>
                    <w:tl2br w:val="nil"/>
                    <w:tr2bl w:val="nil"/>
                  </w:tcBorders>
                  <w:shd w:val="clear" w:color="auto" w:fill="auto"/>
                  <w:noWrap w:val="0"/>
                  <w:vAlign w:val="center"/>
                </w:tcPr>
                <w:p w14:paraId="1B431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氨、</w:t>
                  </w:r>
                </w:p>
                <w:p w14:paraId="08077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硫化氢、臭气</w:t>
                  </w:r>
                </w:p>
                <w:p w14:paraId="1ED57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浓度</w:t>
                  </w:r>
                </w:p>
              </w:tc>
              <w:tc>
                <w:tcPr>
                  <w:tcW w:w="561" w:type="pct"/>
                  <w:tcBorders>
                    <w:tl2br w:val="nil"/>
                    <w:tr2bl w:val="nil"/>
                  </w:tcBorders>
                  <w:shd w:val="clear" w:color="auto" w:fill="auto"/>
                  <w:noWrap w:val="0"/>
                  <w:vAlign w:val="center"/>
                </w:tcPr>
                <w:p w14:paraId="6DEC86CD">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113.5234593</w:t>
                  </w:r>
                </w:p>
              </w:tc>
              <w:tc>
                <w:tcPr>
                  <w:tcW w:w="589" w:type="pct"/>
                  <w:tcBorders>
                    <w:tl2br w:val="nil"/>
                    <w:tr2bl w:val="nil"/>
                  </w:tcBorders>
                  <w:shd w:val="clear" w:color="auto" w:fill="auto"/>
                  <w:noWrap w:val="0"/>
                  <w:vAlign w:val="center"/>
                </w:tcPr>
                <w:p w14:paraId="6330520F">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33.6014587</w:t>
                  </w:r>
                </w:p>
              </w:tc>
              <w:tc>
                <w:tcPr>
                  <w:tcW w:w="464" w:type="pct"/>
                  <w:tcBorders>
                    <w:tl2br w:val="nil"/>
                    <w:tr2bl w:val="nil"/>
                  </w:tcBorders>
                  <w:shd w:val="clear" w:color="auto" w:fill="auto"/>
                  <w:noWrap w:val="0"/>
                  <w:vAlign w:val="center"/>
                </w:tcPr>
                <w:p w14:paraId="45ED4F2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cs="Times New Roman"/>
                      <w:sz w:val="21"/>
                      <w:szCs w:val="21"/>
                      <w:highlight w:val="none"/>
                      <w:lang w:val="en-US" w:eastAsia="zh-CN"/>
                    </w:rPr>
                    <w:t>15</w:t>
                  </w:r>
                </w:p>
              </w:tc>
              <w:tc>
                <w:tcPr>
                  <w:tcW w:w="560" w:type="pct"/>
                  <w:tcBorders>
                    <w:tl2br w:val="nil"/>
                    <w:tr2bl w:val="nil"/>
                  </w:tcBorders>
                  <w:shd w:val="clear" w:color="auto" w:fill="auto"/>
                  <w:noWrap w:val="0"/>
                  <w:vAlign w:val="center"/>
                </w:tcPr>
                <w:p w14:paraId="729076E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5</w:t>
                  </w:r>
                </w:p>
              </w:tc>
              <w:tc>
                <w:tcPr>
                  <w:tcW w:w="433" w:type="pct"/>
                  <w:tcBorders>
                    <w:tl2br w:val="nil"/>
                    <w:tr2bl w:val="nil"/>
                  </w:tcBorders>
                  <w:shd w:val="clear" w:color="auto" w:fill="auto"/>
                  <w:noWrap w:val="0"/>
                  <w:vAlign w:val="center"/>
                </w:tcPr>
                <w:p w14:paraId="247F8879">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rPr>
                      <w:rFonts w:hint="eastAsia" w:ascii="Times New Roman" w:hAnsi="Times New Roman" w:eastAsia="宋体" w:cs="Times New Roman"/>
                      <w:sz w:val="21"/>
                      <w:szCs w:val="21"/>
                      <w:lang w:val="en-US" w:eastAsia="zh-CN" w:bidi="ar-SA"/>
                    </w:rPr>
                  </w:pPr>
                  <w:r>
                    <w:rPr>
                      <w:rFonts w:hint="eastAsia" w:cs="Times New Roman"/>
                      <w:sz w:val="21"/>
                      <w:szCs w:val="21"/>
                      <w:lang w:val="en-US" w:eastAsia="zh-CN"/>
                    </w:rPr>
                    <w:t>40</w:t>
                  </w:r>
                </w:p>
              </w:tc>
              <w:tc>
                <w:tcPr>
                  <w:tcW w:w="559" w:type="pct"/>
                  <w:tcBorders>
                    <w:tl2br w:val="nil"/>
                    <w:tr2bl w:val="nil"/>
                  </w:tcBorders>
                  <w:shd w:val="clear" w:color="auto" w:fill="auto"/>
                  <w:noWrap w:val="0"/>
                  <w:vAlign w:val="center"/>
                </w:tcPr>
                <w:p w14:paraId="2C09B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一般排放口</w:t>
                  </w:r>
                </w:p>
              </w:tc>
            </w:tr>
          </w:tbl>
          <w:p w14:paraId="27859DD9">
            <w:pPr>
              <w:keepNext w:val="0"/>
              <w:keepLines w:val="0"/>
              <w:pageBreakBefore w:val="0"/>
              <w:widowControl w:val="0"/>
              <w:kinsoku/>
              <w:wordWrap/>
              <w:overflowPunct/>
              <w:topLinePunct w:val="0"/>
              <w:autoSpaceDE/>
              <w:autoSpaceDN/>
              <w:bidi w:val="0"/>
              <w:adjustRightInd/>
              <w:spacing w:line="500" w:lineRule="exact"/>
              <w:ind w:firstLine="464" w:firstLineChars="200"/>
              <w:textAlignment w:val="auto"/>
              <w:rPr>
                <w:b w:val="0"/>
                <w:bCs/>
                <w:color w:val="000000"/>
                <w:spacing w:val="-4"/>
                <w:sz w:val="24"/>
                <w:highlight w:val="none"/>
                <w:u w:val="none"/>
              </w:rPr>
            </w:pPr>
            <w:r>
              <w:rPr>
                <w:b w:val="0"/>
                <w:bCs/>
                <w:color w:val="000000"/>
                <w:spacing w:val="-4"/>
                <w:sz w:val="24"/>
                <w:highlight w:val="none"/>
              </w:rPr>
              <w:t>1</w:t>
            </w:r>
            <w:r>
              <w:rPr>
                <w:b w:val="0"/>
                <w:bCs/>
                <w:color w:val="000000"/>
                <w:spacing w:val="-4"/>
                <w:sz w:val="24"/>
                <w:highlight w:val="none"/>
                <w:u w:val="none"/>
              </w:rPr>
              <w:t>.</w:t>
            </w:r>
            <w:r>
              <w:rPr>
                <w:rFonts w:hint="eastAsia"/>
                <w:b w:val="0"/>
                <w:bCs/>
                <w:color w:val="000000"/>
                <w:spacing w:val="-4"/>
                <w:sz w:val="24"/>
                <w:highlight w:val="none"/>
                <w:u w:val="none"/>
                <w:lang w:val="en-US" w:eastAsia="zh-CN"/>
              </w:rPr>
              <w:t>5</w:t>
            </w:r>
            <w:r>
              <w:rPr>
                <w:rFonts w:hint="eastAsia"/>
                <w:b w:val="0"/>
                <w:bCs/>
                <w:color w:val="000000"/>
                <w:spacing w:val="-4"/>
                <w:sz w:val="24"/>
                <w:highlight w:val="none"/>
                <w:u w:val="none"/>
              </w:rPr>
              <w:t>废气监测</w:t>
            </w:r>
            <w:r>
              <w:rPr>
                <w:rFonts w:hint="eastAsia"/>
                <w:b w:val="0"/>
                <w:bCs/>
                <w:color w:val="000000"/>
                <w:spacing w:val="-4"/>
                <w:sz w:val="24"/>
                <w:highlight w:val="none"/>
                <w:u w:val="none"/>
                <w:lang w:val="en-US" w:eastAsia="zh-CN"/>
              </w:rPr>
              <w:t>计划</w:t>
            </w:r>
            <w:r>
              <w:rPr>
                <w:rFonts w:hint="eastAsia"/>
                <w:b w:val="0"/>
                <w:bCs/>
                <w:color w:val="000000"/>
                <w:spacing w:val="-4"/>
                <w:sz w:val="24"/>
                <w:highlight w:val="none"/>
                <w:u w:val="none"/>
              </w:rPr>
              <w:t>要求</w:t>
            </w:r>
          </w:p>
          <w:p w14:paraId="538CB71C">
            <w:pPr>
              <w:keepNext w:val="0"/>
              <w:keepLines w:val="0"/>
              <w:pageBreakBefore w:val="0"/>
              <w:widowControl w:val="0"/>
              <w:kinsoku/>
              <w:wordWrap w:val="0"/>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000000"/>
                <w:sz w:val="24"/>
                <w:u w:val="none"/>
              </w:rPr>
            </w:pPr>
            <w:r>
              <w:rPr>
                <w:rFonts w:hint="default" w:ascii="Times New Roman" w:hAnsi="Times New Roman" w:cs="Times New Roman"/>
                <w:color w:val="000000"/>
                <w:sz w:val="24"/>
                <w:highlight w:val="none"/>
                <w:u w:val="none"/>
              </w:rPr>
              <w:t>根据《</w:t>
            </w:r>
            <w:r>
              <w:rPr>
                <w:rFonts w:hint="default" w:ascii="Times New Roman" w:hAnsi="Times New Roman" w:cs="Times New Roman"/>
                <w:sz w:val="24"/>
                <w:szCs w:val="24"/>
                <w:highlight w:val="none"/>
                <w:u w:val="none"/>
                <w:lang w:val="en-US" w:eastAsia="zh-CN"/>
              </w:rPr>
              <w:t>排污许可证申请与核发技术规范 锅炉》</w:t>
            </w:r>
            <w:r>
              <w:rPr>
                <w:rFonts w:hint="default" w:ascii="Times New Roman" w:hAnsi="Times New Roman" w:cs="Times New Roman"/>
                <w:color w:val="auto"/>
                <w:kern w:val="2"/>
                <w:sz w:val="24"/>
                <w:szCs w:val="24"/>
                <w:highlight w:val="none"/>
                <w:lang w:val="en-US" w:eastAsia="zh-CN" w:bidi="ar-SA"/>
              </w:rPr>
              <w:t>（H</w:t>
            </w:r>
            <w:r>
              <w:rPr>
                <w:rFonts w:hint="default" w:ascii="Times New Roman" w:hAnsi="Times New Roman" w:eastAsia="宋体" w:cs="Times New Roman"/>
                <w:color w:val="auto"/>
                <w:kern w:val="2"/>
                <w:sz w:val="24"/>
                <w:szCs w:val="24"/>
                <w:highlight w:val="none"/>
                <w:lang w:val="en-US" w:eastAsia="zh-CN" w:bidi="ar-SA"/>
              </w:rPr>
              <w:t>J953—2018）、</w:t>
            </w:r>
            <w:r>
              <w:rPr>
                <w:rFonts w:hint="default" w:ascii="Times New Roman" w:hAnsi="Times New Roman" w:eastAsia="宋体" w:cs="Times New Roman"/>
                <w:sz w:val="24"/>
                <w:szCs w:val="24"/>
                <w:highlight w:val="none"/>
              </w:rPr>
              <w:t>《排污单位自行监测技术指南 火力发电及锅炉》（HJ820-2017）</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《排污许可证申请与核发技术规范食品制造工业</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rPr>
              <w:t>调味品、发酵品制造工业》（HJ1030.2-2019）</w:t>
            </w:r>
            <w:r>
              <w:rPr>
                <w:rFonts w:hint="eastAsia" w:cs="Times New Roman"/>
                <w:sz w:val="24"/>
                <w:szCs w:val="24"/>
                <w:highlight w:val="none"/>
                <w:lang w:eastAsia="zh-CN"/>
              </w:rPr>
              <w:t>、</w:t>
            </w:r>
            <w:r>
              <w:rPr>
                <w:rFonts w:hint="default" w:ascii="Times New Roman" w:hAnsi="Times New Roman" w:cs="Times New Roman"/>
                <w:color w:val="000000"/>
                <w:sz w:val="24"/>
                <w:highlight w:val="none"/>
                <w:u w:val="none"/>
              </w:rPr>
              <w:t>《排污单</w:t>
            </w:r>
            <w:r>
              <w:rPr>
                <w:rFonts w:hint="default" w:ascii="Times New Roman" w:hAnsi="Times New Roman" w:cs="Times New Roman"/>
                <w:color w:val="000000"/>
                <w:sz w:val="24"/>
                <w:u w:val="none"/>
              </w:rPr>
              <w:t xml:space="preserve">位自行监测技术指南 </w:t>
            </w:r>
            <w:r>
              <w:rPr>
                <w:rFonts w:hint="eastAsia" w:ascii="Times New Roman" w:hAnsi="Times New Roman" w:cs="Times New Roman"/>
                <w:color w:val="000000"/>
                <w:sz w:val="24"/>
                <w:u w:val="none"/>
                <w:lang w:val="en-US" w:eastAsia="zh-CN"/>
              </w:rPr>
              <w:t>水处理</w:t>
            </w:r>
            <w:r>
              <w:rPr>
                <w:rFonts w:hint="default" w:ascii="Times New Roman" w:hAnsi="Times New Roman" w:cs="Times New Roman"/>
                <w:color w:val="000000"/>
                <w:sz w:val="24"/>
                <w:u w:val="none"/>
              </w:rPr>
              <w:t>》（HJ</w:t>
            </w:r>
            <w:r>
              <w:rPr>
                <w:rFonts w:hint="eastAsia" w:ascii="Times New Roman" w:hAnsi="Times New Roman" w:cs="Times New Roman"/>
                <w:color w:val="000000"/>
                <w:sz w:val="24"/>
                <w:u w:val="none"/>
                <w:lang w:val="en-US" w:eastAsia="zh-CN"/>
              </w:rPr>
              <w:t>1083</w:t>
            </w:r>
            <w:r>
              <w:rPr>
                <w:rFonts w:hint="default" w:ascii="Times New Roman" w:hAnsi="Times New Roman" w:cs="Times New Roman"/>
                <w:color w:val="000000"/>
                <w:sz w:val="24"/>
                <w:u w:val="none"/>
              </w:rPr>
              <w:t>-20</w:t>
            </w:r>
            <w:r>
              <w:rPr>
                <w:rFonts w:hint="eastAsia" w:ascii="Times New Roman" w:hAnsi="Times New Roman" w:cs="Times New Roman"/>
                <w:color w:val="000000"/>
                <w:sz w:val="24"/>
                <w:u w:val="none"/>
                <w:lang w:val="en-US" w:eastAsia="zh-CN"/>
              </w:rPr>
              <w:t>20</w:t>
            </w:r>
            <w:r>
              <w:rPr>
                <w:rFonts w:hint="default" w:ascii="Times New Roman" w:hAnsi="Times New Roman" w:cs="Times New Roman"/>
                <w:color w:val="000000"/>
                <w:sz w:val="24"/>
                <w:u w:val="none"/>
              </w:rPr>
              <w:t>）</w:t>
            </w:r>
            <w:r>
              <w:rPr>
                <w:rFonts w:hint="default" w:ascii="Times New Roman" w:hAnsi="Times New Roman" w:eastAsia="宋体" w:cs="Times New Roman"/>
                <w:sz w:val="24"/>
                <w:szCs w:val="24"/>
                <w:highlight w:val="none"/>
                <w:lang w:val="en-US" w:eastAsia="zh-CN"/>
              </w:rPr>
              <w:t>以及</w:t>
            </w:r>
            <w:r>
              <w:rPr>
                <w:rFonts w:hint="default" w:ascii="Times New Roman" w:hAnsi="Times New Roman" w:cs="Times New Roman"/>
                <w:color w:val="000000"/>
                <w:sz w:val="24"/>
                <w:highlight w:val="none"/>
                <w:u w:val="none"/>
              </w:rPr>
              <w:t>《排污单</w:t>
            </w:r>
            <w:r>
              <w:rPr>
                <w:rFonts w:hint="default" w:ascii="Times New Roman" w:hAnsi="Times New Roman" w:cs="Times New Roman"/>
                <w:color w:val="000000"/>
                <w:sz w:val="24"/>
                <w:u w:val="none"/>
              </w:rPr>
              <w:t>位自行监测技术指南 总则》（HJ819-2017），本项目废气监测</w:t>
            </w:r>
            <w:r>
              <w:rPr>
                <w:rFonts w:hint="default" w:ascii="Times New Roman" w:hAnsi="Times New Roman" w:cs="Times New Roman"/>
                <w:color w:val="000000"/>
                <w:sz w:val="24"/>
                <w:u w:val="none"/>
                <w:lang w:val="en-US" w:eastAsia="zh-CN"/>
              </w:rPr>
              <w:t>计划</w:t>
            </w:r>
            <w:r>
              <w:rPr>
                <w:rFonts w:hint="default" w:ascii="Times New Roman" w:hAnsi="Times New Roman" w:cs="Times New Roman"/>
                <w:color w:val="000000"/>
                <w:sz w:val="24"/>
                <w:u w:val="none"/>
              </w:rPr>
              <w:t>要求见下表。</w:t>
            </w:r>
          </w:p>
          <w:p w14:paraId="567ABB94">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center"/>
              <w:textAlignment w:val="auto"/>
              <w:rPr>
                <w:rFonts w:eastAsia="黑体"/>
                <w:snapToGrid w:val="0"/>
                <w:color w:val="000000"/>
                <w:sz w:val="24"/>
              </w:rPr>
            </w:pPr>
            <w:r>
              <w:rPr>
                <w:rFonts w:hint="eastAsia" w:eastAsia="黑体"/>
                <w:color w:val="000000"/>
                <w:sz w:val="24"/>
                <w:u w:val="none"/>
              </w:rPr>
              <w:t>表4-</w:t>
            </w:r>
            <w:r>
              <w:rPr>
                <w:rFonts w:hint="eastAsia" w:eastAsia="黑体"/>
                <w:color w:val="000000"/>
                <w:sz w:val="24"/>
                <w:u w:val="none"/>
                <w:lang w:val="en-US" w:eastAsia="zh-CN"/>
              </w:rPr>
              <w:t>4</w:t>
            </w:r>
            <w:r>
              <w:rPr>
                <w:rFonts w:hint="eastAsia" w:eastAsia="黑体"/>
                <w:color w:val="000000"/>
                <w:sz w:val="24"/>
                <w:u w:val="none"/>
              </w:rPr>
              <w:t xml:space="preserve">  </w:t>
            </w:r>
            <w:r>
              <w:rPr>
                <w:rFonts w:hint="eastAsia" w:eastAsia="黑体"/>
                <w:color w:val="000000"/>
                <w:sz w:val="24"/>
                <w:lang w:val="en-US" w:eastAsia="zh-CN"/>
              </w:rPr>
              <w:t>本项目</w:t>
            </w:r>
            <w:r>
              <w:rPr>
                <w:rFonts w:eastAsia="黑体"/>
                <w:color w:val="000000"/>
                <w:sz w:val="24"/>
              </w:rPr>
              <w:t>废气</w:t>
            </w:r>
            <w:r>
              <w:rPr>
                <w:rFonts w:hint="eastAsia" w:eastAsia="黑体"/>
                <w:color w:val="000000"/>
                <w:sz w:val="24"/>
              </w:rPr>
              <w:t>监测</w:t>
            </w:r>
            <w:r>
              <w:rPr>
                <w:rFonts w:eastAsia="黑体"/>
                <w:color w:val="000000"/>
                <w:sz w:val="24"/>
              </w:rPr>
              <w:t>方案</w:t>
            </w:r>
          </w:p>
          <w:tbl>
            <w:tblPr>
              <w:tblStyle w:val="21"/>
              <w:tblW w:w="481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912"/>
              <w:gridCol w:w="959"/>
              <w:gridCol w:w="1328"/>
              <w:gridCol w:w="1483"/>
              <w:gridCol w:w="2956"/>
            </w:tblGrid>
            <w:tr w14:paraId="5A7D39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97" w:type="pct"/>
                  <w:tcBorders>
                    <w:tl2br w:val="nil"/>
                    <w:tr2bl w:val="nil"/>
                  </w:tcBorders>
                  <w:noWrap w:val="0"/>
                  <w:vAlign w:val="center"/>
                </w:tcPr>
                <w:p w14:paraId="5C0FB3DB">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rFonts w:hint="eastAsia"/>
                      <w:b/>
                      <w:bCs/>
                      <w:color w:val="000000"/>
                      <w:sz w:val="21"/>
                      <w:szCs w:val="21"/>
                    </w:rPr>
                    <w:t>排放</w:t>
                  </w:r>
                </w:p>
                <w:p w14:paraId="1C6903A7">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rFonts w:hint="eastAsia"/>
                      <w:b/>
                      <w:bCs/>
                      <w:color w:val="000000"/>
                      <w:sz w:val="21"/>
                      <w:szCs w:val="21"/>
                    </w:rPr>
                    <w:t>形式</w:t>
                  </w:r>
                </w:p>
              </w:tc>
              <w:tc>
                <w:tcPr>
                  <w:tcW w:w="627" w:type="pct"/>
                  <w:tcBorders>
                    <w:tl2br w:val="nil"/>
                    <w:tr2bl w:val="nil"/>
                  </w:tcBorders>
                  <w:noWrap w:val="0"/>
                  <w:vAlign w:val="center"/>
                </w:tcPr>
                <w:p w14:paraId="3A829D35">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b/>
                      <w:bCs/>
                      <w:color w:val="000000"/>
                      <w:sz w:val="21"/>
                      <w:szCs w:val="21"/>
                    </w:rPr>
                    <w:t>监测</w:t>
                  </w:r>
                </w:p>
                <w:p w14:paraId="00596F4A">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b/>
                      <w:bCs/>
                      <w:color w:val="000000"/>
                      <w:sz w:val="21"/>
                      <w:szCs w:val="21"/>
                    </w:rPr>
                    <w:t>点位</w:t>
                  </w:r>
                </w:p>
              </w:tc>
              <w:tc>
                <w:tcPr>
                  <w:tcW w:w="869" w:type="pct"/>
                  <w:tcBorders>
                    <w:tl2br w:val="nil"/>
                    <w:tr2bl w:val="nil"/>
                  </w:tcBorders>
                  <w:noWrap w:val="0"/>
                  <w:vAlign w:val="center"/>
                </w:tcPr>
                <w:p w14:paraId="303AA93F">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b/>
                      <w:bCs/>
                      <w:color w:val="000000"/>
                      <w:sz w:val="21"/>
                      <w:szCs w:val="21"/>
                    </w:rPr>
                  </w:pPr>
                  <w:r>
                    <w:rPr>
                      <w:rFonts w:hint="eastAsia"/>
                      <w:b/>
                      <w:bCs/>
                      <w:color w:val="000000"/>
                      <w:sz w:val="21"/>
                      <w:szCs w:val="21"/>
                    </w:rPr>
                    <w:t>监测</w:t>
                  </w:r>
                </w:p>
                <w:p w14:paraId="1AF4EA86">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b/>
                      <w:bCs/>
                      <w:color w:val="000000"/>
                      <w:sz w:val="21"/>
                      <w:szCs w:val="21"/>
                    </w:rPr>
                    <w:t>因子</w:t>
                  </w:r>
                </w:p>
              </w:tc>
              <w:tc>
                <w:tcPr>
                  <w:tcW w:w="970" w:type="pct"/>
                  <w:tcBorders>
                    <w:tl2br w:val="nil"/>
                    <w:tr2bl w:val="nil"/>
                  </w:tcBorders>
                  <w:noWrap w:val="0"/>
                  <w:vAlign w:val="center"/>
                </w:tcPr>
                <w:p w14:paraId="5BFD54BE">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b/>
                      <w:bCs/>
                      <w:color w:val="000000"/>
                      <w:sz w:val="21"/>
                      <w:szCs w:val="21"/>
                    </w:rPr>
                    <w:t>监测频次</w:t>
                  </w:r>
                </w:p>
              </w:tc>
              <w:tc>
                <w:tcPr>
                  <w:tcW w:w="1935" w:type="pct"/>
                  <w:tcBorders>
                    <w:tl2br w:val="nil"/>
                    <w:tr2bl w:val="nil"/>
                  </w:tcBorders>
                  <w:noWrap w:val="0"/>
                  <w:vAlign w:val="center"/>
                </w:tcPr>
                <w:p w14:paraId="5F372F66">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b/>
                      <w:bCs/>
                      <w:color w:val="000000"/>
                      <w:sz w:val="21"/>
                      <w:szCs w:val="21"/>
                    </w:rPr>
                  </w:pPr>
                  <w:r>
                    <w:rPr>
                      <w:b/>
                      <w:bCs/>
                      <w:color w:val="000000"/>
                      <w:sz w:val="21"/>
                      <w:szCs w:val="21"/>
                    </w:rPr>
                    <w:t>执行排放标准</w:t>
                  </w:r>
                </w:p>
              </w:tc>
            </w:tr>
            <w:tr w14:paraId="1C7BDB8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458" w:hRule="atLeast"/>
                <w:jc w:val="center"/>
              </w:trPr>
              <w:tc>
                <w:tcPr>
                  <w:tcW w:w="597" w:type="pct"/>
                  <w:vMerge w:val="restart"/>
                  <w:tcBorders>
                    <w:tl2br w:val="nil"/>
                    <w:tr2bl w:val="nil"/>
                  </w:tcBorders>
                  <w:noWrap w:val="0"/>
                  <w:vAlign w:val="center"/>
                </w:tcPr>
                <w:p w14:paraId="5B9CC0B4">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eastAsia="宋体"/>
                      <w:color w:val="000000"/>
                      <w:sz w:val="21"/>
                      <w:szCs w:val="21"/>
                      <w:lang w:val="en-US" w:eastAsia="zh-CN"/>
                    </w:rPr>
                  </w:pPr>
                  <w:r>
                    <w:rPr>
                      <w:rFonts w:hint="eastAsia"/>
                      <w:color w:val="000000"/>
                      <w:sz w:val="21"/>
                      <w:szCs w:val="21"/>
                    </w:rPr>
                    <w:t>有组织</w:t>
                  </w:r>
                  <w:r>
                    <w:rPr>
                      <w:rFonts w:hint="eastAsia"/>
                      <w:color w:val="000000"/>
                      <w:sz w:val="21"/>
                      <w:szCs w:val="21"/>
                      <w:lang w:val="en-US" w:eastAsia="zh-CN"/>
                    </w:rPr>
                    <w:t>废气</w:t>
                  </w:r>
                </w:p>
              </w:tc>
              <w:tc>
                <w:tcPr>
                  <w:tcW w:w="627" w:type="pct"/>
                  <w:tcBorders>
                    <w:tl2br w:val="nil"/>
                    <w:tr2bl w:val="nil"/>
                  </w:tcBorders>
                  <w:noWrap w:val="0"/>
                  <w:vAlign w:val="center"/>
                </w:tcPr>
                <w:p w14:paraId="5012CC0E">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color w:val="000000"/>
                      <w:sz w:val="21"/>
                      <w:szCs w:val="21"/>
                    </w:rPr>
                  </w:pPr>
                  <w:r>
                    <w:rPr>
                      <w:rFonts w:hint="eastAsia"/>
                      <w:color w:val="000000"/>
                      <w:sz w:val="21"/>
                      <w:szCs w:val="21"/>
                      <w:lang w:val="en-US" w:eastAsia="zh-CN"/>
                    </w:rPr>
                    <w:t>排气筒</w:t>
                  </w:r>
                  <w:r>
                    <w:rPr>
                      <w:color w:val="000000"/>
                      <w:sz w:val="21"/>
                      <w:szCs w:val="21"/>
                    </w:rPr>
                    <w:t>DA001</w:t>
                  </w:r>
                </w:p>
              </w:tc>
              <w:tc>
                <w:tcPr>
                  <w:tcW w:w="869" w:type="pct"/>
                  <w:tcBorders>
                    <w:tl2br w:val="nil"/>
                    <w:tr2bl w:val="nil"/>
                  </w:tcBorders>
                  <w:noWrap w:val="0"/>
                  <w:vAlign w:val="center"/>
                </w:tcPr>
                <w:p w14:paraId="5010EE03">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ascii="宋体" w:hAnsi="宋体" w:eastAsia="宋体" w:cs="宋体"/>
                      <w:sz w:val="24"/>
                      <w:szCs w:val="24"/>
                    </w:rPr>
                  </w:pPr>
                  <w:r>
                    <w:rPr>
                      <w:rFonts w:hint="eastAsia" w:cs="Times New Roman"/>
                      <w:sz w:val="21"/>
                      <w:szCs w:val="21"/>
                      <w:highlight w:val="none"/>
                      <w:lang w:val="en-US" w:eastAsia="zh-CN"/>
                    </w:rPr>
                    <w:t>颗粒物、SO</w:t>
                  </w:r>
                  <w:r>
                    <w:rPr>
                      <w:rFonts w:hint="eastAsia" w:cs="Times New Roman"/>
                      <w:sz w:val="21"/>
                      <w:szCs w:val="21"/>
                      <w:highlight w:val="none"/>
                      <w:vertAlign w:val="subscript"/>
                      <w:lang w:val="en-US" w:eastAsia="zh-CN"/>
                    </w:rPr>
                    <w:t>2</w:t>
                  </w:r>
                  <w:r>
                    <w:rPr>
                      <w:rFonts w:hint="eastAsia" w:cs="Times New Roman"/>
                      <w:sz w:val="21"/>
                      <w:szCs w:val="21"/>
                      <w:highlight w:val="none"/>
                      <w:vertAlign w:val="baseline"/>
                      <w:lang w:val="en-US" w:eastAsia="zh-CN"/>
                    </w:rPr>
                    <w:t>、</w:t>
                  </w:r>
                  <w:r>
                    <w:rPr>
                      <w:rFonts w:hint="eastAsia" w:cs="Times New Roman"/>
                      <w:b w:val="0"/>
                      <w:bCs w:val="0"/>
                      <w:color w:val="auto"/>
                      <w:sz w:val="21"/>
                      <w:szCs w:val="21"/>
                      <w:u w:val="none"/>
                      <w:lang w:val="en-US" w:eastAsia="zh-CN"/>
                    </w:rPr>
                    <w:t>NO</w:t>
                  </w:r>
                  <w:r>
                    <w:rPr>
                      <w:rFonts w:hint="eastAsia" w:cs="Times New Roman"/>
                      <w:b w:val="0"/>
                      <w:bCs w:val="0"/>
                      <w:color w:val="auto"/>
                      <w:sz w:val="21"/>
                      <w:szCs w:val="21"/>
                      <w:u w:val="none"/>
                      <w:vertAlign w:val="subscript"/>
                      <w:lang w:val="en-US" w:eastAsia="zh-CN"/>
                    </w:rPr>
                    <w:t>2</w:t>
                  </w:r>
                  <w:r>
                    <w:rPr>
                      <w:rFonts w:ascii="宋体" w:hAnsi="宋体" w:eastAsia="宋体" w:cs="宋体"/>
                      <w:sz w:val="24"/>
                      <w:szCs w:val="24"/>
                    </w:rPr>
                    <w:t>、</w:t>
                  </w:r>
                </w:p>
                <w:p w14:paraId="43D69477">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color w:val="000000"/>
                      <w:sz w:val="21"/>
                      <w:szCs w:val="21"/>
                    </w:rPr>
                  </w:pPr>
                  <w:r>
                    <w:rPr>
                      <w:rFonts w:ascii="宋体" w:hAnsi="宋体" w:eastAsia="宋体" w:cs="宋体"/>
                      <w:sz w:val="21"/>
                      <w:szCs w:val="21"/>
                    </w:rPr>
                    <w:t>林格曼黑度</w:t>
                  </w:r>
                </w:p>
              </w:tc>
              <w:tc>
                <w:tcPr>
                  <w:tcW w:w="970" w:type="pct"/>
                  <w:tcBorders>
                    <w:tl2br w:val="nil"/>
                    <w:tr2bl w:val="nil"/>
                  </w:tcBorders>
                  <w:noWrap w:val="0"/>
                  <w:vAlign w:val="center"/>
                </w:tcPr>
                <w:p w14:paraId="7C4D8C26">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NO</w:t>
                  </w:r>
                  <w:r>
                    <w:rPr>
                      <w:rFonts w:hint="eastAsia" w:ascii="Times New Roman" w:hAnsi="宋体" w:eastAsia="宋体" w:cs="Times New Roman"/>
                      <w:color w:val="auto"/>
                      <w:kern w:val="2"/>
                      <w:sz w:val="21"/>
                      <w:szCs w:val="21"/>
                      <w:vertAlign w:val="subscript"/>
                      <w:lang w:val="en-US" w:eastAsia="zh-CN" w:bidi="ar-SA"/>
                    </w:rPr>
                    <w:t>X</w:t>
                  </w:r>
                  <w:r>
                    <w:rPr>
                      <w:rFonts w:hint="eastAsia" w:ascii="Times New Roman" w:hAnsi="Times New Roman" w:eastAsia="宋体" w:cs="Times New Roman"/>
                      <w:color w:val="auto"/>
                      <w:kern w:val="0"/>
                      <w:sz w:val="21"/>
                      <w:szCs w:val="21"/>
                      <w:lang w:val="en-US" w:eastAsia="zh-CN"/>
                    </w:rPr>
                    <w:t>：</w:t>
                  </w:r>
                  <w:r>
                    <w:rPr>
                      <w:rFonts w:hint="eastAsia"/>
                      <w:color w:val="auto"/>
                      <w:kern w:val="0"/>
                      <w:sz w:val="21"/>
                      <w:szCs w:val="21"/>
                    </w:rPr>
                    <w:t>1次/</w:t>
                  </w:r>
                  <w:r>
                    <w:rPr>
                      <w:rFonts w:hint="eastAsia"/>
                      <w:color w:val="auto"/>
                      <w:kern w:val="0"/>
                      <w:sz w:val="21"/>
                      <w:szCs w:val="21"/>
                      <w:lang w:val="en-US" w:eastAsia="zh-CN"/>
                    </w:rPr>
                    <w:t>月、</w:t>
                  </w:r>
                  <w:r>
                    <w:rPr>
                      <w:rFonts w:hint="eastAsia" w:ascii="Times New Roman" w:hAnsi="宋体" w:eastAsia="宋体" w:cs="Times New Roman"/>
                      <w:color w:val="auto"/>
                      <w:sz w:val="21"/>
                      <w:szCs w:val="21"/>
                      <w:lang w:val="en-US" w:eastAsia="zh-CN"/>
                    </w:rPr>
                    <w:t>SO</w:t>
                  </w:r>
                  <w:r>
                    <w:rPr>
                      <w:rFonts w:hint="eastAsia" w:ascii="Times New Roman" w:hAnsi="宋体" w:eastAsia="宋体" w:cs="Times New Roman"/>
                      <w:color w:val="auto"/>
                      <w:sz w:val="21"/>
                      <w:szCs w:val="21"/>
                      <w:vertAlign w:val="subscript"/>
                      <w:lang w:val="en-US" w:eastAsia="zh-CN"/>
                    </w:rPr>
                    <w:t>2</w:t>
                  </w:r>
                  <w:r>
                    <w:rPr>
                      <w:rFonts w:hint="default" w:ascii="Times New Roman" w:hAnsi="宋体" w:eastAsia="宋体" w:cs="Times New Roman"/>
                      <w:color w:val="auto"/>
                      <w:kern w:val="2"/>
                      <w:sz w:val="21"/>
                      <w:szCs w:val="21"/>
                      <w:lang w:val="en-US" w:eastAsia="zh-CN" w:bidi="ar-SA"/>
                    </w:rPr>
                    <w:t>、</w:t>
                  </w:r>
                  <w:r>
                    <w:rPr>
                      <w:rFonts w:hint="eastAsia" w:ascii="Times New Roman" w:hAnsi="宋体" w:eastAsia="宋体" w:cs="Times New Roman"/>
                      <w:color w:val="auto"/>
                      <w:kern w:val="2"/>
                      <w:sz w:val="21"/>
                      <w:szCs w:val="21"/>
                      <w:lang w:val="en-US" w:eastAsia="zh-CN" w:bidi="ar-SA"/>
                    </w:rPr>
                    <w:t>颗粒物、</w:t>
                  </w:r>
                  <w:r>
                    <w:rPr>
                      <w:rFonts w:ascii="宋体" w:hAnsi="宋体" w:eastAsia="宋体" w:cs="宋体"/>
                      <w:sz w:val="21"/>
                      <w:szCs w:val="21"/>
                    </w:rPr>
                    <w:t>林格曼黑度</w:t>
                  </w:r>
                  <w:r>
                    <w:rPr>
                      <w:rFonts w:hint="eastAsia" w:ascii="Times New Roman" w:hAnsi="宋体" w:eastAsia="宋体" w:cs="Times New Roman"/>
                      <w:color w:val="auto"/>
                      <w:kern w:val="2"/>
                      <w:sz w:val="21"/>
                      <w:szCs w:val="21"/>
                      <w:lang w:val="en-US" w:eastAsia="zh-CN" w:bidi="ar-SA"/>
                    </w:rPr>
                    <w:t>：</w:t>
                  </w:r>
                </w:p>
                <w:p w14:paraId="5CA8CD58">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color w:val="auto"/>
                      <w:kern w:val="0"/>
                      <w:sz w:val="21"/>
                      <w:szCs w:val="21"/>
                    </w:rPr>
                    <w:t>1次/</w:t>
                  </w:r>
                  <w:r>
                    <w:rPr>
                      <w:rFonts w:hint="eastAsia"/>
                      <w:color w:val="auto"/>
                      <w:kern w:val="0"/>
                      <w:sz w:val="21"/>
                      <w:szCs w:val="21"/>
                      <w:lang w:val="en-US" w:eastAsia="zh-CN"/>
                    </w:rPr>
                    <w:t>年</w:t>
                  </w:r>
                </w:p>
              </w:tc>
              <w:tc>
                <w:tcPr>
                  <w:tcW w:w="1935" w:type="pct"/>
                  <w:tcBorders>
                    <w:tl2br w:val="nil"/>
                    <w:tr2bl w:val="nil"/>
                  </w:tcBorders>
                  <w:noWrap w:val="0"/>
                  <w:vAlign w:val="center"/>
                </w:tcPr>
                <w:p w14:paraId="39576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SA"/>
                    </w:rPr>
                    <w:t>《河南省锅炉大气污染物排放标准》(DB41/2089—2021)</w:t>
                  </w:r>
                  <w:r>
                    <w:rPr>
                      <w:rFonts w:hint="eastAsia" w:ascii="Times New Roman" w:hAnsi="Times New Roman" w:eastAsia="宋体" w:cs="Times New Roman"/>
                      <w:b w:val="0"/>
                      <w:bCs w:val="0"/>
                      <w:color w:val="auto"/>
                      <w:kern w:val="2"/>
                      <w:sz w:val="21"/>
                      <w:szCs w:val="21"/>
                      <w:lang w:val="en-US" w:eastAsia="zh-CN" w:bidi="ar-SA"/>
                    </w:rPr>
                    <w:t>排放</w:t>
                  </w:r>
                  <w:r>
                    <w:rPr>
                      <w:rFonts w:hint="default" w:ascii="Times New Roman" w:hAnsi="Times New Roman" w:eastAsia="宋体" w:cs="Times New Roman"/>
                      <w:color w:val="auto"/>
                      <w:sz w:val="21"/>
                      <w:szCs w:val="21"/>
                    </w:rPr>
                    <w:t>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kern w:val="28"/>
                      <w:sz w:val="21"/>
                      <w:szCs w:val="21"/>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1"/>
                      <w:szCs w:val="21"/>
                      <w:highlight w:val="none"/>
                      <w:lang w:val="en-US" w:eastAsia="zh-CN" w:bidi="ar-SA"/>
                    </w:rPr>
                    <w:t>》</w:t>
                  </w:r>
                  <w:r>
                    <w:rPr>
                      <w:rFonts w:hint="eastAsia" w:ascii="Times New Roman" w:hAnsi="Times New Roman" w:cs="Times New Roman"/>
                      <w:b w:val="0"/>
                      <w:bCs w:val="0"/>
                      <w:color w:val="auto"/>
                      <w:kern w:val="28"/>
                      <w:sz w:val="21"/>
                      <w:szCs w:val="21"/>
                      <w:highlight w:val="none"/>
                      <w:lang w:val="en-US" w:eastAsia="zh-CN" w:bidi="ar-SA"/>
                    </w:rPr>
                    <w:t>中燃气</w:t>
                  </w:r>
                  <w:r>
                    <w:rPr>
                      <w:rFonts w:hint="eastAsia" w:cs="Times New Roman"/>
                      <w:b w:val="0"/>
                      <w:bCs w:val="0"/>
                      <w:color w:val="auto"/>
                      <w:kern w:val="28"/>
                      <w:sz w:val="21"/>
                      <w:szCs w:val="21"/>
                      <w:highlight w:val="none"/>
                      <w:lang w:val="en-US" w:eastAsia="zh-CN" w:bidi="ar-SA"/>
                    </w:rPr>
                    <w:t>锅炉</w:t>
                  </w:r>
                  <w:r>
                    <w:rPr>
                      <w:rFonts w:hint="eastAsia" w:ascii="Times New Roman" w:hAnsi="Times New Roman" w:cs="Times New Roman"/>
                      <w:b w:val="0"/>
                      <w:bCs w:val="0"/>
                      <w:color w:val="auto"/>
                      <w:kern w:val="28"/>
                      <w:sz w:val="21"/>
                      <w:szCs w:val="21"/>
                      <w:highlight w:val="none"/>
                      <w:lang w:val="en-US" w:eastAsia="zh-CN" w:bidi="ar-SA"/>
                    </w:rPr>
                    <w:t>要求</w:t>
                  </w:r>
                </w:p>
              </w:tc>
            </w:tr>
            <w:tr w14:paraId="4F6F2C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138" w:hRule="atLeast"/>
                <w:jc w:val="center"/>
              </w:trPr>
              <w:tc>
                <w:tcPr>
                  <w:tcW w:w="597" w:type="pct"/>
                  <w:vMerge w:val="continue"/>
                  <w:tcBorders>
                    <w:tl2br w:val="nil"/>
                    <w:tr2bl w:val="nil"/>
                  </w:tcBorders>
                  <w:noWrap w:val="0"/>
                  <w:vAlign w:val="center"/>
                </w:tcPr>
                <w:p w14:paraId="5747D08D">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p>
              </w:tc>
              <w:tc>
                <w:tcPr>
                  <w:tcW w:w="627" w:type="pct"/>
                  <w:tcBorders>
                    <w:tl2br w:val="nil"/>
                    <w:tr2bl w:val="nil"/>
                  </w:tcBorders>
                  <w:noWrap w:val="0"/>
                  <w:vAlign w:val="center"/>
                </w:tcPr>
                <w:p w14:paraId="051E97B1">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sz w:val="21"/>
                      <w:szCs w:val="21"/>
                      <w:lang w:val="en-US" w:eastAsia="zh-CN"/>
                    </w:rPr>
                    <w:t>排气筒</w:t>
                  </w:r>
                  <w:r>
                    <w:rPr>
                      <w:color w:val="000000"/>
                      <w:sz w:val="21"/>
                      <w:szCs w:val="21"/>
                    </w:rPr>
                    <w:t>DA00</w:t>
                  </w:r>
                  <w:r>
                    <w:rPr>
                      <w:rFonts w:hint="eastAsia"/>
                      <w:color w:val="000000"/>
                      <w:sz w:val="21"/>
                      <w:szCs w:val="21"/>
                      <w:lang w:val="en-US" w:eastAsia="zh-CN"/>
                    </w:rPr>
                    <w:t>2</w:t>
                  </w:r>
                </w:p>
              </w:tc>
              <w:tc>
                <w:tcPr>
                  <w:tcW w:w="869" w:type="pct"/>
                  <w:tcBorders>
                    <w:tl2br w:val="nil"/>
                    <w:tr2bl w:val="nil"/>
                  </w:tcBorders>
                  <w:noWrap w:val="0"/>
                  <w:vAlign w:val="center"/>
                </w:tcPr>
                <w:p w14:paraId="3480A21E">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油烟</w:t>
                  </w:r>
                </w:p>
              </w:tc>
              <w:tc>
                <w:tcPr>
                  <w:tcW w:w="970" w:type="pct"/>
                  <w:tcBorders>
                    <w:tl2br w:val="nil"/>
                    <w:tr2bl w:val="nil"/>
                  </w:tcBorders>
                  <w:noWrap w:val="0"/>
                  <w:vAlign w:val="center"/>
                </w:tcPr>
                <w:p w14:paraId="27ECC24A">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auto"/>
                      <w:kern w:val="0"/>
                      <w:sz w:val="21"/>
                      <w:szCs w:val="21"/>
                    </w:rPr>
                    <w:t>1次/</w:t>
                  </w:r>
                  <w:r>
                    <w:rPr>
                      <w:rFonts w:hint="eastAsia"/>
                      <w:color w:val="auto"/>
                      <w:kern w:val="0"/>
                      <w:sz w:val="21"/>
                      <w:szCs w:val="21"/>
                      <w:lang w:val="en-US" w:eastAsia="zh-CN"/>
                    </w:rPr>
                    <w:t>年</w:t>
                  </w:r>
                </w:p>
              </w:tc>
              <w:tc>
                <w:tcPr>
                  <w:tcW w:w="1935" w:type="pct"/>
                  <w:tcBorders>
                    <w:tl2br w:val="nil"/>
                    <w:tr2bl w:val="nil"/>
                  </w:tcBorders>
                  <w:noWrap w:val="0"/>
                  <w:vAlign w:val="center"/>
                </w:tcPr>
                <w:p w14:paraId="1E3AA698">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highlight w:val="none"/>
                      <w:lang w:val="en-US" w:eastAsia="zh-CN"/>
                    </w:rPr>
                    <w:t>河南省《餐饮业油烟污染物排放标准》（DB41/1604-2018）</w:t>
                  </w:r>
                  <w:r>
                    <w:rPr>
                      <w:rFonts w:hint="default" w:ascii="Times New Roman" w:hAnsi="Times New Roman" w:eastAsia="宋体" w:cs="Times New Roman"/>
                      <w:kern w:val="2"/>
                      <w:sz w:val="21"/>
                      <w:szCs w:val="21"/>
                      <w:lang w:val="en-US" w:eastAsia="zh-CN" w:bidi="ar-SA"/>
                    </w:rPr>
                    <w:t>（</w:t>
                  </w:r>
                  <w:r>
                    <w:rPr>
                      <w:rFonts w:hint="default" w:ascii="Times New Roman" w:hAnsi="Times New Roman" w:cs="Times New Roman"/>
                      <w:kern w:val="2"/>
                      <w:sz w:val="21"/>
                      <w:szCs w:val="21"/>
                      <w:lang w:val="en-US" w:eastAsia="zh-CN" w:bidi="ar-SA"/>
                    </w:rPr>
                    <w:t>小</w:t>
                  </w:r>
                  <w:r>
                    <w:rPr>
                      <w:rFonts w:hint="default" w:ascii="Times New Roman" w:hAnsi="Times New Roman" w:eastAsia="宋体" w:cs="Times New Roman"/>
                      <w:kern w:val="2"/>
                      <w:sz w:val="21"/>
                      <w:szCs w:val="21"/>
                      <w:lang w:val="en-US" w:eastAsia="zh-CN" w:bidi="ar-SA"/>
                    </w:rPr>
                    <w:t>型</w:t>
                  </w:r>
                  <w:r>
                    <w:rPr>
                      <w:rFonts w:hint="default"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最低去除效率90%、最高允许排放浓度1.</w:t>
                  </w:r>
                  <w:r>
                    <w:rPr>
                      <w:rFonts w:hint="default" w:ascii="Times New Roman" w:hAnsi="Times New Roman"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r>
            <w:tr w14:paraId="3DDBD4A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71" w:hRule="atLeast"/>
                <w:jc w:val="center"/>
              </w:trPr>
              <w:tc>
                <w:tcPr>
                  <w:tcW w:w="597" w:type="pct"/>
                  <w:vMerge w:val="continue"/>
                  <w:tcBorders>
                    <w:tl2br w:val="nil"/>
                    <w:tr2bl w:val="nil"/>
                  </w:tcBorders>
                  <w:noWrap w:val="0"/>
                  <w:vAlign w:val="center"/>
                </w:tcPr>
                <w:p w14:paraId="516F72B8">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p>
              </w:tc>
              <w:tc>
                <w:tcPr>
                  <w:tcW w:w="627" w:type="pct"/>
                  <w:tcBorders>
                    <w:tl2br w:val="nil"/>
                    <w:tr2bl w:val="nil"/>
                  </w:tcBorders>
                  <w:shd w:val="clear" w:color="auto" w:fill="auto"/>
                  <w:noWrap w:val="0"/>
                  <w:vAlign w:val="center"/>
                </w:tcPr>
                <w:p w14:paraId="71690044">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sz w:val="21"/>
                      <w:szCs w:val="21"/>
                      <w:lang w:val="en-US" w:eastAsia="zh-CN"/>
                    </w:rPr>
                    <w:t>排气筒</w:t>
                  </w:r>
                  <w:r>
                    <w:rPr>
                      <w:color w:val="000000"/>
                      <w:sz w:val="21"/>
                      <w:szCs w:val="21"/>
                    </w:rPr>
                    <w:t>DA00</w:t>
                  </w:r>
                  <w:r>
                    <w:rPr>
                      <w:rFonts w:hint="eastAsia"/>
                      <w:color w:val="000000"/>
                      <w:sz w:val="21"/>
                      <w:szCs w:val="21"/>
                      <w:lang w:val="en-US" w:eastAsia="zh-CN"/>
                    </w:rPr>
                    <w:t>3</w:t>
                  </w:r>
                </w:p>
              </w:tc>
              <w:tc>
                <w:tcPr>
                  <w:tcW w:w="869" w:type="pct"/>
                  <w:tcBorders>
                    <w:tl2br w:val="nil"/>
                    <w:tr2bl w:val="nil"/>
                  </w:tcBorders>
                  <w:noWrap w:val="0"/>
                  <w:vAlign w:val="center"/>
                </w:tcPr>
                <w:p w14:paraId="6B22937C">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氨、硫化氢、臭气浓度</w:t>
                  </w:r>
                </w:p>
              </w:tc>
              <w:tc>
                <w:tcPr>
                  <w:tcW w:w="970" w:type="pct"/>
                  <w:tcBorders>
                    <w:tl2br w:val="nil"/>
                    <w:tr2bl w:val="nil"/>
                  </w:tcBorders>
                  <w:noWrap w:val="0"/>
                  <w:vAlign w:val="center"/>
                </w:tcPr>
                <w:p w14:paraId="26A76B21">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color w:val="auto"/>
                      <w:kern w:val="0"/>
                      <w:sz w:val="21"/>
                      <w:szCs w:val="21"/>
                    </w:rPr>
                  </w:pPr>
                  <w:r>
                    <w:rPr>
                      <w:rFonts w:hint="eastAsia"/>
                      <w:color w:val="auto"/>
                      <w:kern w:val="0"/>
                      <w:sz w:val="21"/>
                      <w:szCs w:val="21"/>
                    </w:rPr>
                    <w:t>1次/</w:t>
                  </w:r>
                  <w:r>
                    <w:rPr>
                      <w:rFonts w:hint="eastAsia"/>
                      <w:color w:val="auto"/>
                      <w:kern w:val="0"/>
                      <w:sz w:val="21"/>
                      <w:szCs w:val="21"/>
                      <w:lang w:val="en-US" w:eastAsia="zh-CN"/>
                    </w:rPr>
                    <w:t>半年</w:t>
                  </w:r>
                </w:p>
              </w:tc>
              <w:tc>
                <w:tcPr>
                  <w:tcW w:w="1935" w:type="pct"/>
                  <w:tcBorders>
                    <w:tl2br w:val="nil"/>
                    <w:tr2bl w:val="nil"/>
                  </w:tcBorders>
                  <w:noWrap w:val="0"/>
                  <w:vAlign w:val="center"/>
                </w:tcPr>
                <w:p w14:paraId="211ECD7B">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sz w:val="21"/>
                      <w:szCs w:val="21"/>
                      <w:highlight w:val="none"/>
                      <w:lang w:val="en-US" w:eastAsia="zh-CN"/>
                    </w:rPr>
                  </w:pPr>
                  <w:r>
                    <w:rPr>
                      <w:rFonts w:hint="eastAsia" w:ascii="Times New Roman" w:hAnsi="Times New Roman" w:eastAsia="宋体" w:cs="Times New Roman"/>
                      <w:color w:val="000000"/>
                      <w:sz w:val="21"/>
                      <w:szCs w:val="21"/>
                      <w:lang w:val="en-US" w:eastAsia="zh-CN"/>
                    </w:rPr>
                    <w:t>《恶臭污染物排放标准》（GB14554-93）</w:t>
                  </w:r>
                </w:p>
              </w:tc>
            </w:tr>
            <w:tr w14:paraId="6DF8898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17" w:hRule="atLeast"/>
                <w:jc w:val="center"/>
              </w:trPr>
              <w:tc>
                <w:tcPr>
                  <w:tcW w:w="597" w:type="pct"/>
                  <w:tcBorders>
                    <w:tl2br w:val="nil"/>
                    <w:tr2bl w:val="nil"/>
                  </w:tcBorders>
                  <w:noWrap w:val="0"/>
                  <w:vAlign w:val="center"/>
                </w:tcPr>
                <w:p w14:paraId="12950B7D">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eastAsia="宋体"/>
                      <w:color w:val="000000"/>
                      <w:sz w:val="21"/>
                      <w:szCs w:val="21"/>
                      <w:highlight w:val="none"/>
                      <w:lang w:val="en-US" w:eastAsia="zh-CN"/>
                    </w:rPr>
                  </w:pPr>
                  <w:r>
                    <w:rPr>
                      <w:rFonts w:hint="eastAsia"/>
                      <w:color w:val="000000"/>
                      <w:sz w:val="21"/>
                      <w:szCs w:val="21"/>
                      <w:highlight w:val="none"/>
                    </w:rPr>
                    <w:t>无组织</w:t>
                  </w:r>
                  <w:r>
                    <w:rPr>
                      <w:rFonts w:hint="eastAsia"/>
                      <w:color w:val="000000"/>
                      <w:sz w:val="21"/>
                      <w:szCs w:val="21"/>
                      <w:highlight w:val="none"/>
                      <w:lang w:val="en-US" w:eastAsia="zh-CN"/>
                    </w:rPr>
                    <w:t>废气</w:t>
                  </w:r>
                </w:p>
              </w:tc>
              <w:tc>
                <w:tcPr>
                  <w:tcW w:w="627" w:type="pct"/>
                  <w:tcBorders>
                    <w:tl2br w:val="nil"/>
                    <w:tr2bl w:val="nil"/>
                  </w:tcBorders>
                  <w:noWrap w:val="0"/>
                  <w:vAlign w:val="center"/>
                </w:tcPr>
                <w:p w14:paraId="306A7D96">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color w:val="000000"/>
                      <w:sz w:val="21"/>
                      <w:szCs w:val="21"/>
                      <w:highlight w:val="none"/>
                    </w:rPr>
                  </w:pPr>
                  <w:r>
                    <w:rPr>
                      <w:rFonts w:hint="eastAsia"/>
                      <w:color w:val="000000"/>
                      <w:sz w:val="21"/>
                      <w:szCs w:val="21"/>
                      <w:highlight w:val="none"/>
                    </w:rPr>
                    <w:t>厂界</w:t>
                  </w:r>
                </w:p>
                <w:p w14:paraId="34EC2FC9">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四周</w:t>
                  </w:r>
                </w:p>
              </w:tc>
              <w:tc>
                <w:tcPr>
                  <w:tcW w:w="869" w:type="pct"/>
                  <w:tcBorders>
                    <w:tl2br w:val="nil"/>
                    <w:tr2bl w:val="nil"/>
                  </w:tcBorders>
                  <w:noWrap w:val="0"/>
                  <w:vAlign w:val="center"/>
                </w:tcPr>
                <w:p w14:paraId="5E1F9F32">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颗粒物、</w:t>
                  </w:r>
                  <w:r>
                    <w:rPr>
                      <w:rFonts w:hint="eastAsia" w:cs="Times New Roman"/>
                      <w:sz w:val="21"/>
                      <w:szCs w:val="21"/>
                      <w:highlight w:val="none"/>
                      <w:lang w:val="en-US" w:eastAsia="zh-CN"/>
                    </w:rPr>
                    <w:t>SO</w:t>
                  </w:r>
                  <w:r>
                    <w:rPr>
                      <w:rFonts w:hint="eastAsia" w:cs="Times New Roman"/>
                      <w:sz w:val="21"/>
                      <w:szCs w:val="21"/>
                      <w:highlight w:val="none"/>
                      <w:vertAlign w:val="subscript"/>
                      <w:lang w:val="en-US" w:eastAsia="zh-CN"/>
                    </w:rPr>
                    <w:t>2</w:t>
                  </w:r>
                  <w:r>
                    <w:rPr>
                      <w:rFonts w:hint="eastAsia" w:cs="Times New Roman"/>
                      <w:sz w:val="21"/>
                      <w:szCs w:val="21"/>
                      <w:highlight w:val="none"/>
                      <w:vertAlign w:val="baseline"/>
                      <w:lang w:val="en-US" w:eastAsia="zh-CN"/>
                    </w:rPr>
                    <w:t>、</w:t>
                  </w:r>
                  <w:r>
                    <w:rPr>
                      <w:rFonts w:hint="eastAsia" w:cs="Times New Roman"/>
                      <w:b w:val="0"/>
                      <w:bCs w:val="0"/>
                      <w:color w:val="auto"/>
                      <w:sz w:val="21"/>
                      <w:szCs w:val="21"/>
                      <w:highlight w:val="none"/>
                      <w:u w:val="none"/>
                      <w:lang w:val="en-US" w:eastAsia="zh-CN"/>
                    </w:rPr>
                    <w:t>NO</w:t>
                  </w:r>
                  <w:r>
                    <w:rPr>
                      <w:rFonts w:hint="eastAsia" w:cs="Times New Roman"/>
                      <w:b w:val="0"/>
                      <w:bCs w:val="0"/>
                      <w:color w:val="auto"/>
                      <w:sz w:val="21"/>
                      <w:szCs w:val="21"/>
                      <w:highlight w:val="none"/>
                      <w:u w:val="none"/>
                      <w:vertAlign w:val="subscript"/>
                      <w:lang w:val="en-US" w:eastAsia="zh-CN"/>
                    </w:rPr>
                    <w:t>2</w:t>
                  </w:r>
                  <w:r>
                    <w:rPr>
                      <w:rFonts w:hint="eastAsia" w:cs="Times New Roman"/>
                      <w:b w:val="0"/>
                      <w:bCs w:val="0"/>
                      <w:color w:val="auto"/>
                      <w:sz w:val="21"/>
                      <w:szCs w:val="21"/>
                      <w:highlight w:val="none"/>
                      <w:u w:val="none"/>
                      <w:vertAlign w:val="baseline"/>
                      <w:lang w:val="en-US" w:eastAsia="zh-CN"/>
                    </w:rPr>
                    <w:t>、非甲烷</w:t>
                  </w:r>
                </w:p>
                <w:p w14:paraId="1E665532">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总烃、</w:t>
                  </w:r>
                </w:p>
                <w:p w14:paraId="2CCF8C34">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color w:val="000000"/>
                      <w:sz w:val="21"/>
                      <w:szCs w:val="21"/>
                      <w:highlight w:val="none"/>
                      <w:vertAlign w:val="baseline"/>
                      <w:lang w:val="en-US"/>
                    </w:rPr>
                  </w:pPr>
                  <w:r>
                    <w:rPr>
                      <w:rFonts w:hint="eastAsia" w:cs="Times New Roman"/>
                      <w:b w:val="0"/>
                      <w:bCs w:val="0"/>
                      <w:color w:val="auto"/>
                      <w:sz w:val="21"/>
                      <w:szCs w:val="21"/>
                      <w:highlight w:val="none"/>
                      <w:u w:val="none"/>
                      <w:vertAlign w:val="baseline"/>
                      <w:lang w:val="en-US" w:eastAsia="zh-CN"/>
                    </w:rPr>
                    <w:t>臭气浓度、氨、硫化氢</w:t>
                  </w:r>
                </w:p>
              </w:tc>
              <w:tc>
                <w:tcPr>
                  <w:tcW w:w="970" w:type="pct"/>
                  <w:tcBorders>
                    <w:tl2br w:val="nil"/>
                    <w:tr2bl w:val="nil"/>
                  </w:tcBorders>
                  <w:noWrap w:val="0"/>
                  <w:vAlign w:val="center"/>
                </w:tcPr>
                <w:p w14:paraId="7102DA13">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color w:val="000000"/>
                      <w:sz w:val="21"/>
                      <w:szCs w:val="21"/>
                      <w:highlight w:val="none"/>
                    </w:rPr>
                  </w:pPr>
                  <w:r>
                    <w:rPr>
                      <w:rFonts w:hint="eastAsia"/>
                      <w:color w:val="000000"/>
                      <w:sz w:val="21"/>
                      <w:szCs w:val="21"/>
                      <w:highlight w:val="none"/>
                    </w:rPr>
                    <w:t>1次/</w:t>
                  </w:r>
                  <w:r>
                    <w:rPr>
                      <w:rFonts w:hint="eastAsia"/>
                      <w:color w:val="000000"/>
                      <w:sz w:val="21"/>
                      <w:szCs w:val="21"/>
                      <w:highlight w:val="none"/>
                      <w:lang w:val="en-US" w:eastAsia="zh-CN"/>
                    </w:rPr>
                    <w:t>半年</w:t>
                  </w:r>
                </w:p>
              </w:tc>
              <w:tc>
                <w:tcPr>
                  <w:tcW w:w="1935" w:type="pct"/>
                  <w:tcBorders>
                    <w:tl2br w:val="nil"/>
                    <w:tr2bl w:val="nil"/>
                  </w:tcBorders>
                  <w:noWrap w:val="0"/>
                  <w:vAlign w:val="center"/>
                </w:tcPr>
                <w:p w14:paraId="315B10C2">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bCs/>
                      <w:color w:val="000000"/>
                      <w:sz w:val="21"/>
                      <w:szCs w:val="21"/>
                      <w:highlight w:val="none"/>
                    </w:rPr>
                  </w:pPr>
                  <w:r>
                    <w:rPr>
                      <w:rFonts w:hint="eastAsia" w:ascii="Times New Roman" w:hAnsi="Times New Roman" w:eastAsia="宋体" w:cs="Times New Roman"/>
                      <w:b w:val="0"/>
                      <w:bCs w:val="0"/>
                      <w:color w:val="000000"/>
                      <w:sz w:val="21"/>
                      <w:szCs w:val="21"/>
                      <w:highlight w:val="none"/>
                    </w:rPr>
                    <w:t>《大气污染物综合排放标准》(GB16297</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rPr>
                    <w:t>1996)表2要求</w:t>
                  </w:r>
                  <w:r>
                    <w:rPr>
                      <w:rFonts w:hint="eastAsia" w:ascii="Times New Roman" w:hAnsi="Times New Roman" w:eastAsia="宋体" w:cs="Times New Roman"/>
                      <w:b w:val="0"/>
                      <w:bCs w:val="0"/>
                      <w:color w:val="000000"/>
                      <w:sz w:val="21"/>
                      <w:szCs w:val="21"/>
                      <w:highlight w:val="none"/>
                      <w:lang w:eastAsia="zh-CN"/>
                    </w:rPr>
                    <w:t>、</w:t>
                  </w:r>
                  <w:r>
                    <w:rPr>
                      <w:rFonts w:hint="eastAsia" w:ascii="宋体" w:hAnsi="宋体" w:eastAsia="宋体" w:cs="宋体"/>
                      <w:b w:val="0"/>
                      <w:bCs w:val="0"/>
                      <w:kern w:val="2"/>
                      <w:sz w:val="21"/>
                      <w:szCs w:val="21"/>
                      <w:highlight w:val="none"/>
                      <w:lang w:val="en-US" w:eastAsia="zh-CN" w:bidi="ar"/>
                    </w:rPr>
                    <w:t>《关于全省开</w:t>
                  </w:r>
                  <w:bookmarkStart w:id="8" w:name="OLE_LINK11"/>
                  <w:r>
                    <w:rPr>
                      <w:rFonts w:hint="eastAsia" w:ascii="宋体" w:hAnsi="宋体" w:eastAsia="宋体" w:cs="宋体"/>
                      <w:b w:val="0"/>
                      <w:bCs w:val="0"/>
                      <w:kern w:val="2"/>
                      <w:sz w:val="21"/>
                      <w:szCs w:val="21"/>
                      <w:highlight w:val="none"/>
                      <w:lang w:val="en-US" w:eastAsia="zh-CN" w:bidi="ar"/>
                    </w:rPr>
                    <w:t>展工业企业挥发性有机物专项治理工作中排放建议值的通知》（豫环攻坚办〔</w:t>
                  </w:r>
                  <w:r>
                    <w:rPr>
                      <w:rFonts w:hint="default" w:ascii="Times New Roman" w:hAnsi="Times New Roman" w:eastAsia="宋体" w:cs="Times New Roman"/>
                      <w:b w:val="0"/>
                      <w:bCs w:val="0"/>
                      <w:kern w:val="2"/>
                      <w:sz w:val="21"/>
                      <w:szCs w:val="21"/>
                      <w:highlight w:val="none"/>
                      <w:lang w:val="en-US" w:eastAsia="zh-CN" w:bidi="ar"/>
                    </w:rPr>
                    <w:t>2017</w:t>
                  </w:r>
                  <w:r>
                    <w:rPr>
                      <w:rFonts w:hint="eastAsia" w:ascii="宋体" w:hAnsi="宋体" w:eastAsia="宋体" w:cs="宋体"/>
                      <w:b w:val="0"/>
                      <w:bCs w:val="0"/>
                      <w:kern w:val="2"/>
                      <w:sz w:val="21"/>
                      <w:szCs w:val="21"/>
                      <w:highlight w:val="none"/>
                      <w:lang w:val="en-US" w:eastAsia="zh-CN" w:bidi="ar"/>
                    </w:rPr>
                    <w:t>〕</w:t>
                  </w:r>
                  <w:r>
                    <w:rPr>
                      <w:rFonts w:hint="default" w:ascii="Times New Roman" w:hAnsi="Times New Roman" w:eastAsia="宋体" w:cs="Times New Roman"/>
                      <w:b w:val="0"/>
                      <w:bCs w:val="0"/>
                      <w:kern w:val="2"/>
                      <w:sz w:val="21"/>
                      <w:szCs w:val="21"/>
                      <w:highlight w:val="none"/>
                      <w:lang w:val="en-US" w:eastAsia="zh-CN" w:bidi="ar"/>
                    </w:rPr>
                    <w:t>162</w:t>
                  </w:r>
                  <w:r>
                    <w:rPr>
                      <w:rFonts w:hint="eastAsia" w:ascii="宋体" w:hAnsi="宋体" w:eastAsia="宋体" w:cs="宋体"/>
                      <w:b w:val="0"/>
                      <w:bCs w:val="0"/>
                      <w:kern w:val="2"/>
                      <w:sz w:val="21"/>
                      <w:szCs w:val="21"/>
                      <w:highlight w:val="none"/>
                      <w:lang w:val="en-US" w:eastAsia="zh-CN" w:bidi="ar"/>
                    </w:rPr>
                    <w:t>号）</w:t>
                  </w:r>
                  <w:r>
                    <w:rPr>
                      <w:rFonts w:hint="eastAsia" w:ascii="宋体" w:hAnsi="宋体" w:cs="宋体"/>
                      <w:b w:val="0"/>
                      <w:bCs w:val="0"/>
                      <w:kern w:val="2"/>
                      <w:sz w:val="21"/>
                      <w:szCs w:val="21"/>
                      <w:highlight w:val="none"/>
                      <w:lang w:val="en-US" w:eastAsia="zh-CN" w:bidi="ar"/>
                    </w:rPr>
                    <w:t>中</w:t>
                  </w:r>
                  <w:r>
                    <w:rPr>
                      <w:rFonts w:hint="eastAsia" w:ascii="宋体" w:hAnsi="宋体" w:eastAsia="宋体" w:cs="宋体"/>
                      <w:b w:val="0"/>
                      <w:bCs w:val="0"/>
                      <w:kern w:val="2"/>
                      <w:sz w:val="21"/>
                      <w:szCs w:val="21"/>
                      <w:highlight w:val="none"/>
                      <w:lang w:val="en-US" w:eastAsia="zh-CN" w:bidi="ar"/>
                    </w:rPr>
                    <w:t>无组织：工业企业边界挥发性有机物排放建议值</w:t>
                  </w:r>
                  <w:r>
                    <w:rPr>
                      <w:rFonts w:hint="default" w:ascii="Times New Roman" w:hAnsi="Times New Roman" w:eastAsia="宋体" w:cs="Times New Roman"/>
                      <w:b w:val="0"/>
                      <w:bCs w:val="0"/>
                      <w:kern w:val="2"/>
                      <w:sz w:val="21"/>
                      <w:szCs w:val="21"/>
                      <w:highlight w:val="none"/>
                      <w:lang w:val="en-US" w:eastAsia="zh-CN" w:bidi="ar"/>
                    </w:rPr>
                    <w:t>2.0mg/m</w:t>
                  </w:r>
                  <w:r>
                    <w:rPr>
                      <w:rFonts w:hint="default" w:ascii="Times New Roman" w:hAnsi="Times New Roman" w:eastAsia="宋体" w:cs="Times New Roman"/>
                      <w:b w:val="0"/>
                      <w:bCs w:val="0"/>
                      <w:kern w:val="2"/>
                      <w:sz w:val="21"/>
                      <w:szCs w:val="21"/>
                      <w:highlight w:val="none"/>
                      <w:vertAlign w:val="superscript"/>
                      <w:lang w:val="en-US" w:eastAsia="zh-CN" w:bidi="ar"/>
                    </w:rPr>
                    <w:t>3</w:t>
                  </w:r>
                  <w:r>
                    <w:rPr>
                      <w:rFonts w:hint="eastAsia" w:ascii="宋体" w:hAnsi="宋体" w:cs="宋体"/>
                      <w:sz w:val="21"/>
                      <w:szCs w:val="21"/>
                      <w:highlight w:val="none"/>
                      <w:lang w:eastAsia="zh-CN"/>
                    </w:rPr>
                    <w:t>、</w:t>
                  </w:r>
                  <w:r>
                    <w:rPr>
                      <w:rFonts w:ascii="宋体" w:hAnsi="宋体" w:eastAsia="宋体" w:cs="宋体"/>
                      <w:sz w:val="21"/>
                      <w:szCs w:val="21"/>
                      <w:highlight w:val="none"/>
                    </w:rPr>
                    <w:t>臭气浓度能够满足《恶臭污染物排放标准》（GB14554-93）排放标准值的要求</w:t>
                  </w:r>
                  <w:bookmarkEnd w:id="8"/>
                </w:p>
              </w:tc>
            </w:tr>
          </w:tbl>
          <w:p w14:paraId="1CB3EEEB">
            <w:pPr>
              <w:keepNext w:val="0"/>
              <w:keepLines w:val="0"/>
              <w:pageBreakBefore w:val="0"/>
              <w:widowControl w:val="0"/>
              <w:tabs>
                <w:tab w:val="left" w:pos="4395"/>
              </w:tabs>
              <w:kinsoku/>
              <w:wordWrap/>
              <w:overflowPunct/>
              <w:topLinePunct w:val="0"/>
              <w:autoSpaceDE/>
              <w:autoSpaceDN/>
              <w:bidi w:val="0"/>
              <w:adjustRightInd w:val="0"/>
              <w:snapToGrid w:val="0"/>
              <w:spacing w:line="500" w:lineRule="exact"/>
              <w:ind w:firstLine="482" w:firstLineChars="200"/>
              <w:jc w:val="left"/>
              <w:textAlignment w:val="auto"/>
              <w:rPr>
                <w:rFonts w:hint="eastAsia" w:ascii="宋体" w:hAnsi="宋体" w:eastAsia="宋体" w:cs="宋体"/>
                <w:b/>
                <w:bCs w:val="0"/>
                <w:sz w:val="24"/>
                <w:szCs w:val="24"/>
                <w:highlight w:val="none"/>
                <w:lang w:val="en-US" w:eastAsia="zh-CN"/>
              </w:rPr>
            </w:pPr>
            <w:r>
              <w:rPr>
                <w:rFonts w:hint="default" w:ascii="Times New Roman" w:hAnsi="Times New Roman" w:cs="Times New Roman"/>
                <w:b/>
                <w:bCs w:val="0"/>
                <w:sz w:val="24"/>
                <w:highlight w:val="none"/>
                <w:lang w:val="en-US" w:eastAsia="zh-CN"/>
              </w:rPr>
              <w:t>2</w:t>
            </w:r>
            <w:r>
              <w:rPr>
                <w:rFonts w:hint="default" w:ascii="Times New Roman" w:hAnsi="Times New Roman" w:eastAsia="宋体" w:cs="Times New Roman"/>
                <w:b/>
                <w:bCs w:val="0"/>
                <w:sz w:val="24"/>
                <w:highlight w:val="none"/>
              </w:rPr>
              <w:t>、</w:t>
            </w:r>
            <w:r>
              <w:rPr>
                <w:rFonts w:hint="default" w:ascii="Times New Roman" w:hAnsi="Times New Roman" w:eastAsia="宋体" w:cs="Times New Roman"/>
                <w:b/>
                <w:bCs w:val="0"/>
                <w:sz w:val="24"/>
                <w:szCs w:val="24"/>
                <w:highlight w:val="none"/>
              </w:rPr>
              <w:t>废</w:t>
            </w:r>
            <w:r>
              <w:rPr>
                <w:rFonts w:hint="default" w:ascii="Times New Roman" w:hAnsi="Times New Roman" w:cs="Times New Roman"/>
                <w:b/>
                <w:bCs w:val="0"/>
                <w:sz w:val="24"/>
                <w:szCs w:val="24"/>
                <w:highlight w:val="none"/>
                <w:lang w:val="en-US" w:eastAsia="zh-CN"/>
              </w:rPr>
              <w:t>水</w:t>
            </w:r>
            <w:r>
              <w:rPr>
                <w:rFonts w:hint="default" w:ascii="Times New Roman" w:hAnsi="Times New Roman" w:cs="Times New Roman"/>
                <w:b/>
                <w:kern w:val="0"/>
                <w:sz w:val="24"/>
                <w:szCs w:val="24"/>
                <w:highlight w:val="none"/>
                <w:lang w:val="en-US" w:eastAsia="zh-CN"/>
              </w:rPr>
              <w:t>环境影响分析</w:t>
            </w:r>
          </w:p>
          <w:p w14:paraId="51D70C8D">
            <w:pPr>
              <w:keepNext w:val="0"/>
              <w:keepLines w:val="0"/>
              <w:pageBreakBefore w:val="0"/>
              <w:widowControl w:val="0"/>
              <w:kinsoku/>
              <w:wordWrap/>
              <w:overflowPunct/>
              <w:topLinePunct w:val="0"/>
              <w:bidi w:val="0"/>
              <w:spacing w:line="500" w:lineRule="exact"/>
              <w:ind w:firstLine="480" w:firstLineChars="200"/>
              <w:textAlignment w:val="auto"/>
              <w:rPr>
                <w:b w:val="0"/>
                <w:bCs w:val="0"/>
                <w:color w:val="000000"/>
                <w:kern w:val="0"/>
                <w:sz w:val="24"/>
              </w:rPr>
            </w:pPr>
            <w:r>
              <w:rPr>
                <w:rFonts w:hint="eastAsia"/>
                <w:b w:val="0"/>
                <w:bCs w:val="0"/>
                <w:color w:val="000000"/>
                <w:kern w:val="0"/>
                <w:sz w:val="24"/>
              </w:rPr>
              <w:t>2.1</w:t>
            </w:r>
            <w:r>
              <w:rPr>
                <w:rFonts w:hint="eastAsia"/>
                <w:b w:val="0"/>
                <w:bCs w:val="0"/>
                <w:color w:val="000000"/>
                <w:kern w:val="0"/>
                <w:sz w:val="24"/>
                <w:lang w:val="en-US" w:eastAsia="zh-CN"/>
              </w:rPr>
              <w:t>本</w:t>
            </w:r>
            <w:r>
              <w:rPr>
                <w:rFonts w:hint="eastAsia"/>
                <w:b w:val="0"/>
                <w:bCs w:val="0"/>
                <w:color w:val="000000"/>
                <w:kern w:val="0"/>
                <w:sz w:val="24"/>
                <w:lang w:eastAsia="zh-CN"/>
              </w:rPr>
              <w:t>项目</w:t>
            </w:r>
            <w:r>
              <w:rPr>
                <w:rFonts w:hint="eastAsia"/>
                <w:b w:val="0"/>
                <w:bCs w:val="0"/>
                <w:color w:val="000000"/>
                <w:kern w:val="0"/>
                <w:sz w:val="24"/>
              </w:rPr>
              <w:t>废水污染源强及治理措施</w:t>
            </w:r>
          </w:p>
          <w:p w14:paraId="333B5618">
            <w:pPr>
              <w:keepNext w:val="0"/>
              <w:keepLines w:val="0"/>
              <w:pageBreakBefore w:val="0"/>
              <w:widowControl w:val="0"/>
              <w:kinsoku/>
              <w:wordWrap/>
              <w:overflowPunct/>
              <w:topLinePunct w:val="0"/>
              <w:bidi w:val="0"/>
              <w:spacing w:line="500" w:lineRule="exact"/>
              <w:ind w:firstLine="480" w:firstLineChars="200"/>
              <w:textAlignment w:val="auto"/>
              <w:rPr>
                <w:color w:val="000000"/>
                <w:sz w:val="24"/>
                <w:highlight w:val="none"/>
              </w:rPr>
            </w:pPr>
            <w:r>
              <w:rPr>
                <w:rFonts w:hint="eastAsia"/>
                <w:b w:val="0"/>
                <w:bCs w:val="0"/>
                <w:color w:val="auto"/>
                <w:sz w:val="24"/>
                <w:highlight w:val="none"/>
                <w:u w:val="none"/>
                <w:lang w:val="en-US" w:eastAsia="zh-CN"/>
              </w:rPr>
              <w:t>项目外排的废水主要为原料清洗废水、生产设备清洗废水、包装材料清洗废水、地面清洗废水、锅炉废水、软化废水以及生活污水。</w:t>
            </w:r>
          </w:p>
          <w:p w14:paraId="7E73D997">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eastAsia="宋体"/>
                <w:color w:val="000000"/>
                <w:sz w:val="24"/>
                <w:highlight w:val="none"/>
                <w:lang w:val="en-US" w:eastAsia="zh-CN"/>
              </w:rPr>
            </w:pPr>
            <w:r>
              <w:rPr>
                <w:rFonts w:hint="eastAsia"/>
                <w:color w:val="000000"/>
                <w:sz w:val="24"/>
                <w:highlight w:val="none"/>
              </w:rPr>
              <w:t>（1）</w:t>
            </w:r>
            <w:r>
              <w:rPr>
                <w:rFonts w:hint="eastAsia"/>
                <w:color w:val="000000"/>
                <w:sz w:val="24"/>
                <w:highlight w:val="none"/>
                <w:lang w:val="en-US" w:eastAsia="zh-CN"/>
              </w:rPr>
              <w:t>生产用水</w:t>
            </w:r>
          </w:p>
          <w:p w14:paraId="4D549189">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eastAsia" w:ascii="Times New Roman" w:cs="Times New Roman"/>
                <w:color w:val="auto"/>
                <w:sz w:val="24"/>
                <w:highlight w:val="none"/>
                <w:lang w:val="en-US" w:eastAsia="zh-CN"/>
              </w:rPr>
            </w:pPr>
            <w:r>
              <w:rPr>
                <w:rFonts w:hint="eastAsia" w:ascii="Times New Roman" w:cs="Times New Roman"/>
                <w:color w:val="auto"/>
                <w:sz w:val="24"/>
                <w:highlight w:val="none"/>
                <w:lang w:val="en-US" w:eastAsia="zh-CN"/>
              </w:rPr>
              <w:t>根据企业设计资料及生产规模分析</w:t>
            </w:r>
            <w:r>
              <w:rPr>
                <w:rFonts w:hint="eastAsia" w:cs="Times New Roman"/>
                <w:color w:val="auto"/>
                <w:sz w:val="24"/>
                <w:highlight w:val="none"/>
                <w:lang w:val="en-US" w:eastAsia="zh-CN"/>
              </w:rPr>
              <w:t>，生产用水来自于厂区内自备的水井，生产用水需要将井水输送到加热罐中，再利用蒸汽对加热罐井水进行加热后，加热罐内的水才能使用，具体将加热后的水使用在蒸煮、浓缩、产品调配、均质等一系列生产过程中。企业按照生产情况和实际经验生产用水</w:t>
            </w:r>
            <w:r>
              <w:rPr>
                <w:rFonts w:hint="eastAsia" w:ascii="Times New Roman" w:cs="Times New Roman"/>
                <w:color w:val="auto"/>
                <w:sz w:val="24"/>
                <w:highlight w:val="none"/>
                <w:lang w:val="en-US" w:eastAsia="zh-CN"/>
              </w:rPr>
              <w:t>为3m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/d、900m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/a，井水经过加热罐加热后在生产中使用，不外排。</w:t>
            </w:r>
          </w:p>
          <w:p w14:paraId="65048AA4">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color w:val="000000"/>
                <w:sz w:val="24"/>
                <w:highlight w:val="none"/>
              </w:rPr>
            </w:pPr>
            <w:r>
              <w:rPr>
                <w:rFonts w:hint="eastAsia"/>
                <w:color w:val="000000"/>
                <w:sz w:val="24"/>
                <w:highlight w:val="none"/>
              </w:rPr>
              <w:t>（</w:t>
            </w:r>
            <w:r>
              <w:rPr>
                <w:rFonts w:hint="eastAsia"/>
                <w:color w:val="000000"/>
                <w:sz w:val="24"/>
                <w:highlight w:val="none"/>
                <w:lang w:val="en-US" w:eastAsia="zh-CN"/>
              </w:rPr>
              <w:t>2</w:t>
            </w:r>
            <w:r>
              <w:rPr>
                <w:rFonts w:hint="eastAsia"/>
                <w:color w:val="000000"/>
                <w:sz w:val="24"/>
                <w:highlight w:val="none"/>
              </w:rPr>
              <w:t>）</w:t>
            </w:r>
            <w:r>
              <w:rPr>
                <w:rFonts w:hint="eastAsia"/>
                <w:color w:val="000000"/>
                <w:sz w:val="24"/>
                <w:highlight w:val="none"/>
                <w:lang w:val="en-US" w:eastAsia="zh-CN"/>
              </w:rPr>
              <w:t>冷却</w:t>
            </w:r>
            <w:r>
              <w:rPr>
                <w:rFonts w:hint="eastAsia"/>
                <w:color w:val="000000"/>
                <w:sz w:val="24"/>
                <w:highlight w:val="none"/>
              </w:rPr>
              <w:t>用水</w:t>
            </w:r>
          </w:p>
          <w:p w14:paraId="490DF10D">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eastAsia"/>
                <w:color w:val="000000"/>
                <w:sz w:val="24"/>
                <w:highlight w:val="none"/>
                <w:lang w:val="en-US" w:eastAsia="zh-CN"/>
              </w:rPr>
            </w:pPr>
            <w:r>
              <w:rPr>
                <w:rFonts w:hint="eastAsia" w:cs="Times New Roman"/>
                <w:color w:val="auto"/>
                <w:sz w:val="24"/>
                <w:highlight w:val="none"/>
                <w:lang w:val="en-US" w:eastAsia="zh-CN"/>
              </w:rPr>
              <w:t>牛骨高汤在灌装时需要成品是冷的，需要灌装的牛骨高汤在冷却锅内利用冷水流动进行冷却后灌装，冷却水使用井水不需要特别处理，冷却水通过设计的管道和冷却水池进行循环流动，在双层冷却锅中外隔层循环流动达到冷却的作用，企业按照实际经验分析冷却水</w:t>
            </w:r>
            <w:r>
              <w:rPr>
                <w:rFonts w:hint="eastAsia" w:ascii="Times New Roman" w:cs="Times New Roman"/>
                <w:color w:val="auto"/>
                <w:sz w:val="24"/>
                <w:highlight w:val="none"/>
                <w:lang w:val="en-US" w:eastAsia="zh-CN"/>
              </w:rPr>
              <w:t>用量为</w:t>
            </w:r>
            <w:r>
              <w:rPr>
                <w:rFonts w:hint="eastAsia" w:cs="Times New Roman"/>
                <w:color w:val="auto"/>
                <w:sz w:val="24"/>
                <w:highlight w:val="none"/>
                <w:lang w:val="en-US" w:eastAsia="zh-CN"/>
              </w:rPr>
              <w:t>0.1</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/d、30m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循环过程中会有约为10%的损耗约为3.0</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w:t>
            </w:r>
            <w:r>
              <w:rPr>
                <w:rFonts w:hint="eastAsia" w:cs="Times New Roman"/>
                <w:color w:val="auto"/>
                <w:sz w:val="24"/>
                <w:highlight w:val="none"/>
                <w:lang w:val="en-US" w:eastAsia="zh-CN"/>
              </w:rPr>
              <w:t>a，冷却水定时补充，冷却水通过管道和冷却水池循环利用，不外排</w:t>
            </w:r>
            <w:r>
              <w:rPr>
                <w:rFonts w:hint="eastAsia" w:ascii="Times New Roman" w:cs="Times New Roman"/>
                <w:color w:val="auto"/>
                <w:sz w:val="24"/>
                <w:highlight w:val="none"/>
                <w:lang w:val="en-US" w:eastAsia="zh-CN"/>
              </w:rPr>
              <w:t>。</w:t>
            </w:r>
          </w:p>
          <w:p w14:paraId="741E43BC">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eastAsia="宋体"/>
                <w:color w:val="000000"/>
                <w:sz w:val="24"/>
                <w:highlight w:val="none"/>
                <w:lang w:val="en-US" w:eastAsia="zh-CN"/>
              </w:rPr>
            </w:pPr>
            <w:r>
              <w:rPr>
                <w:rFonts w:hint="eastAsia"/>
                <w:color w:val="000000"/>
                <w:sz w:val="24"/>
                <w:highlight w:val="none"/>
              </w:rPr>
              <w:t>（</w:t>
            </w:r>
            <w:r>
              <w:rPr>
                <w:rFonts w:hint="eastAsia"/>
                <w:color w:val="000000"/>
                <w:sz w:val="24"/>
                <w:highlight w:val="none"/>
                <w:lang w:val="en-US" w:eastAsia="zh-CN"/>
              </w:rPr>
              <w:t>3</w:t>
            </w:r>
            <w:r>
              <w:rPr>
                <w:rFonts w:hint="eastAsia"/>
                <w:color w:val="000000"/>
                <w:sz w:val="24"/>
                <w:highlight w:val="none"/>
              </w:rPr>
              <w:t>）</w:t>
            </w:r>
            <w:r>
              <w:rPr>
                <w:rFonts w:hint="eastAsia"/>
                <w:color w:val="000000"/>
                <w:sz w:val="24"/>
                <w:highlight w:val="none"/>
                <w:lang w:val="en-US" w:eastAsia="zh-CN"/>
              </w:rPr>
              <w:t>锅炉</w:t>
            </w:r>
            <w:r>
              <w:rPr>
                <w:rFonts w:hint="eastAsia"/>
                <w:color w:val="000000"/>
                <w:sz w:val="24"/>
                <w:highlight w:val="none"/>
              </w:rPr>
              <w:t>用水</w:t>
            </w:r>
            <w:r>
              <w:rPr>
                <w:rFonts w:hint="eastAsia"/>
                <w:color w:val="000000"/>
                <w:sz w:val="24"/>
                <w:highlight w:val="none"/>
                <w:lang w:val="en-US" w:eastAsia="zh-CN"/>
              </w:rPr>
              <w:t>与排水</w:t>
            </w:r>
          </w:p>
          <w:p w14:paraId="3B78F813">
            <w:pPr>
              <w:keepNext w:val="0"/>
              <w:keepLines w:val="0"/>
              <w:pageBreakBefore w:val="0"/>
              <w:kinsoku/>
              <w:overflowPunct/>
              <w:topLinePunct w:val="0"/>
              <w:autoSpaceDE/>
              <w:autoSpaceDN/>
              <w:bidi w:val="0"/>
              <w:spacing w:line="50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项目使用的锅炉为蒸汽锅炉。</w:t>
            </w:r>
            <w:r>
              <w:rPr>
                <w:rFonts w:hint="eastAsia" w:ascii="Times New Roman" w:hAnsi="Times New Roman" w:eastAsia="宋体" w:cs="Times New Roman"/>
                <w:b w:val="0"/>
                <w:bCs/>
                <w:color w:val="auto"/>
                <w:sz w:val="24"/>
                <w:szCs w:val="24"/>
                <w:highlight w:val="none"/>
                <w:lang w:val="en-US" w:eastAsia="zh-CN"/>
              </w:rPr>
              <w:t>井水进入软水制备装置（项目软水制备是由树脂罐、盐罐（作用为软化树脂）、控制器组成的一体化设备，采用自动控制系统，虹吸原理吸盐，自动注水化盐，自动再生），软</w:t>
            </w:r>
            <w:r>
              <w:rPr>
                <w:rFonts w:hint="default" w:ascii="Times New Roman" w:hAnsi="Times New Roman" w:eastAsia="宋体" w:cs="Times New Roman"/>
                <w:b w:val="0"/>
                <w:bCs/>
                <w:color w:val="auto"/>
                <w:sz w:val="24"/>
                <w:szCs w:val="24"/>
                <w:highlight w:val="none"/>
                <w:lang w:val="en-US" w:eastAsia="zh-CN"/>
              </w:rPr>
              <w:t>水从下集箱进入，再通过燃烧天然气提供的热量加热锅内的水，使水在水管内汽化成蒸汽从上集箱的蒸汽出口排出，最后经管道输送供</w:t>
            </w:r>
            <w:r>
              <w:rPr>
                <w:rFonts w:hint="eastAsia"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b w:val="0"/>
                <w:bCs/>
                <w:color w:val="auto"/>
                <w:sz w:val="24"/>
                <w:szCs w:val="24"/>
                <w:highlight w:val="none"/>
                <w:lang w:val="en-US" w:eastAsia="zh-CN"/>
              </w:rPr>
              <w:t>使用</w:t>
            </w:r>
            <w:r>
              <w:rPr>
                <w:rFonts w:hint="eastAsia" w:ascii="Times New Roman" w:hAnsi="Times New Roman" w:eastAsia="宋体" w:cs="Times New Roman"/>
                <w:b w:val="0"/>
                <w:bCs/>
                <w:color w:val="auto"/>
                <w:sz w:val="24"/>
                <w:szCs w:val="24"/>
                <w:highlight w:val="none"/>
                <w:lang w:val="en-US" w:eastAsia="zh-CN"/>
              </w:rPr>
              <w:t>，锅炉产生的蒸汽用在生产加工、产品杀菌、包装杀菌等工段中，采用间接加热方式，不与物料接触，加热和杀菌操作完成后，蒸汽被输送回锅炉中重新循环往复使用</w:t>
            </w:r>
            <w:r>
              <w:rPr>
                <w:rFonts w:hint="default" w:ascii="Times New Roman" w:hAnsi="Times New Roman" w:eastAsia="宋体" w:cs="Times New Roman"/>
                <w:b w:val="0"/>
                <w:bCs/>
                <w:color w:val="auto"/>
                <w:sz w:val="24"/>
                <w:szCs w:val="24"/>
                <w:highlight w:val="none"/>
                <w:lang w:val="en-US" w:eastAsia="zh-CN"/>
              </w:rPr>
              <w:t>。</w:t>
            </w:r>
          </w:p>
          <w:p w14:paraId="6E639611">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a、蒸汽锅炉用水</w:t>
            </w:r>
          </w:p>
          <w:p w14:paraId="26980F6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项目配备1台4t/h蒸汽锅炉为生产加工提供蒸汽，建成后全年运行300天，每天运行8小时，企业按照生产情况和实际经验，井水进入软水制备装置，软水再进入锅炉内加热产生蒸汽，锅炉用量为5m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/d、1500m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p>
          <w:p w14:paraId="6B4402B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b、蒸汽锅炉排水</w:t>
            </w:r>
          </w:p>
          <w:p w14:paraId="6C7992D9">
            <w:pPr>
              <w:pStyle w:val="9"/>
              <w:keepNext w:val="0"/>
              <w:keepLines w:val="0"/>
              <w:pageBreakBefore w:val="0"/>
              <w:widowControl w:val="0"/>
              <w:kinsoku/>
              <w:wordWrap/>
              <w:overflowPunct/>
              <w:topLinePunct w:val="0"/>
              <w:bidi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锅炉排水的目的是降低锅炉内水浓度，保证蒸汽品质良好，及时排出水渣，防治受热面结垢，锅炉排污应做到既能使锅炉内水达到合格标准，又尽量减少热损失，故定期排水后直接继续补充软水进入。锅炉定期排污水量为0.3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/d、90m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/a。锅炉排水污染物产生浓度参考《陕西工业职业技术学院天然气锅炉（西区10t/h蒸汽锅炉）供暖工程环境质量现状及污染源监测报告》（PHJC-202101-ZH010）中天然气锅炉排水的监测数据最大值COD</w:t>
            </w:r>
            <w:r>
              <w:rPr>
                <w:rFonts w:hint="eastAsia"/>
                <w:sz w:val="24"/>
                <w:highlight w:val="none"/>
                <w:lang w:eastAsia="zh-CN"/>
              </w:rPr>
              <w:t>：</w:t>
            </w:r>
            <w:r>
              <w:rPr>
                <w:rFonts w:hint="eastAsia" w:cs="Times New Roman"/>
                <w:color w:val="auto"/>
                <w:sz w:val="24"/>
                <w:highlight w:val="none"/>
                <w:lang w:val="en-US" w:eastAsia="zh-CN"/>
              </w:rPr>
              <w:t>32mg/L、SS</w:t>
            </w:r>
            <w:r>
              <w:rPr>
                <w:rFonts w:hint="eastAsia"/>
                <w:sz w:val="24"/>
                <w:highlight w:val="none"/>
                <w:lang w:eastAsia="zh-CN"/>
              </w:rPr>
              <w:t>：</w:t>
            </w:r>
            <w:r>
              <w:rPr>
                <w:rFonts w:hint="eastAsia" w:cs="Times New Roman"/>
                <w:color w:val="auto"/>
                <w:sz w:val="24"/>
                <w:highlight w:val="none"/>
                <w:lang w:val="en-US" w:eastAsia="zh-CN"/>
              </w:rPr>
              <w:t>294mg/L。锅炉排出的废水进入隔油池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p>
          <w:p w14:paraId="1BFC1296">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c、锅炉软化废水排水</w:t>
            </w:r>
          </w:p>
          <w:p w14:paraId="58A68F40">
            <w:pPr>
              <w:pStyle w:val="9"/>
              <w:keepNext w:val="0"/>
              <w:keepLines w:val="0"/>
              <w:pageBreakBefore w:val="0"/>
              <w:widowControl w:val="0"/>
              <w:kinsoku/>
              <w:wordWrap/>
              <w:overflowPunct/>
              <w:topLinePunct w:val="0"/>
              <w:bidi w:val="0"/>
              <w:snapToGrid/>
              <w:spacing w:line="500" w:lineRule="exact"/>
              <w:ind w:firstLine="480" w:firstLineChars="200"/>
              <w:textAlignment w:val="auto"/>
              <w:rPr>
                <w:rFonts w:hint="eastAsia" w:cs="Times New Roman"/>
                <w:color w:val="auto"/>
                <w:sz w:val="24"/>
                <w:highlight w:val="none"/>
                <w:lang w:val="en-US" w:eastAsia="zh-CN"/>
              </w:rPr>
            </w:pPr>
            <w:r>
              <w:rPr>
                <w:rFonts w:hint="eastAsia" w:cs="Times New Roman"/>
                <w:b w:val="0"/>
                <w:bCs/>
                <w:color w:val="auto"/>
                <w:sz w:val="24"/>
                <w:szCs w:val="24"/>
                <w:highlight w:val="none"/>
                <w:lang w:val="en-US" w:eastAsia="zh-CN"/>
              </w:rPr>
              <w:t>锅炉</w:t>
            </w:r>
            <w:r>
              <w:rPr>
                <w:rFonts w:hint="eastAsia" w:ascii="Times New Roman" w:hAnsi="Times New Roman" w:eastAsia="宋体" w:cs="Times New Roman"/>
                <w:b w:val="0"/>
                <w:bCs/>
                <w:color w:val="auto"/>
                <w:sz w:val="24"/>
                <w:szCs w:val="24"/>
                <w:highlight w:val="none"/>
                <w:lang w:val="en-US" w:eastAsia="zh-CN"/>
              </w:rPr>
              <w:t>软水制备装置</w:t>
            </w:r>
            <w:r>
              <w:rPr>
                <w:rFonts w:hint="eastAsia" w:cs="Times New Roman"/>
                <w:b w:val="0"/>
                <w:bCs/>
                <w:color w:val="auto"/>
                <w:sz w:val="24"/>
                <w:szCs w:val="24"/>
                <w:highlight w:val="none"/>
                <w:lang w:val="en-US" w:eastAsia="zh-CN"/>
              </w:rPr>
              <w:t>采用的是离子交换树脂工艺，则软水制备率最高80%，即</w:t>
            </w:r>
            <w:r>
              <w:rPr>
                <w:rFonts w:hint="eastAsia" w:cs="Times New Roman"/>
                <w:color w:val="auto"/>
                <w:sz w:val="24"/>
                <w:highlight w:val="none"/>
                <w:lang w:val="en-US" w:eastAsia="zh-CN"/>
              </w:rPr>
              <w:t>锅炉5m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的井水，软水制备率80%，能制出4</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的软水进入锅炉变成蒸汽，产生出1</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w:t>
            </w:r>
            <w:r>
              <w:rPr>
                <w:rFonts w:hint="eastAsia"/>
                <w:sz w:val="24"/>
                <w:szCs w:val="24"/>
                <w:highlight w:val="none"/>
                <w:lang w:val="en-US" w:eastAsia="zh-CN"/>
              </w:rPr>
              <w:t>的软化废水。软化废水属于清下水，污染物含量较低，软化</w:t>
            </w:r>
            <w:r>
              <w:rPr>
                <w:rFonts w:hint="eastAsia" w:cs="Times New Roman"/>
                <w:color w:val="auto"/>
                <w:sz w:val="24"/>
                <w:highlight w:val="none"/>
                <w:lang w:val="en-US" w:eastAsia="zh-CN"/>
              </w:rPr>
              <w:t>废水先进入隔油池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p>
          <w:p w14:paraId="36BE0FFB">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color w:val="000000"/>
                <w:sz w:val="24"/>
                <w:highlight w:val="none"/>
              </w:rPr>
            </w:pPr>
            <w:r>
              <w:rPr>
                <w:rFonts w:hint="eastAsia"/>
                <w:color w:val="000000"/>
                <w:sz w:val="24"/>
                <w:highlight w:val="none"/>
              </w:rPr>
              <w:t>（</w:t>
            </w:r>
            <w:r>
              <w:rPr>
                <w:rFonts w:hint="eastAsia"/>
                <w:color w:val="000000"/>
                <w:sz w:val="24"/>
                <w:highlight w:val="none"/>
                <w:lang w:val="en-US" w:eastAsia="zh-CN"/>
              </w:rPr>
              <w:t>4</w:t>
            </w:r>
            <w:r>
              <w:rPr>
                <w:rFonts w:hint="eastAsia"/>
                <w:color w:val="000000"/>
                <w:sz w:val="24"/>
                <w:highlight w:val="none"/>
              </w:rPr>
              <w:t>）</w:t>
            </w:r>
            <w:r>
              <w:rPr>
                <w:rFonts w:hint="eastAsia"/>
                <w:color w:val="000000"/>
                <w:sz w:val="24"/>
                <w:highlight w:val="none"/>
                <w:lang w:val="en-US" w:eastAsia="zh-CN"/>
              </w:rPr>
              <w:t>清洗</w:t>
            </w:r>
            <w:r>
              <w:rPr>
                <w:rFonts w:hint="eastAsia"/>
                <w:color w:val="000000"/>
                <w:sz w:val="24"/>
                <w:highlight w:val="none"/>
              </w:rPr>
              <w:t>用水</w:t>
            </w:r>
            <w:r>
              <w:rPr>
                <w:color w:val="000000"/>
                <w:sz w:val="24"/>
                <w:highlight w:val="none"/>
              </w:rPr>
              <w:t>与排水</w:t>
            </w:r>
          </w:p>
          <w:p w14:paraId="2BF6283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hint="default"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清洗废水包括清洗辣椒、牛骨、原辅料的废水、设备清洗废水、地面清洗废水、清洗包装材料废水等。</w:t>
            </w:r>
          </w:p>
          <w:p w14:paraId="6C1FFDBB">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eastAsia="宋体"/>
                <w:b w:val="0"/>
                <w:bCs w:val="0"/>
                <w:color w:val="auto"/>
                <w:sz w:val="24"/>
                <w:highlight w:val="none"/>
                <w:u w:val="none"/>
                <w:lang w:val="en-US" w:eastAsia="zh-CN"/>
              </w:rPr>
              <w:t>①原料</w:t>
            </w:r>
            <w:r>
              <w:rPr>
                <w:rFonts w:hint="eastAsia" w:ascii="Times New Roman" w:hAnsi="Times New Roman" w:eastAsia="宋体"/>
                <w:b w:val="0"/>
                <w:bCs w:val="0"/>
                <w:color w:val="auto"/>
                <w:sz w:val="24"/>
                <w:highlight w:val="none"/>
                <w:u w:val="none"/>
                <w:lang w:val="en-US" w:eastAsia="zh-CN"/>
              </w:rPr>
              <w:t>清洗废水</w:t>
            </w:r>
          </w:p>
          <w:p w14:paraId="596CBAC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ascii="Times New Roman" w:hAnsi="Times New Roman" w:eastAsia="宋体"/>
                <w:b w:val="0"/>
                <w:bCs w:val="0"/>
                <w:color w:val="auto"/>
                <w:sz w:val="24"/>
                <w:highlight w:val="none"/>
                <w:u w:val="none"/>
              </w:rPr>
              <w:t>项目</w:t>
            </w:r>
            <w:r>
              <w:rPr>
                <w:rFonts w:hint="eastAsia" w:eastAsia="宋体"/>
                <w:b w:val="0"/>
                <w:bCs w:val="0"/>
                <w:color w:val="auto"/>
                <w:sz w:val="24"/>
                <w:highlight w:val="none"/>
                <w:u w:val="none"/>
                <w:lang w:val="en-US" w:eastAsia="zh-CN"/>
              </w:rPr>
              <w:t>原料</w:t>
            </w:r>
            <w:r>
              <w:rPr>
                <w:rFonts w:hint="eastAsia"/>
                <w:b w:val="0"/>
                <w:bCs w:val="0"/>
                <w:color w:val="auto"/>
                <w:sz w:val="24"/>
                <w:highlight w:val="none"/>
                <w:u w:val="none"/>
                <w:lang w:val="en-US" w:eastAsia="zh-CN"/>
              </w:rPr>
              <w:t>辣椒、牛骨和一些原辅料</w:t>
            </w:r>
            <w:r>
              <w:rPr>
                <w:rFonts w:hint="eastAsia" w:ascii="Times New Roman" w:hAnsi="Times New Roman" w:eastAsia="宋体"/>
                <w:b w:val="0"/>
                <w:bCs w:val="0"/>
                <w:color w:val="auto"/>
                <w:sz w:val="24"/>
                <w:highlight w:val="none"/>
                <w:u w:val="none"/>
              </w:rPr>
              <w:t>需</w:t>
            </w:r>
            <w:r>
              <w:rPr>
                <w:rFonts w:hint="eastAsia" w:eastAsia="宋体"/>
                <w:b w:val="0"/>
                <w:bCs w:val="0"/>
                <w:color w:val="auto"/>
                <w:sz w:val="24"/>
                <w:highlight w:val="none"/>
                <w:u w:val="none"/>
                <w:lang w:val="en-US" w:eastAsia="zh-CN"/>
              </w:rPr>
              <w:t>提前</w:t>
            </w:r>
            <w:r>
              <w:rPr>
                <w:rFonts w:hint="eastAsia" w:ascii="Times New Roman" w:hAnsi="Times New Roman" w:eastAsia="宋体"/>
                <w:b w:val="0"/>
                <w:bCs w:val="0"/>
                <w:color w:val="auto"/>
                <w:sz w:val="24"/>
                <w:highlight w:val="none"/>
                <w:u w:val="none"/>
              </w:rPr>
              <w:t>用清水进行</w:t>
            </w:r>
            <w:r>
              <w:rPr>
                <w:rFonts w:hint="eastAsia" w:ascii="Times New Roman" w:hAnsi="Times New Roman" w:eastAsia="宋体"/>
                <w:b w:val="0"/>
                <w:bCs w:val="0"/>
                <w:color w:val="auto"/>
                <w:sz w:val="24"/>
                <w:highlight w:val="none"/>
                <w:u w:val="none"/>
                <w:lang w:eastAsia="zh-CN"/>
              </w:rPr>
              <w:t>两次</w:t>
            </w:r>
            <w:r>
              <w:rPr>
                <w:rFonts w:ascii="Times New Roman" w:hAnsi="Times New Roman" w:eastAsia="宋体"/>
                <w:b w:val="0"/>
                <w:bCs w:val="0"/>
                <w:color w:val="auto"/>
                <w:sz w:val="24"/>
                <w:highlight w:val="none"/>
                <w:u w:val="none"/>
              </w:rPr>
              <w:t>清洗</w:t>
            </w:r>
            <w:r>
              <w:rPr>
                <w:rFonts w:hint="eastAsia" w:ascii="Times New Roman" w:hAnsi="Times New Roman" w:eastAsia="宋体"/>
                <w:b w:val="0"/>
                <w:bCs w:val="0"/>
                <w:color w:val="auto"/>
                <w:sz w:val="24"/>
                <w:highlight w:val="none"/>
                <w:u w:val="none"/>
                <w:lang w:eastAsia="zh-CN"/>
              </w:rPr>
              <w:t>，</w:t>
            </w:r>
            <w:r>
              <w:rPr>
                <w:rFonts w:hint="eastAsia"/>
                <w:b w:val="0"/>
                <w:bCs w:val="0"/>
                <w:color w:val="auto"/>
                <w:sz w:val="24"/>
                <w:highlight w:val="none"/>
                <w:u w:val="none"/>
                <w:lang w:val="en-US" w:eastAsia="zh-CN"/>
              </w:rPr>
              <w:t>清洗使用新鲜水清洗就可以，</w:t>
            </w:r>
            <w:r>
              <w:rPr>
                <w:rFonts w:hint="eastAsia" w:cs="Times New Roman"/>
                <w:color w:val="auto"/>
                <w:sz w:val="24"/>
                <w:highlight w:val="none"/>
                <w:lang w:val="en-US" w:eastAsia="zh-CN"/>
              </w:rPr>
              <w:t>企业按照生产情况和实际经验</w:t>
            </w:r>
            <w:r>
              <w:rPr>
                <w:rFonts w:hint="eastAsia" w:ascii="Times New Roman" w:hAnsi="Times New Roman" w:eastAsia="宋体"/>
                <w:b w:val="0"/>
                <w:bCs w:val="0"/>
                <w:color w:val="auto"/>
                <w:sz w:val="24"/>
                <w:highlight w:val="none"/>
                <w:u w:val="none"/>
                <w:lang w:val="en-US" w:eastAsia="zh-CN"/>
              </w:rPr>
              <w:t>和河南省内同类型的轻食品加工卫辉市曹阿姨食品有限公司辣椒酱、油辣椒生产项目</w:t>
            </w:r>
            <w:r>
              <w:rPr>
                <w:rFonts w:hint="eastAsia" w:ascii="Times New Roman" w:hAnsi="Times New Roman" w:eastAsia="宋体"/>
                <w:b w:val="0"/>
                <w:bCs w:val="0"/>
                <w:color w:val="auto"/>
                <w:sz w:val="24"/>
                <w:highlight w:val="none"/>
                <w:u w:val="none"/>
              </w:rPr>
              <w:t>，</w:t>
            </w:r>
            <w:r>
              <w:rPr>
                <w:rFonts w:hint="eastAsia" w:eastAsia="宋体"/>
                <w:b w:val="0"/>
                <w:bCs w:val="0"/>
                <w:color w:val="auto"/>
                <w:sz w:val="24"/>
                <w:highlight w:val="none"/>
                <w:u w:val="none"/>
                <w:lang w:val="en-US" w:eastAsia="zh-CN"/>
              </w:rPr>
              <w:t>两次原料清洗用水量约为</w:t>
            </w:r>
            <w:r>
              <w:rPr>
                <w:rFonts w:hint="eastAsia"/>
                <w:b w:val="0"/>
                <w:bCs w:val="0"/>
                <w:color w:val="auto"/>
                <w:sz w:val="24"/>
                <w:highlight w:val="none"/>
                <w:u w:val="none"/>
                <w:lang w:val="en-US" w:eastAsia="zh-CN"/>
              </w:rPr>
              <w:t>3.0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900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。项目主要进行</w:t>
            </w:r>
            <w:r>
              <w:rPr>
                <w:rFonts w:hint="eastAsia" w:eastAsia="宋体"/>
                <w:b w:val="0"/>
                <w:bCs w:val="0"/>
                <w:color w:val="auto"/>
                <w:sz w:val="24"/>
                <w:highlight w:val="none"/>
                <w:u w:val="none"/>
                <w:lang w:val="en-US" w:eastAsia="zh-CN"/>
              </w:rPr>
              <w:t>辣椒、牛骨食品加工</w:t>
            </w:r>
            <w:r>
              <w:rPr>
                <w:rFonts w:hint="eastAsia" w:ascii="Times New Roman" w:hAnsi="Times New Roman" w:eastAsia="宋体"/>
                <w:b w:val="0"/>
                <w:bCs w:val="0"/>
                <w:color w:val="auto"/>
                <w:sz w:val="24"/>
                <w:highlight w:val="none"/>
                <w:u w:val="none"/>
                <w:lang w:eastAsia="zh-CN"/>
              </w:rPr>
              <w:t>生产，</w:t>
            </w:r>
            <w:r>
              <w:rPr>
                <w:rFonts w:hint="eastAsia" w:eastAsia="宋体"/>
                <w:b w:val="0"/>
                <w:bCs w:val="0"/>
                <w:color w:val="auto"/>
                <w:sz w:val="24"/>
                <w:highlight w:val="none"/>
                <w:u w:val="none"/>
                <w:lang w:val="en-US" w:eastAsia="zh-CN"/>
              </w:rPr>
              <w:t>原料</w:t>
            </w:r>
            <w:r>
              <w:rPr>
                <w:rFonts w:hint="eastAsia" w:ascii="Times New Roman" w:hAnsi="Times New Roman" w:eastAsia="宋体"/>
                <w:b w:val="0"/>
                <w:bCs w:val="0"/>
                <w:color w:val="auto"/>
                <w:sz w:val="24"/>
                <w:highlight w:val="none"/>
                <w:u w:val="none"/>
                <w:lang w:eastAsia="zh-CN"/>
              </w:rPr>
              <w:t>清洗废水</w:t>
            </w:r>
            <w:r>
              <w:rPr>
                <w:rFonts w:hint="eastAsia" w:eastAsia="宋体"/>
                <w:b w:val="0"/>
                <w:bCs w:val="0"/>
                <w:color w:val="auto"/>
                <w:sz w:val="24"/>
                <w:highlight w:val="none"/>
                <w:u w:val="none"/>
                <w:lang w:val="en-US" w:eastAsia="zh-CN"/>
              </w:rPr>
              <w:t>中</w:t>
            </w:r>
            <w:r>
              <w:rPr>
                <w:rFonts w:hint="eastAsia" w:ascii="Times New Roman" w:hAnsi="Times New Roman" w:eastAsia="宋体"/>
                <w:b w:val="0"/>
                <w:bCs w:val="0"/>
                <w:color w:val="auto"/>
                <w:sz w:val="24"/>
                <w:highlight w:val="none"/>
                <w:u w:val="none"/>
                <w:lang w:eastAsia="zh-CN"/>
              </w:rPr>
              <w:t>不含有毒有害成分</w:t>
            </w:r>
            <w:r>
              <w:rPr>
                <w:rFonts w:hint="eastAsia" w:eastAsia="宋体"/>
                <w:b w:val="0"/>
                <w:bCs w:val="0"/>
                <w:color w:val="auto"/>
                <w:sz w:val="24"/>
                <w:highlight w:val="none"/>
                <w:u w:val="none"/>
                <w:lang w:eastAsia="zh-CN"/>
              </w:rPr>
              <w:t>，</w:t>
            </w:r>
            <w:r>
              <w:rPr>
                <w:rFonts w:hint="eastAsia" w:eastAsia="宋体"/>
                <w:b w:val="0"/>
                <w:bCs w:val="0"/>
                <w:color w:val="auto"/>
                <w:sz w:val="24"/>
                <w:highlight w:val="none"/>
                <w:u w:val="none"/>
                <w:lang w:val="en-US" w:eastAsia="zh-CN"/>
              </w:rPr>
              <w:t>主要为原料表面污渍清洗的沉淀物，</w:t>
            </w:r>
            <w:r>
              <w:rPr>
                <w:rFonts w:hint="eastAsia"/>
                <w:b w:val="0"/>
                <w:bCs w:val="0"/>
                <w:color w:val="auto"/>
                <w:sz w:val="24"/>
                <w:highlight w:val="none"/>
                <w:u w:val="none"/>
                <w:lang w:val="en-US" w:eastAsia="zh-CN"/>
              </w:rPr>
              <w:t>经过沉淀后会产生沉淀杂质，</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w:t>
            </w:r>
            <w:r>
              <w:rPr>
                <w:rFonts w:hint="eastAsia" w:eastAsia="宋体"/>
                <w:b w:val="0"/>
                <w:bCs w:val="0"/>
                <w:color w:val="auto"/>
                <w:sz w:val="24"/>
                <w:highlight w:val="none"/>
                <w:u w:val="none"/>
                <w:lang w:val="en-US" w:eastAsia="zh-CN"/>
              </w:rPr>
              <w:t>0</w:t>
            </w:r>
            <w:r>
              <w:rPr>
                <w:rFonts w:ascii="Times New Roman" w:hAnsi="Times New Roman" w:eastAsia="宋体"/>
                <w:b w:val="0"/>
                <w:bCs w:val="0"/>
                <w:color w:val="auto"/>
                <w:sz w:val="24"/>
                <w:highlight w:val="none"/>
                <w:u w:val="none"/>
              </w:rPr>
              <w:t>%计，则项目</w:t>
            </w:r>
            <w:r>
              <w:rPr>
                <w:rFonts w:hint="eastAsia" w:eastAsia="宋体"/>
                <w:b w:val="0"/>
                <w:bCs w:val="0"/>
                <w:color w:val="auto"/>
                <w:sz w:val="24"/>
                <w:highlight w:val="none"/>
                <w:u w:val="none"/>
                <w:lang w:val="en-US" w:eastAsia="zh-CN"/>
              </w:rPr>
              <w:t>原料</w:t>
            </w:r>
            <w:r>
              <w:rPr>
                <w:rFonts w:ascii="Times New Roman" w:hAnsi="Times New Roman" w:eastAsia="宋体"/>
                <w:b w:val="0"/>
                <w:bCs w:val="0"/>
                <w:color w:val="auto"/>
                <w:sz w:val="24"/>
                <w:highlight w:val="none"/>
                <w:u w:val="none"/>
              </w:rPr>
              <w:t>清洗废水产生量为</w:t>
            </w:r>
            <w:r>
              <w:rPr>
                <w:rFonts w:hint="eastAsia"/>
                <w:b w:val="0"/>
                <w:bCs w:val="0"/>
                <w:color w:val="auto"/>
                <w:sz w:val="24"/>
                <w:highlight w:val="none"/>
                <w:u w:val="none"/>
                <w:lang w:val="en-US" w:eastAsia="zh-CN"/>
              </w:rPr>
              <w:t>2.7</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810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480210F8">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②</w:t>
            </w:r>
            <w:r>
              <w:rPr>
                <w:rFonts w:hint="eastAsia" w:ascii="Times New Roman" w:hAnsi="Times New Roman" w:eastAsia="宋体"/>
                <w:b w:val="0"/>
                <w:bCs w:val="0"/>
                <w:color w:val="auto"/>
                <w:sz w:val="24"/>
                <w:highlight w:val="none"/>
                <w:u w:val="none"/>
                <w:lang w:val="en-US" w:eastAsia="zh-CN"/>
              </w:rPr>
              <w:t>生产设备清洗废水</w:t>
            </w:r>
          </w:p>
          <w:p w14:paraId="26849DD2">
            <w:pPr>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ascii="Times New Roman" w:hAnsi="Times New Roman" w:eastAsia="宋体"/>
                <w:b w:val="0"/>
                <w:bCs w:val="0"/>
                <w:color w:val="auto"/>
                <w:sz w:val="24"/>
                <w:highlight w:val="none"/>
                <w:u w:val="none"/>
              </w:rPr>
              <w:t>项目生产设备</w:t>
            </w:r>
            <w:r>
              <w:rPr>
                <w:rFonts w:hint="eastAsia" w:ascii="Times New Roman" w:hAnsi="Times New Roman" w:eastAsia="宋体"/>
                <w:b w:val="0"/>
                <w:bCs w:val="0"/>
                <w:color w:val="auto"/>
                <w:sz w:val="24"/>
                <w:highlight w:val="none"/>
                <w:u w:val="none"/>
              </w:rPr>
              <w:t>每天工作结束后需用清水进行</w:t>
            </w:r>
            <w:r>
              <w:rPr>
                <w:rFonts w:ascii="Times New Roman" w:hAnsi="Times New Roman" w:eastAsia="宋体"/>
                <w:b w:val="0"/>
                <w:bCs w:val="0"/>
                <w:color w:val="auto"/>
                <w:sz w:val="24"/>
                <w:highlight w:val="none"/>
                <w:u w:val="none"/>
              </w:rPr>
              <w:t>清洗</w:t>
            </w:r>
            <w:r>
              <w:rPr>
                <w:rFonts w:hint="eastAsia"/>
                <w:b w:val="0"/>
                <w:bCs w:val="0"/>
                <w:color w:val="auto"/>
                <w:sz w:val="24"/>
                <w:highlight w:val="none"/>
                <w:u w:val="none"/>
                <w:lang w:val="en-US" w:eastAsia="zh-CN"/>
              </w:rPr>
              <w:t>两次</w:t>
            </w:r>
            <w:r>
              <w:rPr>
                <w:rFonts w:hint="eastAsia" w:ascii="Times New Roman" w:hAnsi="Times New Roman" w:eastAsia="宋体"/>
                <w:b w:val="0"/>
                <w:bCs w:val="0"/>
                <w:color w:val="auto"/>
                <w:sz w:val="24"/>
                <w:highlight w:val="none"/>
                <w:u w:val="none"/>
                <w:lang w:eastAsia="zh-CN"/>
              </w:rPr>
              <w:t>，</w:t>
            </w:r>
            <w:r>
              <w:rPr>
                <w:rFonts w:hint="eastAsia" w:cs="Times New Roman"/>
                <w:color w:val="auto"/>
                <w:sz w:val="24"/>
                <w:highlight w:val="none"/>
                <w:lang w:val="en-US" w:eastAsia="zh-CN"/>
              </w:rPr>
              <w:t>企业按照生产情况和实际经验</w:t>
            </w:r>
            <w:r>
              <w:rPr>
                <w:rFonts w:hint="eastAsia" w:ascii="Times New Roman" w:hAnsi="Times New Roman" w:eastAsia="宋体"/>
                <w:b w:val="0"/>
                <w:bCs w:val="0"/>
                <w:color w:val="auto"/>
                <w:sz w:val="24"/>
                <w:highlight w:val="none"/>
                <w:u w:val="none"/>
                <w:lang w:val="en-US" w:eastAsia="zh-CN"/>
              </w:rPr>
              <w:t>，</w:t>
            </w:r>
            <w:r>
              <w:rPr>
                <w:rFonts w:hint="eastAsia"/>
                <w:b w:val="0"/>
                <w:bCs w:val="0"/>
                <w:color w:val="auto"/>
                <w:sz w:val="24"/>
                <w:highlight w:val="none"/>
                <w:u w:val="none"/>
                <w:lang w:val="en-US" w:eastAsia="zh-CN"/>
              </w:rPr>
              <w:t>设备清洗</w:t>
            </w:r>
            <w:r>
              <w:rPr>
                <w:rFonts w:ascii="Times New Roman" w:hAnsi="Times New Roman" w:eastAsia="宋体"/>
                <w:b w:val="0"/>
                <w:bCs w:val="0"/>
                <w:color w:val="auto"/>
                <w:sz w:val="24"/>
                <w:highlight w:val="none"/>
                <w:u w:val="none"/>
              </w:rPr>
              <w:t>用水量</w:t>
            </w:r>
            <w:r>
              <w:rPr>
                <w:rFonts w:hint="eastAsia" w:ascii="Times New Roman" w:hAnsi="Times New Roman" w:eastAsia="宋体"/>
                <w:b w:val="0"/>
                <w:bCs w:val="0"/>
                <w:color w:val="auto"/>
                <w:sz w:val="24"/>
                <w:highlight w:val="none"/>
                <w:u w:val="none"/>
              </w:rPr>
              <w:t>约</w:t>
            </w:r>
            <w:r>
              <w:rPr>
                <w:rFonts w:hint="eastAsia" w:ascii="Times New Roman" w:hAnsi="Times New Roman" w:eastAsia="宋体"/>
                <w:b w:val="0"/>
                <w:bCs w:val="0"/>
                <w:color w:val="auto"/>
                <w:sz w:val="24"/>
                <w:highlight w:val="none"/>
                <w:u w:val="none"/>
                <w:lang w:eastAsia="zh-CN"/>
              </w:rPr>
              <w:t>为</w:t>
            </w:r>
            <w:r>
              <w:rPr>
                <w:rFonts w:hint="eastAsia"/>
                <w:b w:val="0"/>
                <w:bCs w:val="0"/>
                <w:color w:val="auto"/>
                <w:sz w:val="24"/>
                <w:highlight w:val="none"/>
                <w:u w:val="none"/>
                <w:lang w:val="en-US" w:eastAsia="zh-CN"/>
              </w:rPr>
              <w:t>1</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300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w:t>
            </w:r>
            <w:r>
              <w:rPr>
                <w:rFonts w:hint="eastAsia"/>
                <w:b w:val="0"/>
                <w:bCs w:val="0"/>
                <w:color w:val="auto"/>
                <w:sz w:val="24"/>
                <w:highlight w:val="none"/>
                <w:u w:val="none"/>
                <w:lang w:val="en-US" w:eastAsia="zh-CN"/>
              </w:rPr>
              <w:t>设备</w:t>
            </w:r>
            <w:r>
              <w:rPr>
                <w:rFonts w:hint="eastAsia" w:ascii="Times New Roman" w:hAnsi="Times New Roman" w:eastAsia="宋体"/>
                <w:b w:val="0"/>
                <w:bCs w:val="0"/>
                <w:color w:val="auto"/>
                <w:sz w:val="24"/>
                <w:highlight w:val="none"/>
                <w:u w:val="none"/>
                <w:lang w:eastAsia="zh-CN"/>
              </w:rPr>
              <w:t>清洗废水不含有毒有害成分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主要是机器内残留的少量的原料渣，废水经过沉淀后会产生沉淀杂质，</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废水以90%计，则项目设备清洗废水产生量为</w:t>
            </w:r>
            <w:r>
              <w:rPr>
                <w:rFonts w:hint="eastAsia"/>
                <w:b w:val="0"/>
                <w:bCs w:val="0"/>
                <w:color w:val="auto"/>
                <w:sz w:val="24"/>
                <w:highlight w:val="none"/>
                <w:u w:val="none"/>
                <w:lang w:val="en-US" w:eastAsia="zh-CN"/>
              </w:rPr>
              <w:t>0.9</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270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07CB4A85">
            <w:pPr>
              <w:adjustRightInd w:val="0"/>
              <w:snapToGrid w:val="0"/>
              <w:spacing w:line="500" w:lineRule="exact"/>
              <w:ind w:firstLine="480" w:firstLineChars="200"/>
              <w:rPr>
                <w:rFonts w:hint="eastAsia" w:ascii="Times New Roman" w:hAnsi="Times New Roman" w:eastAsia="宋体"/>
                <w:b w:val="0"/>
                <w:bCs w:val="0"/>
                <w:color w:val="auto"/>
                <w:sz w:val="24"/>
                <w:highlight w:val="none"/>
                <w:u w:val="none"/>
                <w:lang w:val="en-US" w:eastAsia="zh-CN"/>
              </w:rPr>
            </w:pPr>
            <w:r>
              <w:rPr>
                <w:rFonts w:hint="eastAsia"/>
                <w:b w:val="0"/>
                <w:bCs w:val="0"/>
                <w:color w:val="auto"/>
                <w:sz w:val="24"/>
                <w:highlight w:val="none"/>
                <w:u w:val="none"/>
                <w:lang w:val="en-US" w:eastAsia="zh-CN"/>
              </w:rPr>
              <w:t>③</w:t>
            </w:r>
            <w:r>
              <w:rPr>
                <w:rFonts w:hint="eastAsia" w:ascii="Times New Roman" w:hAnsi="Times New Roman" w:eastAsia="宋体"/>
                <w:b w:val="0"/>
                <w:bCs w:val="0"/>
                <w:color w:val="auto"/>
                <w:sz w:val="24"/>
                <w:highlight w:val="none"/>
                <w:u w:val="none"/>
                <w:lang w:val="en-US" w:eastAsia="zh-CN"/>
              </w:rPr>
              <w:t>生产车间地面清洗废水</w:t>
            </w:r>
          </w:p>
          <w:p w14:paraId="7BA95AFB">
            <w:pPr>
              <w:adjustRightInd w:val="0"/>
              <w:snapToGrid w:val="0"/>
              <w:spacing w:line="500" w:lineRule="exact"/>
              <w:ind w:firstLine="480" w:firstLineChars="200"/>
              <w:rPr>
                <w:rFonts w:ascii="Times New Roman" w:hAnsi="Times New Roman" w:eastAsia="宋体"/>
                <w:b w:val="0"/>
                <w:bCs w:val="0"/>
                <w:color w:val="auto"/>
                <w:sz w:val="24"/>
                <w:highlight w:val="none"/>
                <w:u w:val="none"/>
              </w:rPr>
            </w:pPr>
            <w:r>
              <w:rPr>
                <w:rFonts w:ascii="宋体" w:hAnsi="宋体" w:eastAsia="宋体" w:cs="宋体"/>
                <w:sz w:val="24"/>
                <w:szCs w:val="24"/>
                <w:highlight w:val="none"/>
              </w:rPr>
              <w:t>项目生产区地面需每天采用拖洗方式进行清洁</w:t>
            </w:r>
            <w:r>
              <w:rPr>
                <w:rFonts w:hint="eastAsia" w:ascii="宋体" w:hAnsi="宋体" w:eastAsia="宋体" w:cs="宋体"/>
                <w:sz w:val="24"/>
                <w:szCs w:val="24"/>
                <w:highlight w:val="none"/>
                <w:lang w:eastAsia="zh-CN"/>
              </w:rPr>
              <w:t>，</w:t>
            </w:r>
            <w:r>
              <w:rPr>
                <w:rFonts w:ascii="Times New Roman" w:hAnsi="Times New Roman" w:eastAsia="宋体"/>
                <w:b w:val="0"/>
                <w:bCs w:val="0"/>
                <w:color w:val="auto"/>
                <w:sz w:val="24"/>
                <w:highlight w:val="none"/>
                <w:u w:val="none"/>
              </w:rPr>
              <w:t>车间拖地用水量为0.</w:t>
            </w:r>
            <w:r>
              <w:rPr>
                <w:rFonts w:hint="eastAsia"/>
                <w:b w:val="0"/>
                <w:bCs w:val="0"/>
                <w:color w:val="auto"/>
                <w:sz w:val="24"/>
                <w:highlight w:val="none"/>
                <w:u w:val="none"/>
                <w:lang w:val="en-US" w:eastAsia="zh-CN"/>
              </w:rPr>
              <w:t>4</w:t>
            </w:r>
            <w:r>
              <w:rPr>
                <w:rFonts w:ascii="Times New Roman" w:hAnsi="Times New Roman" w:eastAsia="宋体"/>
                <w:b w:val="0"/>
                <w:bCs w:val="0"/>
                <w:color w:val="auto"/>
                <w:sz w:val="24"/>
                <w:highlight w:val="none"/>
                <w:u w:val="none"/>
              </w:rPr>
              <w:t>L/次</w:t>
            </w:r>
            <w:r>
              <w:rPr>
                <w:rFonts w:hint="eastAsia" w:ascii="Times New Roman" w:hAnsi="Times New Roman" w:eastAsia="宋体"/>
                <w:b w:val="0"/>
                <w:bCs w:val="0"/>
                <w:color w:val="auto"/>
                <w:sz w:val="24"/>
                <w:highlight w:val="none"/>
                <w:u w:val="none"/>
                <w:lang w:val="en-US" w:eastAsia="zh-CN"/>
              </w:rPr>
              <w:t>·</w:t>
            </w:r>
            <w:r>
              <w:rPr>
                <w:rFonts w:ascii="Times New Roman" w:hAnsi="Times New Roman" w:eastAsia="宋体"/>
                <w:b w:val="0"/>
                <w:bCs w:val="0"/>
                <w:color w:val="auto"/>
                <w:sz w:val="24"/>
                <w:highlight w:val="none"/>
                <w:u w:val="none"/>
              </w:rPr>
              <w:t>m</w:t>
            </w:r>
            <w:r>
              <w:rPr>
                <w:rFonts w:ascii="Times New Roman" w:hAnsi="Times New Roman" w:eastAsia="宋体"/>
                <w:b w:val="0"/>
                <w:bCs w:val="0"/>
                <w:color w:val="auto"/>
                <w:sz w:val="24"/>
                <w:highlight w:val="none"/>
                <w:u w:val="none"/>
                <w:vertAlign w:val="superscript"/>
              </w:rPr>
              <w:t>2</w:t>
            </w:r>
            <w:r>
              <w:rPr>
                <w:rFonts w:hint="eastAsia" w:ascii="Times New Roman" w:hAnsi="Times New Roman" w:eastAsia="宋体"/>
                <w:b w:val="0"/>
                <w:bCs w:val="0"/>
                <w:color w:val="auto"/>
                <w:sz w:val="24"/>
                <w:highlight w:val="none"/>
                <w:u w:val="none"/>
              </w:rPr>
              <w:t>。</w:t>
            </w:r>
            <w:r>
              <w:rPr>
                <w:rFonts w:ascii="Times New Roman" w:hAnsi="Times New Roman" w:eastAsia="宋体"/>
                <w:b w:val="0"/>
                <w:bCs w:val="0"/>
                <w:color w:val="auto"/>
                <w:sz w:val="24"/>
                <w:highlight w:val="none"/>
                <w:u w:val="none"/>
              </w:rPr>
              <w:t>本项目</w:t>
            </w:r>
            <w:r>
              <w:rPr>
                <w:rFonts w:hint="eastAsia" w:ascii="Times New Roman" w:hAnsi="Times New Roman" w:eastAsia="宋体"/>
                <w:b w:val="0"/>
                <w:bCs w:val="0"/>
                <w:color w:val="auto"/>
                <w:sz w:val="24"/>
                <w:highlight w:val="none"/>
                <w:u w:val="none"/>
                <w:lang w:eastAsia="zh-CN"/>
              </w:rPr>
              <w:t>需要清洗的</w:t>
            </w:r>
            <w:r>
              <w:rPr>
                <w:rFonts w:ascii="Times New Roman" w:hAnsi="Times New Roman" w:eastAsia="宋体"/>
                <w:b w:val="0"/>
                <w:bCs w:val="0"/>
                <w:color w:val="auto"/>
                <w:sz w:val="24"/>
                <w:highlight w:val="none"/>
                <w:u w:val="none"/>
              </w:rPr>
              <w:t>车间</w:t>
            </w:r>
            <w:r>
              <w:rPr>
                <w:rFonts w:hint="eastAsia" w:ascii="Times New Roman" w:hAnsi="Times New Roman" w:eastAsia="宋体"/>
                <w:b w:val="0"/>
                <w:bCs w:val="0"/>
                <w:color w:val="auto"/>
                <w:sz w:val="24"/>
                <w:highlight w:val="none"/>
                <w:u w:val="none"/>
                <w:lang w:eastAsia="zh-CN"/>
              </w:rPr>
              <w:t>面积</w:t>
            </w:r>
            <w:r>
              <w:rPr>
                <w:rFonts w:ascii="Times New Roman" w:hAnsi="Times New Roman" w:eastAsia="宋体"/>
                <w:b w:val="0"/>
                <w:bCs w:val="0"/>
                <w:color w:val="auto"/>
                <w:sz w:val="24"/>
                <w:highlight w:val="none"/>
                <w:u w:val="none"/>
              </w:rPr>
              <w:t>共</w:t>
            </w:r>
            <w:r>
              <w:rPr>
                <w:rFonts w:hint="eastAsia" w:ascii="Times New Roman" w:hAnsi="Times New Roman" w:eastAsia="宋体"/>
                <w:b w:val="0"/>
                <w:bCs w:val="0"/>
                <w:color w:val="auto"/>
                <w:sz w:val="24"/>
                <w:highlight w:val="none"/>
                <w:u w:val="none"/>
                <w:lang w:eastAsia="zh-CN"/>
              </w:rPr>
              <w:t>约</w:t>
            </w:r>
            <w:r>
              <w:rPr>
                <w:rFonts w:hint="eastAsia"/>
                <w:b w:val="0"/>
                <w:bCs w:val="0"/>
                <w:color w:val="auto"/>
                <w:sz w:val="24"/>
                <w:highlight w:val="none"/>
                <w:u w:val="none"/>
                <w:lang w:val="en-US" w:eastAsia="zh-CN"/>
              </w:rPr>
              <w:t>6000</w:t>
            </w:r>
            <w:r>
              <w:rPr>
                <w:rFonts w:ascii="Times New Roman" w:hAnsi="Times New Roman" w:eastAsia="宋体"/>
                <w:b w:val="0"/>
                <w:bCs w:val="0"/>
                <w:color w:val="auto"/>
                <w:sz w:val="24"/>
                <w:highlight w:val="none"/>
                <w:u w:val="none"/>
              </w:rPr>
              <w:t>m</w:t>
            </w:r>
            <w:r>
              <w:rPr>
                <w:rFonts w:ascii="Times New Roman" w:hAnsi="Times New Roman" w:eastAsia="宋体"/>
                <w:b w:val="0"/>
                <w:bCs w:val="0"/>
                <w:color w:val="auto"/>
                <w:sz w:val="24"/>
                <w:highlight w:val="none"/>
                <w:u w:val="none"/>
                <w:vertAlign w:val="superscript"/>
              </w:rPr>
              <w:t>2</w:t>
            </w:r>
            <w:r>
              <w:rPr>
                <w:rFonts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rPr>
              <w:t>则</w:t>
            </w:r>
            <w:r>
              <w:rPr>
                <w:rFonts w:ascii="Times New Roman" w:hAnsi="Times New Roman" w:eastAsia="宋体"/>
                <w:b w:val="0"/>
                <w:bCs w:val="0"/>
                <w:color w:val="auto"/>
                <w:sz w:val="24"/>
                <w:highlight w:val="none"/>
                <w:u w:val="none"/>
              </w:rPr>
              <w:t>用水量为</w:t>
            </w:r>
            <w:r>
              <w:rPr>
                <w:rFonts w:hint="eastAsia"/>
                <w:b w:val="0"/>
                <w:bCs w:val="0"/>
                <w:color w:val="auto"/>
                <w:sz w:val="24"/>
                <w:highlight w:val="none"/>
                <w:u w:val="none"/>
                <w:lang w:val="en-US" w:eastAsia="zh-CN"/>
              </w:rPr>
              <w:t>2.4</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/次，</w:t>
            </w:r>
            <w:r>
              <w:rPr>
                <w:rFonts w:hint="eastAsia"/>
                <w:b w:val="0"/>
                <w:bCs w:val="0"/>
                <w:color w:val="auto"/>
                <w:sz w:val="24"/>
                <w:highlight w:val="none"/>
                <w:u w:val="none"/>
                <w:lang w:val="en-US" w:eastAsia="zh-CN"/>
              </w:rPr>
              <w:t>720</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b w:val="0"/>
                <w:bCs w:val="0"/>
                <w:color w:val="auto"/>
                <w:sz w:val="24"/>
                <w:highlight w:val="none"/>
                <w:u w:val="none"/>
                <w:lang w:val="en-US" w:eastAsia="zh-CN"/>
              </w:rPr>
              <w:t>2.16</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/d。废水产生量以90%计，</w:t>
            </w:r>
            <w:r>
              <w:rPr>
                <w:rFonts w:hint="eastAsia" w:ascii="Times New Roman" w:hAnsi="Times New Roman" w:eastAsia="宋体"/>
                <w:b w:val="0"/>
                <w:bCs w:val="0"/>
                <w:color w:val="auto"/>
                <w:sz w:val="24"/>
                <w:highlight w:val="none"/>
                <w:u w:val="none"/>
              </w:rPr>
              <w:t>则</w:t>
            </w:r>
            <w:r>
              <w:rPr>
                <w:rFonts w:ascii="Times New Roman" w:hAnsi="Times New Roman" w:eastAsia="宋体"/>
                <w:b w:val="0"/>
                <w:bCs w:val="0"/>
                <w:color w:val="auto"/>
                <w:sz w:val="24"/>
                <w:highlight w:val="none"/>
                <w:u w:val="none"/>
              </w:rPr>
              <w:t>车间清洗废水产生量为</w:t>
            </w:r>
            <w:r>
              <w:rPr>
                <w:rFonts w:hint="eastAsia"/>
                <w:b w:val="0"/>
                <w:bCs w:val="0"/>
                <w:color w:val="auto"/>
                <w:sz w:val="24"/>
                <w:highlight w:val="none"/>
                <w:u w:val="none"/>
                <w:lang w:val="en-US" w:eastAsia="zh-CN"/>
              </w:rPr>
              <w:t>1.8</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b w:val="0"/>
                <w:bCs w:val="0"/>
                <w:color w:val="auto"/>
                <w:sz w:val="24"/>
                <w:highlight w:val="none"/>
                <w:u w:val="none"/>
                <w:lang w:val="en-US" w:eastAsia="zh-CN"/>
              </w:rPr>
              <w:t>648</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520CBCEA">
            <w:pPr>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val="en-US" w:eastAsia="zh-CN"/>
              </w:rPr>
            </w:pPr>
            <w:r>
              <w:rPr>
                <w:rFonts w:hint="eastAsia" w:eastAsia="宋体"/>
                <w:b w:val="0"/>
                <w:bCs w:val="0"/>
                <w:color w:val="auto"/>
                <w:sz w:val="24"/>
                <w:highlight w:val="none"/>
                <w:u w:val="none"/>
                <w:lang w:val="en-US" w:eastAsia="zh-CN"/>
              </w:rPr>
              <w:t>④包装材料</w:t>
            </w:r>
            <w:r>
              <w:rPr>
                <w:rFonts w:hint="eastAsia" w:ascii="Times New Roman" w:hAnsi="Times New Roman" w:eastAsia="宋体"/>
                <w:b w:val="0"/>
                <w:bCs w:val="0"/>
                <w:color w:val="auto"/>
                <w:sz w:val="24"/>
                <w:highlight w:val="none"/>
                <w:u w:val="none"/>
                <w:lang w:val="en-US" w:eastAsia="zh-CN"/>
              </w:rPr>
              <w:t>清洗废水</w:t>
            </w:r>
          </w:p>
          <w:p w14:paraId="581034A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baseline"/>
              <w:rPr>
                <w:rFonts w:ascii="Times New Roman" w:hAnsi="Times New Roman" w:eastAsia="宋体"/>
                <w:b w:val="0"/>
                <w:bCs w:val="0"/>
                <w:color w:val="auto"/>
                <w:sz w:val="24"/>
                <w:highlight w:val="none"/>
                <w:u w:val="none"/>
              </w:rPr>
            </w:pPr>
            <w:r>
              <w:rPr>
                <w:rFonts w:hint="eastAsia" w:ascii="Times New Roman" w:hAnsi="Times New Roman" w:eastAsia="宋体"/>
                <w:b w:val="0"/>
                <w:bCs w:val="0"/>
                <w:color w:val="auto"/>
                <w:sz w:val="24"/>
                <w:highlight w:val="none"/>
                <w:u w:val="none"/>
                <w:lang w:val="en-US" w:eastAsia="zh-CN"/>
              </w:rPr>
              <w:t>项目包装材料需要清洗有包装瓶和包装内外袋，清洗之后包装瓶再进杀菌处理，</w:t>
            </w:r>
            <w:r>
              <w:rPr>
                <w:rFonts w:ascii="Times New Roman" w:hAnsi="Times New Roman" w:eastAsia="宋体"/>
                <w:b w:val="0"/>
                <w:bCs w:val="0"/>
                <w:color w:val="auto"/>
                <w:sz w:val="24"/>
                <w:highlight w:val="none"/>
                <w:u w:val="none"/>
              </w:rPr>
              <w:t>项目</w:t>
            </w:r>
            <w:r>
              <w:rPr>
                <w:rFonts w:hint="eastAsia" w:ascii="Times New Roman" w:hAnsi="Times New Roman" w:eastAsia="宋体"/>
                <w:b w:val="0"/>
                <w:bCs w:val="0"/>
                <w:color w:val="auto"/>
                <w:sz w:val="24"/>
                <w:highlight w:val="none"/>
                <w:u w:val="none"/>
                <w:lang w:val="en-US" w:eastAsia="zh-CN"/>
              </w:rPr>
              <w:t>需要清洗包装材料约为3t/a，包装材料</w:t>
            </w:r>
            <w:r>
              <w:rPr>
                <w:rFonts w:hint="eastAsia"/>
                <w:b w:val="0"/>
                <w:bCs w:val="0"/>
                <w:color w:val="auto"/>
                <w:sz w:val="24"/>
                <w:highlight w:val="none"/>
                <w:u w:val="none"/>
                <w:lang w:val="en-US" w:eastAsia="zh-CN"/>
              </w:rPr>
              <w:t>清洗</w:t>
            </w:r>
            <w:r>
              <w:rPr>
                <w:rFonts w:ascii="Times New Roman" w:hAnsi="Times New Roman" w:eastAsia="宋体"/>
                <w:b w:val="0"/>
                <w:bCs w:val="0"/>
                <w:color w:val="auto"/>
                <w:sz w:val="24"/>
                <w:highlight w:val="none"/>
                <w:u w:val="none"/>
              </w:rPr>
              <w:t>用水量</w:t>
            </w:r>
            <w:r>
              <w:rPr>
                <w:rFonts w:hint="eastAsia" w:ascii="Times New Roman" w:hAnsi="Times New Roman" w:eastAsia="宋体"/>
                <w:b w:val="0"/>
                <w:bCs w:val="0"/>
                <w:color w:val="auto"/>
                <w:sz w:val="24"/>
                <w:highlight w:val="none"/>
                <w:u w:val="none"/>
                <w:lang w:eastAsia="zh-CN"/>
              </w:rPr>
              <w:t>为</w:t>
            </w:r>
            <w:r>
              <w:rPr>
                <w:rFonts w:hint="eastAsia" w:ascii="Times New Roman" w:hAnsi="Times New Roman" w:eastAsia="宋体"/>
                <w:b w:val="0"/>
                <w:bCs w:val="0"/>
                <w:color w:val="auto"/>
                <w:sz w:val="24"/>
                <w:highlight w:val="none"/>
                <w:u w:val="none"/>
                <w:lang w:val="en-US" w:eastAsia="zh-CN"/>
              </w:rPr>
              <w:t>0.03</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lang w:val="en-US" w:eastAsia="zh-CN"/>
              </w:rPr>
              <w:t>9</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r>
              <w:rPr>
                <w:rFonts w:hint="eastAsia" w:ascii="Times New Roman" w:hAnsi="Times New Roman" w:eastAsia="宋体"/>
                <w:b w:val="0"/>
                <w:bCs w:val="0"/>
                <w:color w:val="auto"/>
                <w:sz w:val="24"/>
                <w:highlight w:val="none"/>
                <w:u w:val="none"/>
                <w:lang w:eastAsia="zh-CN"/>
              </w:rPr>
              <w:t>，废水</w:t>
            </w:r>
            <w:r>
              <w:rPr>
                <w:rFonts w:hint="eastAsia" w:eastAsia="宋体"/>
                <w:b w:val="0"/>
                <w:bCs w:val="0"/>
                <w:color w:val="auto"/>
                <w:sz w:val="24"/>
                <w:highlight w:val="none"/>
                <w:u w:val="none"/>
                <w:lang w:val="en-US" w:eastAsia="zh-CN"/>
              </w:rPr>
              <w:t>中</w:t>
            </w:r>
            <w:r>
              <w:rPr>
                <w:rFonts w:hint="eastAsia" w:ascii="Times New Roman" w:hAnsi="Times New Roman" w:eastAsia="宋体"/>
                <w:b w:val="0"/>
                <w:bCs w:val="0"/>
                <w:color w:val="auto"/>
                <w:sz w:val="24"/>
                <w:highlight w:val="none"/>
                <w:u w:val="none"/>
                <w:lang w:eastAsia="zh-CN"/>
              </w:rPr>
              <w:t>不含有毒有害成分，</w:t>
            </w:r>
            <w:r>
              <w:rPr>
                <w:rFonts w:hint="eastAsia" w:ascii="Times New Roman" w:hAnsi="Times New Roman" w:eastAsia="宋体"/>
                <w:b w:val="0"/>
                <w:bCs w:val="0"/>
                <w:color w:val="auto"/>
                <w:sz w:val="24"/>
                <w:highlight w:val="none"/>
                <w:u w:val="none"/>
              </w:rPr>
              <w:t>清洗过程产生的</w:t>
            </w:r>
            <w:r>
              <w:rPr>
                <w:rFonts w:ascii="Times New Roman" w:hAnsi="Times New Roman" w:eastAsia="宋体"/>
                <w:b w:val="0"/>
                <w:bCs w:val="0"/>
                <w:color w:val="auto"/>
                <w:sz w:val="24"/>
                <w:highlight w:val="none"/>
                <w:u w:val="none"/>
              </w:rPr>
              <w:t>废水以9</w:t>
            </w:r>
            <w:r>
              <w:rPr>
                <w:rFonts w:hint="eastAsia" w:eastAsia="宋体"/>
                <w:b w:val="0"/>
                <w:bCs w:val="0"/>
                <w:color w:val="auto"/>
                <w:sz w:val="24"/>
                <w:highlight w:val="none"/>
                <w:u w:val="none"/>
                <w:lang w:val="en-US" w:eastAsia="zh-CN"/>
              </w:rPr>
              <w:t>0</w:t>
            </w:r>
            <w:r>
              <w:rPr>
                <w:rFonts w:ascii="Times New Roman" w:hAnsi="Times New Roman" w:eastAsia="宋体"/>
                <w:b w:val="0"/>
                <w:bCs w:val="0"/>
                <w:color w:val="auto"/>
                <w:sz w:val="24"/>
                <w:highlight w:val="none"/>
                <w:u w:val="none"/>
              </w:rPr>
              <w:t>%计，则项目</w:t>
            </w:r>
            <w:r>
              <w:rPr>
                <w:rFonts w:hint="eastAsia" w:eastAsia="宋体"/>
                <w:b w:val="0"/>
                <w:bCs w:val="0"/>
                <w:color w:val="auto"/>
                <w:sz w:val="24"/>
                <w:highlight w:val="none"/>
                <w:u w:val="none"/>
                <w:lang w:val="en-US" w:eastAsia="zh-CN"/>
              </w:rPr>
              <w:t>原料</w:t>
            </w:r>
            <w:r>
              <w:rPr>
                <w:rFonts w:ascii="Times New Roman" w:hAnsi="Times New Roman" w:eastAsia="宋体"/>
                <w:b w:val="0"/>
                <w:bCs w:val="0"/>
                <w:color w:val="auto"/>
                <w:sz w:val="24"/>
                <w:highlight w:val="none"/>
                <w:u w:val="none"/>
              </w:rPr>
              <w:t>清洗废水产生量为</w:t>
            </w:r>
            <w:r>
              <w:rPr>
                <w:rFonts w:hint="eastAsia" w:ascii="Times New Roman" w:hAnsi="Times New Roman" w:eastAsia="宋体"/>
                <w:b w:val="0"/>
                <w:bCs w:val="0"/>
                <w:color w:val="auto"/>
                <w:sz w:val="24"/>
                <w:highlight w:val="none"/>
                <w:u w:val="none"/>
                <w:lang w:val="en-US" w:eastAsia="zh-CN"/>
              </w:rPr>
              <w:t>0.027</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/d</w:t>
            </w:r>
            <w:r>
              <w:rPr>
                <w:rFonts w:hint="eastAsia" w:ascii="Times New Roman" w:hAnsi="Times New Roman" w:eastAsia="宋体"/>
                <w:b w:val="0"/>
                <w:bCs w:val="0"/>
                <w:color w:val="auto"/>
                <w:sz w:val="24"/>
                <w:highlight w:val="none"/>
                <w:u w:val="none"/>
              </w:rPr>
              <w:t>，</w:t>
            </w:r>
            <w:r>
              <w:rPr>
                <w:rFonts w:hint="eastAsia" w:ascii="Times New Roman" w:hAnsi="Times New Roman" w:eastAsia="宋体"/>
                <w:b w:val="0"/>
                <w:bCs w:val="0"/>
                <w:color w:val="auto"/>
                <w:sz w:val="24"/>
                <w:highlight w:val="none"/>
                <w:u w:val="none"/>
                <w:lang w:val="en-US" w:eastAsia="zh-CN"/>
              </w:rPr>
              <w:t>8.1</w:t>
            </w:r>
            <w:r>
              <w:rPr>
                <w:rFonts w:ascii="Times New Roman" w:hAnsi="Times New Roman" w:eastAsia="宋体"/>
                <w:b w:val="0"/>
                <w:bCs w:val="0"/>
                <w:color w:val="auto"/>
                <w:sz w:val="24"/>
                <w:highlight w:val="none"/>
                <w:u w:val="none"/>
                <w:lang w:bidi="ar"/>
              </w:rPr>
              <w:t>m</w:t>
            </w:r>
            <w:r>
              <w:rPr>
                <w:rFonts w:ascii="Times New Roman" w:hAnsi="Times New Roman" w:eastAsia="宋体"/>
                <w:b w:val="0"/>
                <w:bCs w:val="0"/>
                <w:color w:val="auto"/>
                <w:sz w:val="24"/>
                <w:highlight w:val="none"/>
                <w:u w:val="none"/>
                <w:vertAlign w:val="superscript"/>
                <w:lang w:bidi="ar"/>
              </w:rPr>
              <w:t>3</w:t>
            </w:r>
            <w:r>
              <w:rPr>
                <w:rFonts w:ascii="Times New Roman" w:hAnsi="Times New Roman" w:eastAsia="宋体"/>
                <w:b w:val="0"/>
                <w:bCs w:val="0"/>
                <w:color w:val="auto"/>
                <w:sz w:val="24"/>
                <w:highlight w:val="none"/>
                <w:u w:val="none"/>
              </w:rPr>
              <w:t>/a。</w:t>
            </w:r>
          </w:p>
          <w:p w14:paraId="736F0455">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kern w:val="2"/>
                <w:sz w:val="24"/>
                <w:szCs w:val="21"/>
                <w:highlight w:val="none"/>
                <w:lang w:val="en-US" w:eastAsia="zh-CN" w:bidi="ar-SA"/>
              </w:rPr>
              <w:t>（</w:t>
            </w:r>
            <w:r>
              <w:rPr>
                <w:rFonts w:hint="eastAsia" w:cs="Times New Roman"/>
                <w:color w:val="000000"/>
                <w:kern w:val="2"/>
                <w:sz w:val="24"/>
                <w:szCs w:val="21"/>
                <w:highlight w:val="none"/>
                <w:lang w:val="en-US" w:eastAsia="zh-CN" w:bidi="ar-SA"/>
              </w:rPr>
              <w:t>5</w:t>
            </w:r>
            <w:r>
              <w:rPr>
                <w:rFonts w:hint="eastAsia" w:ascii="Times New Roman" w:hAnsi="Times New Roman" w:eastAsia="宋体" w:cs="Times New Roman"/>
                <w:color w:val="000000"/>
                <w:kern w:val="2"/>
                <w:sz w:val="24"/>
                <w:szCs w:val="21"/>
                <w:highlight w:val="none"/>
                <w:lang w:val="en-US" w:eastAsia="zh-CN" w:bidi="ar-SA"/>
              </w:rPr>
              <w:t>）</w:t>
            </w:r>
            <w:r>
              <w:rPr>
                <w:rFonts w:hint="eastAsia" w:ascii="Times New Roman" w:hAnsi="Times New Roman" w:eastAsia="宋体" w:cs="Times New Roman"/>
                <w:color w:val="000000"/>
                <w:sz w:val="24"/>
                <w:highlight w:val="none"/>
                <w:lang w:eastAsia="zh-CN"/>
              </w:rPr>
              <w:t>生活用水及排水</w:t>
            </w:r>
          </w:p>
          <w:p w14:paraId="0837C4FA">
            <w:pPr>
              <w:keepNext w:val="0"/>
              <w:keepLines w:val="0"/>
              <w:pageBreakBefore w:val="0"/>
              <w:widowControl w:val="0"/>
              <w:kinsoku/>
              <w:wordWrap/>
              <w:overflowPunct/>
              <w:topLinePunct w:val="0"/>
              <w:bidi w:val="0"/>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eastAsia="zh-CN"/>
              </w:rPr>
            </w:pPr>
            <w:r>
              <w:rPr>
                <w:sz w:val="24"/>
                <w:highlight w:val="none"/>
              </w:rPr>
              <w:t>厂区内生活污水主要为职工日常生活用水。该项目共有工作人员</w:t>
            </w:r>
            <w:r>
              <w:rPr>
                <w:rFonts w:hint="eastAsia"/>
                <w:sz w:val="24"/>
                <w:highlight w:val="none"/>
                <w:lang w:val="en-US" w:eastAsia="zh-CN"/>
              </w:rPr>
              <w:t>30</w:t>
            </w:r>
            <w:r>
              <w:rPr>
                <w:sz w:val="24"/>
                <w:highlight w:val="none"/>
              </w:rPr>
              <w:t>人，均不在厂区内</w:t>
            </w:r>
            <w:r>
              <w:rPr>
                <w:rFonts w:hint="eastAsia"/>
                <w:sz w:val="24"/>
                <w:highlight w:val="none"/>
                <w:lang w:val="en-US" w:eastAsia="zh-CN"/>
              </w:rPr>
              <w:t>食宿</w:t>
            </w:r>
            <w:r>
              <w:rPr>
                <w:sz w:val="24"/>
                <w:highlight w:val="none"/>
              </w:rPr>
              <w:t>，根据</w:t>
            </w:r>
            <w:r>
              <w:rPr>
                <w:rFonts w:hint="default" w:ascii="Times New Roman" w:hAnsi="Times New Roman" w:eastAsia="宋体" w:cs="Times New Roman"/>
                <w:color w:val="auto"/>
                <w:kern w:val="2"/>
                <w:sz w:val="24"/>
                <w:highlight w:val="none"/>
                <w:lang w:val="en-US" w:eastAsia="zh-CN" w:bidi="ar-SA"/>
              </w:rPr>
              <w:t>河南省地方标准《工业与城镇生活用水定额》（DB41/T385-2020）</w:t>
            </w:r>
            <w:r>
              <w:rPr>
                <w:sz w:val="24"/>
                <w:highlight w:val="none"/>
              </w:rPr>
              <w:t>中的相关标准，员工用水定额按照</w:t>
            </w:r>
            <w:r>
              <w:rPr>
                <w:rFonts w:hint="default" w:ascii="Times New Roman" w:hAnsi="Times New Roman" w:cs="Times New Roman"/>
                <w:color w:val="auto"/>
                <w:kern w:val="2"/>
                <w:sz w:val="24"/>
                <w:highlight w:val="none"/>
                <w:lang w:val="en-US" w:eastAsia="zh-CN" w:bidi="ar-SA"/>
              </w:rPr>
              <w:t>40</w:t>
            </w:r>
            <w:r>
              <w:rPr>
                <w:rFonts w:hint="default" w:ascii="Times New Roman" w:hAnsi="Times New Roman" w:eastAsia="宋体" w:cs="Times New Roman"/>
                <w:color w:val="auto"/>
                <w:kern w:val="2"/>
                <w:sz w:val="24"/>
                <w:highlight w:val="none"/>
                <w:lang w:val="en-US" w:eastAsia="zh-CN" w:bidi="ar-SA"/>
              </w:rPr>
              <w:t>L/人·d</w:t>
            </w:r>
            <w:r>
              <w:rPr>
                <w:rFonts w:hint="eastAsia" w:ascii="Times New Roman" w:hAnsi="Times New Roman" w:cs="Times New Roman"/>
                <w:color w:val="auto"/>
                <w:kern w:val="2"/>
                <w:sz w:val="24"/>
                <w:highlight w:val="none"/>
                <w:lang w:val="en-US" w:eastAsia="zh-CN" w:bidi="ar-SA"/>
              </w:rPr>
              <w:t>计，</w:t>
            </w:r>
            <w:r>
              <w:rPr>
                <w:sz w:val="24"/>
                <w:highlight w:val="none"/>
              </w:rPr>
              <w:t>按年工作日3</w:t>
            </w:r>
            <w:r>
              <w:rPr>
                <w:rFonts w:hint="eastAsia"/>
                <w:sz w:val="24"/>
                <w:highlight w:val="none"/>
                <w:lang w:val="en-US" w:eastAsia="zh-CN"/>
              </w:rPr>
              <w:t>0</w:t>
            </w:r>
            <w:r>
              <w:rPr>
                <w:sz w:val="24"/>
                <w:highlight w:val="none"/>
              </w:rPr>
              <w:t>0天计，则生活用水量为</w:t>
            </w:r>
            <w:r>
              <w:rPr>
                <w:rFonts w:hint="eastAsia"/>
                <w:sz w:val="24"/>
                <w:highlight w:val="none"/>
                <w:lang w:val="en-US" w:eastAsia="zh-CN"/>
              </w:rPr>
              <w:t>1.2</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360</w:t>
            </w:r>
            <w:r>
              <w:rPr>
                <w:sz w:val="24"/>
                <w:highlight w:val="none"/>
              </w:rPr>
              <w:t>m</w:t>
            </w:r>
            <w:r>
              <w:rPr>
                <w:sz w:val="24"/>
                <w:highlight w:val="none"/>
                <w:vertAlign w:val="superscript"/>
              </w:rPr>
              <w:t>3</w:t>
            </w:r>
            <w:r>
              <w:rPr>
                <w:sz w:val="24"/>
                <w:highlight w:val="none"/>
              </w:rPr>
              <w:t>/a，以80%的产污系数计算，生活污水产生量为0.</w:t>
            </w:r>
            <w:r>
              <w:rPr>
                <w:rFonts w:hint="eastAsia"/>
                <w:sz w:val="24"/>
                <w:highlight w:val="none"/>
                <w:lang w:val="en-US" w:eastAsia="zh-CN"/>
              </w:rPr>
              <w:t>96</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288</w:t>
            </w:r>
            <w:r>
              <w:rPr>
                <w:sz w:val="24"/>
                <w:highlight w:val="none"/>
              </w:rPr>
              <w:t>m</w:t>
            </w:r>
            <w:r>
              <w:rPr>
                <w:sz w:val="24"/>
                <w:highlight w:val="none"/>
                <w:vertAlign w:val="superscript"/>
              </w:rPr>
              <w:t>3</w:t>
            </w:r>
            <w:r>
              <w:rPr>
                <w:sz w:val="24"/>
                <w:highlight w:val="none"/>
              </w:rPr>
              <w:t>/a。考虑生活污水中含粪尿污水，取生活污水污染物含量为：CODcr</w:t>
            </w:r>
            <w:r>
              <w:rPr>
                <w:rFonts w:hint="eastAsia"/>
                <w:sz w:val="24"/>
                <w:highlight w:val="none"/>
                <w:lang w:eastAsia="zh-CN"/>
              </w:rPr>
              <w:t>：</w:t>
            </w:r>
            <w:r>
              <w:rPr>
                <w:rFonts w:hint="eastAsia"/>
                <w:sz w:val="24"/>
                <w:highlight w:val="none"/>
                <w:lang w:val="en-US" w:eastAsia="zh-CN"/>
              </w:rPr>
              <w:t>250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13</w:t>
            </w:r>
            <w:r>
              <w:rPr>
                <w:sz w:val="24"/>
                <w:highlight w:val="none"/>
              </w:rPr>
              <w:t>0mg/L，SS</w:t>
            </w:r>
            <w:r>
              <w:rPr>
                <w:rFonts w:hint="eastAsia"/>
                <w:sz w:val="24"/>
                <w:highlight w:val="none"/>
                <w:lang w:eastAsia="zh-CN"/>
              </w:rPr>
              <w:t>：</w:t>
            </w:r>
            <w:r>
              <w:rPr>
                <w:rFonts w:hint="eastAsia"/>
                <w:sz w:val="24"/>
                <w:highlight w:val="none"/>
                <w:lang w:val="en-US" w:eastAsia="zh-CN"/>
              </w:rPr>
              <w:t>18</w:t>
            </w:r>
            <w:r>
              <w:rPr>
                <w:sz w:val="24"/>
                <w:highlight w:val="none"/>
              </w:rPr>
              <w:t>0mg/L，NH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20</w:t>
            </w:r>
            <w:r>
              <w:rPr>
                <w:sz w:val="24"/>
                <w:highlight w:val="none"/>
              </w:rPr>
              <w:t>mg/L。项目</w:t>
            </w:r>
            <w:r>
              <w:rPr>
                <w:rFonts w:hint="eastAsia"/>
                <w:sz w:val="24"/>
                <w:highlight w:val="none"/>
                <w:lang w:val="en-US" w:eastAsia="zh-CN"/>
              </w:rPr>
              <w:t>生活污水经过</w:t>
            </w:r>
            <w:r>
              <w:rPr>
                <w:sz w:val="24"/>
                <w:highlight w:val="none"/>
              </w:rPr>
              <w:t>化粪池处理后，</w:t>
            </w:r>
            <w:r>
              <w:rPr>
                <w:rFonts w:hint="eastAsia"/>
                <w:sz w:val="24"/>
                <w:highlight w:val="none"/>
                <w:lang w:val="en-US" w:eastAsia="zh-CN"/>
              </w:rPr>
              <w:t>化粪池</w:t>
            </w:r>
            <w:r>
              <w:rPr>
                <w:sz w:val="24"/>
                <w:highlight w:val="none"/>
              </w:rPr>
              <w:t>对各种污染物的去除率为COD：</w:t>
            </w:r>
            <w:r>
              <w:rPr>
                <w:rFonts w:hint="eastAsia"/>
                <w:sz w:val="24"/>
                <w:highlight w:val="none"/>
                <w:lang w:val="en-US" w:eastAsia="zh-CN"/>
              </w:rPr>
              <w:t>15</w:t>
            </w:r>
            <w:r>
              <w:rPr>
                <w:sz w:val="24"/>
                <w:highlight w:val="none"/>
              </w:rPr>
              <w:t>%</w:t>
            </w:r>
            <w:r>
              <w:rPr>
                <w:rFonts w:hint="eastAsia"/>
                <w:sz w:val="24"/>
                <w:highlight w:val="none"/>
              </w:rPr>
              <w:t>，</w:t>
            </w:r>
            <w:r>
              <w:rPr>
                <w:sz w:val="24"/>
                <w:highlight w:val="none"/>
              </w:rPr>
              <w:t>BOD</w:t>
            </w:r>
            <w:r>
              <w:rPr>
                <w:sz w:val="24"/>
                <w:highlight w:val="none"/>
                <w:vertAlign w:val="subscript"/>
              </w:rPr>
              <w:t>5</w:t>
            </w:r>
            <w:r>
              <w:rPr>
                <w:sz w:val="24"/>
                <w:highlight w:val="none"/>
              </w:rPr>
              <w:t>：</w:t>
            </w:r>
            <w:r>
              <w:rPr>
                <w:rFonts w:hint="eastAsia"/>
                <w:sz w:val="24"/>
                <w:highlight w:val="none"/>
                <w:lang w:val="en-US" w:eastAsia="zh-CN"/>
              </w:rPr>
              <w:t>10</w:t>
            </w:r>
            <w:r>
              <w:rPr>
                <w:sz w:val="24"/>
                <w:highlight w:val="none"/>
              </w:rPr>
              <w:t>%，SS：</w:t>
            </w:r>
            <w:r>
              <w:rPr>
                <w:rFonts w:hint="eastAsia"/>
                <w:sz w:val="24"/>
                <w:highlight w:val="none"/>
                <w:lang w:val="en-US" w:eastAsia="zh-CN"/>
              </w:rPr>
              <w:t>30</w:t>
            </w:r>
            <w:r>
              <w:rPr>
                <w:sz w:val="24"/>
                <w:highlight w:val="none"/>
              </w:rPr>
              <w:t>%，NH</w:t>
            </w:r>
            <w:r>
              <w:rPr>
                <w:sz w:val="24"/>
                <w:highlight w:val="none"/>
                <w:vertAlign w:val="subscript"/>
              </w:rPr>
              <w:t>3</w:t>
            </w:r>
            <w:r>
              <w:rPr>
                <w:sz w:val="24"/>
                <w:highlight w:val="none"/>
              </w:rPr>
              <w:t>-N：</w:t>
            </w:r>
            <w:r>
              <w:rPr>
                <w:rFonts w:hint="eastAsia"/>
                <w:sz w:val="24"/>
                <w:highlight w:val="none"/>
                <w:lang w:val="en-US" w:eastAsia="zh-CN"/>
              </w:rPr>
              <w:t>5</w:t>
            </w:r>
            <w:r>
              <w:rPr>
                <w:sz w:val="24"/>
                <w:highlight w:val="none"/>
              </w:rPr>
              <w:t>%），排放浓度</w:t>
            </w:r>
            <w:r>
              <w:rPr>
                <w:rFonts w:hint="eastAsia"/>
                <w:sz w:val="24"/>
                <w:highlight w:val="none"/>
                <w:lang w:val="en-US" w:eastAsia="zh-CN"/>
              </w:rPr>
              <w:t>分别为</w:t>
            </w:r>
            <w:r>
              <w:rPr>
                <w:sz w:val="24"/>
                <w:highlight w:val="none"/>
              </w:rPr>
              <w:t>CODcr</w:t>
            </w:r>
            <w:r>
              <w:rPr>
                <w:rFonts w:hint="eastAsia"/>
                <w:sz w:val="24"/>
                <w:highlight w:val="none"/>
                <w:lang w:eastAsia="zh-CN"/>
              </w:rPr>
              <w:t>：</w:t>
            </w:r>
            <w:r>
              <w:rPr>
                <w:rFonts w:hint="eastAsia"/>
                <w:sz w:val="24"/>
                <w:highlight w:val="none"/>
                <w:lang w:val="en-US" w:eastAsia="zh-CN"/>
              </w:rPr>
              <w:t>212.5</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117</w:t>
            </w:r>
            <w:r>
              <w:rPr>
                <w:sz w:val="24"/>
                <w:highlight w:val="none"/>
              </w:rPr>
              <w:t>mg/L，SS</w:t>
            </w:r>
            <w:r>
              <w:rPr>
                <w:rFonts w:hint="eastAsia"/>
                <w:sz w:val="24"/>
                <w:highlight w:val="none"/>
                <w:lang w:eastAsia="zh-CN"/>
              </w:rPr>
              <w:t>：</w:t>
            </w:r>
            <w:r>
              <w:rPr>
                <w:rFonts w:hint="eastAsia"/>
                <w:sz w:val="24"/>
                <w:highlight w:val="none"/>
                <w:lang w:val="en-US" w:eastAsia="zh-CN"/>
              </w:rPr>
              <w:t>126</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19</w:t>
            </w:r>
            <w:r>
              <w:rPr>
                <w:sz w:val="24"/>
                <w:highlight w:val="none"/>
              </w:rPr>
              <w:t>mg/L。项目</w:t>
            </w:r>
            <w:r>
              <w:rPr>
                <w:rFonts w:hint="eastAsia"/>
                <w:sz w:val="24"/>
                <w:highlight w:val="none"/>
                <w:lang w:eastAsia="zh-CN"/>
              </w:rPr>
              <w:t>产生的生活污水</w:t>
            </w:r>
            <w:r>
              <w:rPr>
                <w:rFonts w:hint="eastAsia"/>
                <w:sz w:val="24"/>
                <w:highlight w:val="none"/>
                <w:lang w:val="en-US" w:eastAsia="zh-CN"/>
              </w:rPr>
              <w:t>经过</w:t>
            </w:r>
            <w:r>
              <w:rPr>
                <w:rFonts w:hint="eastAsia"/>
                <w:sz w:val="24"/>
                <w:highlight w:val="none"/>
                <w:lang w:eastAsia="zh-CN"/>
              </w:rPr>
              <w:t>化粪池处理后，</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最终通过污水管网流向叶县廉村镇污水处理站进行处理</w:t>
            </w:r>
            <w:r>
              <w:rPr>
                <w:rFonts w:hint="eastAsia" w:ascii="Times New Roman" w:hAnsi="Times New Roman" w:eastAsia="宋体"/>
                <w:b w:val="0"/>
                <w:bCs w:val="0"/>
                <w:color w:val="auto"/>
                <w:sz w:val="24"/>
                <w:highlight w:val="none"/>
                <w:u w:val="none"/>
                <w:lang w:eastAsia="zh-CN"/>
              </w:rPr>
              <w:t>。</w:t>
            </w:r>
          </w:p>
          <w:p w14:paraId="473C1E8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b w:val="0"/>
                <w:bCs w:val="0"/>
                <w:color w:val="auto"/>
                <w:sz w:val="24"/>
                <w:highlight w:val="none"/>
                <w:u w:val="none"/>
              </w:rPr>
              <w:t>综上</w:t>
            </w:r>
            <w:r>
              <w:rPr>
                <w:rFonts w:hint="eastAsia" w:ascii="Times New Roman" w:hAnsi="Times New Roman" w:eastAsia="宋体"/>
                <w:b w:val="0"/>
                <w:bCs w:val="0"/>
                <w:color w:val="auto"/>
                <w:sz w:val="24"/>
                <w:highlight w:val="none"/>
                <w:u w:val="none"/>
                <w:lang w:eastAsia="zh-CN"/>
              </w:rPr>
              <w:t>，项目</w:t>
            </w:r>
            <w:r>
              <w:rPr>
                <w:rFonts w:hint="eastAsia"/>
                <w:b w:val="0"/>
                <w:bCs w:val="0"/>
                <w:color w:val="auto"/>
                <w:sz w:val="24"/>
                <w:highlight w:val="none"/>
                <w:u w:val="none"/>
                <w:lang w:val="en-US" w:eastAsia="zh-CN"/>
              </w:rPr>
              <w:t>总用水量为15.73</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/d、</w:t>
            </w:r>
            <w:r>
              <w:rPr>
                <w:rFonts w:hint="eastAsia" w:cs="Times New Roman"/>
                <w:color w:val="auto"/>
                <w:sz w:val="24"/>
                <w:highlight w:val="none"/>
                <w:lang w:val="en-US" w:eastAsia="zh-CN"/>
              </w:rPr>
              <w:t>4719</w:t>
            </w:r>
            <w:r>
              <w:rPr>
                <w:rFonts w:hint="eastAsia" w:ascii="Times New Roman" w:cs="Times New Roman"/>
                <w:color w:val="auto"/>
                <w:sz w:val="24"/>
                <w:highlight w:val="none"/>
                <w:lang w:val="en-US" w:eastAsia="zh-CN"/>
              </w:rPr>
              <w:t>m</w:t>
            </w:r>
            <w:r>
              <w:rPr>
                <w:rFonts w:hint="eastAsia" w:ascii="Times New Roman" w:cs="Times New Roman"/>
                <w:color w:val="auto"/>
                <w:sz w:val="24"/>
                <w:highlight w:val="none"/>
                <w:vertAlign w:val="superscript"/>
                <w:lang w:val="en-US" w:eastAsia="zh-CN"/>
              </w:rPr>
              <w:t>3</w:t>
            </w:r>
            <w:r>
              <w:rPr>
                <w:rFonts w:hint="eastAsia" w:ascii="Times New Roman" w:cs="Times New Roman"/>
                <w:color w:val="auto"/>
                <w:sz w:val="24"/>
                <w:highlight w:val="none"/>
                <w:lang w:val="en-US" w:eastAsia="zh-CN"/>
              </w:rPr>
              <w:t>/a，</w:t>
            </w:r>
            <w:r>
              <w:rPr>
                <w:rFonts w:hint="eastAsia"/>
                <w:b w:val="0"/>
                <w:bCs w:val="0"/>
                <w:color w:val="auto"/>
                <w:sz w:val="24"/>
                <w:highlight w:val="none"/>
                <w:u w:val="none"/>
                <w:lang w:val="en-US" w:eastAsia="zh-CN"/>
              </w:rPr>
              <w:t>外排废水的</w:t>
            </w:r>
            <w:r>
              <w:rPr>
                <w:rFonts w:hint="eastAsia" w:ascii="Times New Roman" w:hAnsi="Times New Roman" w:eastAsia="宋体"/>
                <w:b w:val="0"/>
                <w:bCs w:val="0"/>
                <w:color w:val="auto"/>
                <w:sz w:val="24"/>
                <w:highlight w:val="none"/>
                <w:u w:val="none"/>
                <w:lang w:eastAsia="zh-CN"/>
              </w:rPr>
              <w:t>产生量为</w:t>
            </w:r>
            <w:r>
              <w:rPr>
                <w:rFonts w:hint="eastAsia"/>
                <w:b w:val="0"/>
                <w:bCs w:val="0"/>
                <w:color w:val="auto"/>
                <w:sz w:val="24"/>
                <w:highlight w:val="none"/>
                <w:u w:val="none"/>
                <w:lang w:val="en-US" w:eastAsia="zh-CN"/>
              </w:rPr>
              <w:t>8.047</w:t>
            </w:r>
            <w:r>
              <w:rPr>
                <w:rFonts w:hint="eastAsia" w:ascii="Times New Roman" w:hAnsi="Times New Roman" w:eastAsia="宋体"/>
                <w:b w:val="0"/>
                <w:bCs w:val="0"/>
                <w:color w:val="auto"/>
                <w:sz w:val="24"/>
                <w:highlight w:val="none"/>
                <w:u w:val="none"/>
                <w:lang w:eastAsia="zh-CN"/>
              </w:rPr>
              <w:t>m</w:t>
            </w:r>
            <w:r>
              <w:rPr>
                <w:rFonts w:hint="eastAsia" w:ascii="Times New Roman" w:hAnsi="Times New Roman" w:eastAsia="宋体"/>
                <w:b w:val="0"/>
                <w:bCs w:val="0"/>
                <w:color w:val="auto"/>
                <w:sz w:val="24"/>
                <w:highlight w:val="none"/>
                <w:u w:val="none"/>
                <w:vertAlign w:val="superscript"/>
                <w:lang w:eastAsia="zh-CN"/>
              </w:rPr>
              <w:t>3</w:t>
            </w:r>
            <w:r>
              <w:rPr>
                <w:rFonts w:hint="eastAsia" w:ascii="Times New Roman" w:hAnsi="Times New Roman" w:eastAsia="宋体"/>
                <w:b w:val="0"/>
                <w:bCs w:val="0"/>
                <w:color w:val="auto"/>
                <w:sz w:val="24"/>
                <w:highlight w:val="none"/>
                <w:u w:val="none"/>
                <w:lang w:eastAsia="zh-CN"/>
              </w:rPr>
              <w:t>/d，</w:t>
            </w:r>
            <w:r>
              <w:rPr>
                <w:rFonts w:hint="eastAsia"/>
                <w:b w:val="0"/>
                <w:bCs w:val="0"/>
                <w:color w:val="auto"/>
                <w:sz w:val="24"/>
                <w:highlight w:val="none"/>
                <w:u w:val="none"/>
                <w:lang w:val="en-US" w:eastAsia="zh-CN"/>
              </w:rPr>
              <w:t>2414.1</w:t>
            </w:r>
            <w:r>
              <w:rPr>
                <w:rFonts w:hint="eastAsia" w:ascii="Times New Roman" w:hAnsi="Times New Roman" w:eastAsia="宋体"/>
                <w:b w:val="0"/>
                <w:bCs w:val="0"/>
                <w:color w:val="auto"/>
                <w:sz w:val="24"/>
                <w:highlight w:val="none"/>
                <w:u w:val="none"/>
                <w:lang w:eastAsia="zh-CN"/>
              </w:rPr>
              <w:t>m</w:t>
            </w:r>
            <w:r>
              <w:rPr>
                <w:rFonts w:hint="eastAsia" w:ascii="Times New Roman" w:hAnsi="Times New Roman" w:eastAsia="宋体"/>
                <w:b w:val="0"/>
                <w:bCs w:val="0"/>
                <w:color w:val="auto"/>
                <w:sz w:val="24"/>
                <w:highlight w:val="none"/>
                <w:u w:val="none"/>
                <w:vertAlign w:val="superscript"/>
                <w:lang w:eastAsia="zh-CN"/>
              </w:rPr>
              <w:t>3</w:t>
            </w:r>
            <w:r>
              <w:rPr>
                <w:rFonts w:hint="eastAsia" w:ascii="Times New Roman" w:hAnsi="Times New Roman" w:eastAsia="宋体"/>
                <w:b w:val="0"/>
                <w:bCs w:val="0"/>
                <w:color w:val="auto"/>
                <w:sz w:val="24"/>
                <w:highlight w:val="none"/>
                <w:u w:val="none"/>
                <w:lang w:eastAsia="zh-CN"/>
              </w:rPr>
              <w:t>/a</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生产废水经过管道收集先</w:t>
            </w:r>
            <w:r>
              <w:rPr>
                <w:rFonts w:hint="eastAsia" w:cs="Times New Roman"/>
                <w:color w:val="auto"/>
                <w:sz w:val="24"/>
                <w:highlight w:val="none"/>
                <w:lang w:val="en-US" w:eastAsia="zh-CN"/>
              </w:rPr>
              <w:t>进入隔油池，</w:t>
            </w:r>
            <w:r>
              <w:rPr>
                <w:rFonts w:hint="eastAsia"/>
                <w:sz w:val="24"/>
                <w:szCs w:val="24"/>
                <w:highlight w:val="none"/>
              </w:rPr>
              <w:t>然后进</w:t>
            </w:r>
            <w:r>
              <w:rPr>
                <w:rFonts w:hint="eastAsia"/>
                <w:sz w:val="24"/>
                <w:szCs w:val="24"/>
                <w:highlight w:val="none"/>
                <w:lang w:val="en-US" w:eastAsia="zh-CN"/>
              </w:rPr>
              <w:t>入</w:t>
            </w:r>
            <w:r>
              <w:rPr>
                <w:rFonts w:hint="eastAsia"/>
                <w:sz w:val="24"/>
                <w:szCs w:val="24"/>
                <w:highlight w:val="none"/>
              </w:rPr>
              <w:t>调节池，从调节池提升至气浮、</w:t>
            </w:r>
            <w:r>
              <w:rPr>
                <w:rFonts w:hint="eastAsia"/>
                <w:sz w:val="24"/>
                <w:szCs w:val="24"/>
                <w:highlight w:val="none"/>
                <w:lang w:val="en-US" w:eastAsia="zh-CN"/>
              </w:rPr>
              <w:t>再</w:t>
            </w:r>
            <w:r>
              <w:rPr>
                <w:rFonts w:hint="eastAsia"/>
                <w:sz w:val="24"/>
                <w:szCs w:val="24"/>
                <w:highlight w:val="none"/>
              </w:rPr>
              <w:t>从气浮到一体化设备</w:t>
            </w:r>
            <w:r>
              <w:rPr>
                <w:rFonts w:hint="eastAsia"/>
                <w:sz w:val="24"/>
                <w:szCs w:val="24"/>
                <w:highlight w:val="none"/>
                <w:lang w:val="en-US" w:eastAsia="zh-CN"/>
              </w:rPr>
              <w:t>中</w:t>
            </w:r>
            <w:r>
              <w:rPr>
                <w:rFonts w:hint="eastAsia"/>
                <w:sz w:val="24"/>
                <w:szCs w:val="24"/>
                <w:highlight w:val="none"/>
              </w:rPr>
              <w:t>，经处理后的水进入清水池，然后用泵提升进入污水管网</w:t>
            </w:r>
            <w:r>
              <w:rPr>
                <w:rFonts w:hint="eastAsia" w:cs="Times New Roman"/>
                <w:color w:val="auto"/>
                <w:sz w:val="24"/>
                <w:highlight w:val="none"/>
                <w:lang w:val="en-US" w:eastAsia="zh-CN"/>
              </w:rPr>
              <w:t>最终流向叶县廉村镇污水处理站处理；</w:t>
            </w:r>
            <w:r>
              <w:rPr>
                <w:rFonts w:hint="eastAsia"/>
                <w:sz w:val="24"/>
                <w:highlight w:val="none"/>
                <w:lang w:eastAsia="zh-CN"/>
              </w:rPr>
              <w:t>生活污水</w:t>
            </w:r>
            <w:r>
              <w:rPr>
                <w:rFonts w:hint="eastAsia"/>
                <w:sz w:val="24"/>
                <w:highlight w:val="none"/>
                <w:lang w:val="en-US" w:eastAsia="zh-CN"/>
              </w:rPr>
              <w:t>经过</w:t>
            </w:r>
            <w:r>
              <w:rPr>
                <w:rFonts w:hint="eastAsia"/>
                <w:sz w:val="24"/>
                <w:highlight w:val="none"/>
                <w:lang w:eastAsia="zh-CN"/>
              </w:rPr>
              <w:t>化粪池处理后，</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最终通过污水管网流向叶县廉村镇污水处理站进行处理</w:t>
            </w:r>
            <w:r>
              <w:rPr>
                <w:rFonts w:hint="eastAsia" w:ascii="Times New Roman" w:hAnsi="Times New Roman" w:eastAsia="宋体"/>
                <w:b w:val="0"/>
                <w:bCs w:val="0"/>
                <w:color w:val="auto"/>
                <w:sz w:val="24"/>
                <w:highlight w:val="none"/>
                <w:u w:val="none"/>
                <w:lang w:eastAsia="zh-CN"/>
              </w:rPr>
              <w:t>。</w:t>
            </w:r>
            <w:r>
              <w:rPr>
                <w:rFonts w:hint="eastAsia" w:cs="Times New Roman"/>
                <w:color w:val="auto"/>
                <w:sz w:val="24"/>
                <w:highlight w:val="none"/>
                <w:lang w:val="en-US" w:eastAsia="zh-CN"/>
              </w:rPr>
              <w:t>企业按照生产情况和实际经验，参考《食品工业废水来源及水质情况》表1-1中调料厂废水水质（PH</w:t>
            </w:r>
            <w:r>
              <w:rPr>
                <w:rFonts w:hint="eastAsia"/>
                <w:sz w:val="24"/>
                <w:highlight w:val="none"/>
                <w:lang w:eastAsia="zh-CN"/>
              </w:rPr>
              <w:t>：</w:t>
            </w:r>
            <w:r>
              <w:rPr>
                <w:rFonts w:hint="eastAsia" w:cs="Times New Roman"/>
                <w:color w:val="auto"/>
                <w:sz w:val="24"/>
                <w:highlight w:val="none"/>
                <w:lang w:val="en-US" w:eastAsia="zh-CN"/>
              </w:rPr>
              <w:t>6.0-8.0、BOD</w:t>
            </w:r>
            <w:r>
              <w:rPr>
                <w:rFonts w:hint="eastAsia" w:cs="Times New Roman"/>
                <w:color w:val="auto"/>
                <w:sz w:val="24"/>
                <w:highlight w:val="none"/>
                <w:vertAlign w:val="subscript"/>
                <w:lang w:val="en-US" w:eastAsia="zh-CN"/>
              </w:rPr>
              <w:t>5</w:t>
            </w:r>
            <w:r>
              <w:rPr>
                <w:rFonts w:hint="eastAsia"/>
                <w:sz w:val="24"/>
                <w:highlight w:val="none"/>
                <w:lang w:eastAsia="zh-CN"/>
              </w:rPr>
              <w:t>：</w:t>
            </w:r>
            <w:r>
              <w:rPr>
                <w:rFonts w:hint="eastAsia" w:cs="Times New Roman"/>
                <w:color w:val="auto"/>
                <w:sz w:val="24"/>
                <w:highlight w:val="none"/>
                <w:lang w:val="en-US" w:eastAsia="zh-CN"/>
              </w:rPr>
              <w:t>40-300mgL、SS</w:t>
            </w:r>
            <w:r>
              <w:rPr>
                <w:rFonts w:hint="eastAsia"/>
                <w:sz w:val="24"/>
                <w:highlight w:val="none"/>
                <w:lang w:eastAsia="zh-CN"/>
              </w:rPr>
              <w:t>：</w:t>
            </w:r>
            <w:r>
              <w:rPr>
                <w:rFonts w:hint="eastAsia" w:cs="Times New Roman"/>
                <w:color w:val="auto"/>
                <w:sz w:val="24"/>
                <w:highlight w:val="none"/>
                <w:lang w:val="en-US" w:eastAsia="zh-CN"/>
              </w:rPr>
              <w:t>200-300mg/L）和《饮食业环境保护技术规范》（HJ554-2010）表1饮食业单位含油污水质（BOD</w:t>
            </w:r>
            <w:r>
              <w:rPr>
                <w:rFonts w:hint="eastAsia" w:cs="Times New Roman"/>
                <w:color w:val="auto"/>
                <w:sz w:val="24"/>
                <w:highlight w:val="none"/>
                <w:vertAlign w:val="subscript"/>
                <w:lang w:val="en-US" w:eastAsia="zh-CN"/>
              </w:rPr>
              <w:t>5</w:t>
            </w:r>
            <w:r>
              <w:rPr>
                <w:rFonts w:hint="eastAsia"/>
                <w:sz w:val="24"/>
                <w:highlight w:val="none"/>
                <w:lang w:eastAsia="zh-CN"/>
              </w:rPr>
              <w:t>：</w:t>
            </w:r>
            <w:r>
              <w:rPr>
                <w:rFonts w:hint="eastAsia" w:cs="Times New Roman"/>
                <w:color w:val="auto"/>
                <w:sz w:val="24"/>
                <w:highlight w:val="none"/>
                <w:lang w:val="en-US" w:eastAsia="zh-CN"/>
              </w:rPr>
              <w:t>400-600mg/L、COD</w:t>
            </w:r>
            <w:r>
              <w:rPr>
                <w:rFonts w:hint="eastAsia"/>
                <w:sz w:val="24"/>
                <w:highlight w:val="none"/>
                <w:lang w:eastAsia="zh-CN"/>
              </w:rPr>
              <w:t>：</w:t>
            </w:r>
            <w:r>
              <w:rPr>
                <w:rFonts w:hint="eastAsia" w:cs="Times New Roman"/>
                <w:color w:val="auto"/>
                <w:sz w:val="24"/>
                <w:highlight w:val="none"/>
                <w:lang w:val="en-US" w:eastAsia="zh-CN"/>
              </w:rPr>
              <w:t>800-1200mg/L、SS</w:t>
            </w:r>
            <w:r>
              <w:rPr>
                <w:rFonts w:hint="eastAsia"/>
                <w:sz w:val="24"/>
                <w:highlight w:val="none"/>
                <w:lang w:eastAsia="zh-CN"/>
              </w:rPr>
              <w:t>：</w:t>
            </w:r>
            <w:r>
              <w:rPr>
                <w:rFonts w:hint="eastAsia" w:cs="Times New Roman"/>
                <w:color w:val="auto"/>
                <w:sz w:val="24"/>
                <w:highlight w:val="none"/>
                <w:lang w:val="en-US" w:eastAsia="zh-CN"/>
              </w:rPr>
              <w:t>300-500mg/L、NH</w:t>
            </w:r>
            <w:r>
              <w:rPr>
                <w:rFonts w:hint="eastAsia" w:cs="Times New Roman"/>
                <w:color w:val="auto"/>
                <w:sz w:val="24"/>
                <w:highlight w:val="none"/>
                <w:vertAlign w:val="subscript"/>
                <w:lang w:val="en-US" w:eastAsia="zh-CN"/>
              </w:rPr>
              <w:t>3</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N</w:t>
            </w:r>
            <w:r>
              <w:rPr>
                <w:rFonts w:hint="eastAsia"/>
                <w:sz w:val="24"/>
                <w:highlight w:val="none"/>
                <w:lang w:eastAsia="zh-CN"/>
              </w:rPr>
              <w:t>：</w:t>
            </w:r>
            <w:r>
              <w:rPr>
                <w:rFonts w:hint="eastAsia" w:cs="Times New Roman"/>
                <w:color w:val="auto"/>
                <w:sz w:val="24"/>
                <w:highlight w:val="none"/>
                <w:lang w:val="en-US" w:eastAsia="zh-CN"/>
              </w:rPr>
              <w:t>0-20mg/L、动植物油</w:t>
            </w:r>
            <w:r>
              <w:rPr>
                <w:rFonts w:hint="eastAsia"/>
                <w:sz w:val="24"/>
                <w:highlight w:val="none"/>
                <w:lang w:eastAsia="zh-CN"/>
              </w:rPr>
              <w:t>：</w:t>
            </w:r>
            <w:r>
              <w:rPr>
                <w:rFonts w:hint="eastAsia"/>
                <w:sz w:val="24"/>
                <w:highlight w:val="none"/>
                <w:lang w:val="en-US" w:eastAsia="zh-CN"/>
              </w:rPr>
              <w:t>10</w:t>
            </w:r>
            <w:r>
              <w:rPr>
                <w:rFonts w:hint="eastAsia" w:cs="Times New Roman"/>
                <w:color w:val="auto"/>
                <w:sz w:val="24"/>
                <w:highlight w:val="none"/>
                <w:lang w:val="en-US" w:eastAsia="zh-CN"/>
              </w:rPr>
              <w:t>0-200mg/L），本项目废水的水质情况取值如下：</w:t>
            </w:r>
          </w:p>
          <w:p w14:paraId="21030173">
            <w:pPr>
              <w:keepNext w:val="0"/>
              <w:keepLines w:val="0"/>
              <w:pageBreakBefore w:val="0"/>
              <w:widowControl w:val="0"/>
              <w:kinsoku/>
              <w:wordWrap/>
              <w:overflowPunct/>
              <w:topLinePunct w:val="0"/>
              <w:bidi w:val="0"/>
              <w:adjustRightInd w:val="0"/>
              <w:snapToGrid w:val="0"/>
              <w:spacing w:line="500" w:lineRule="exact"/>
              <w:ind w:firstLine="480" w:firstLineChars="200"/>
              <w:textAlignment w:val="baseline"/>
              <w:rPr>
                <w:rFonts w:hint="eastAsia" w:ascii="Times New Roman" w:hAnsi="Times New Roman" w:eastAsia="宋体"/>
                <w:b w:val="0"/>
                <w:bCs w:val="0"/>
                <w:color w:val="auto"/>
                <w:sz w:val="24"/>
                <w:highlight w:val="none"/>
                <w:u w:val="none"/>
                <w:lang w:eastAsia="zh-CN"/>
              </w:rPr>
            </w:pPr>
            <w:r>
              <w:rPr>
                <w:rFonts w:hint="eastAsia"/>
                <w:b w:val="0"/>
                <w:bCs w:val="0"/>
                <w:color w:val="auto"/>
                <w:sz w:val="24"/>
                <w:highlight w:val="none"/>
                <w:u w:val="none"/>
                <w:lang w:val="en-US" w:eastAsia="zh-CN"/>
              </w:rPr>
              <w:t>本项目废水主要为原料清洗废水、生产设备清洗废水、包装材料清洗废水、地面清洗废水、锅炉废水、软化废水以及生活污水。分析本项目废水产生的情况，牛骨清洗废水中含有油污、污渍等，其他废水类型污染物主要是悬浮物，废水中各污染物浓度分别为</w:t>
            </w:r>
            <w:r>
              <w:rPr>
                <w:sz w:val="24"/>
                <w:highlight w:val="none"/>
              </w:rPr>
              <w:t>：CODc</w:t>
            </w:r>
            <w:r>
              <w:rPr>
                <w:rFonts w:hint="eastAsia"/>
                <w:sz w:val="24"/>
                <w:highlight w:val="none"/>
                <w:lang w:eastAsia="zh-CN"/>
              </w:rPr>
              <w:t>：</w:t>
            </w:r>
            <w:r>
              <w:rPr>
                <w:rFonts w:hint="eastAsia"/>
                <w:sz w:val="24"/>
                <w:highlight w:val="none"/>
                <w:lang w:val="en-US" w:eastAsia="zh-CN"/>
              </w:rPr>
              <w:t>1000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vertAlign w:val="baseline"/>
                <w:lang w:val="en-US" w:eastAsia="zh-CN"/>
              </w:rPr>
              <w:t>50</w:t>
            </w:r>
            <w:r>
              <w:rPr>
                <w:sz w:val="24"/>
                <w:highlight w:val="none"/>
              </w:rPr>
              <w:t>0mg/L，SS</w:t>
            </w:r>
            <w:r>
              <w:rPr>
                <w:rFonts w:hint="eastAsia"/>
                <w:sz w:val="24"/>
                <w:highlight w:val="none"/>
                <w:lang w:eastAsia="zh-CN"/>
              </w:rPr>
              <w:t>：</w:t>
            </w:r>
            <w:r>
              <w:rPr>
                <w:rFonts w:hint="eastAsia"/>
                <w:sz w:val="24"/>
                <w:highlight w:val="none"/>
                <w:lang w:val="en-US" w:eastAsia="zh-CN"/>
              </w:rPr>
              <w:t>500</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15</w:t>
            </w:r>
            <w:r>
              <w:rPr>
                <w:sz w:val="24"/>
                <w:highlight w:val="none"/>
              </w:rPr>
              <w:t>mg/L</w:t>
            </w:r>
            <w:r>
              <w:rPr>
                <w:rFonts w:hint="eastAsia"/>
                <w:sz w:val="24"/>
                <w:highlight w:val="none"/>
                <w:lang w:eastAsia="zh-CN"/>
              </w:rPr>
              <w:t>，</w:t>
            </w:r>
            <w:r>
              <w:rPr>
                <w:rFonts w:hint="eastAsia"/>
                <w:sz w:val="24"/>
                <w:highlight w:val="none"/>
                <w:lang w:val="en-US" w:eastAsia="zh-CN"/>
              </w:rPr>
              <w:t>动植物油：100</w:t>
            </w:r>
            <w:r>
              <w:rPr>
                <w:sz w:val="24"/>
                <w:highlight w:val="none"/>
              </w:rPr>
              <w:t>mg/L</w:t>
            </w:r>
            <w:r>
              <w:rPr>
                <w:rFonts w:hint="eastAsia"/>
                <w:sz w:val="24"/>
                <w:highlight w:val="none"/>
                <w:lang w:eastAsia="zh-CN"/>
              </w:rPr>
              <w:t>，</w:t>
            </w:r>
            <w:r>
              <w:rPr>
                <w:sz w:val="24"/>
                <w:highlight w:val="none"/>
              </w:rPr>
              <w:t>项目</w:t>
            </w:r>
            <w:r>
              <w:rPr>
                <w:rFonts w:hint="eastAsia"/>
                <w:sz w:val="24"/>
                <w:highlight w:val="none"/>
                <w:lang w:val="en-US" w:eastAsia="zh-CN"/>
              </w:rPr>
              <w:t>废水经过隔油池</w:t>
            </w:r>
            <w:r>
              <w:rPr>
                <w:rFonts w:hint="eastAsia"/>
                <w:sz w:val="24"/>
                <w:szCs w:val="24"/>
                <w:highlight w:val="none"/>
                <w:lang w:val="en-US" w:eastAsia="zh-CN"/>
              </w:rPr>
              <w:t>、</w:t>
            </w:r>
            <w:r>
              <w:rPr>
                <w:rFonts w:hint="eastAsia"/>
                <w:sz w:val="24"/>
                <w:szCs w:val="24"/>
                <w:highlight w:val="none"/>
              </w:rPr>
              <w:t>气浮</w:t>
            </w:r>
            <w:r>
              <w:rPr>
                <w:rFonts w:hint="eastAsia"/>
                <w:sz w:val="24"/>
                <w:szCs w:val="24"/>
                <w:highlight w:val="none"/>
                <w:lang w:val="en-US" w:eastAsia="zh-CN"/>
              </w:rPr>
              <w:t>和</w:t>
            </w:r>
            <w:r>
              <w:rPr>
                <w:rFonts w:hint="eastAsia"/>
                <w:sz w:val="24"/>
                <w:szCs w:val="24"/>
                <w:highlight w:val="none"/>
              </w:rPr>
              <w:t>一体化</w:t>
            </w:r>
            <w:r>
              <w:rPr>
                <w:rFonts w:hint="eastAsia"/>
                <w:sz w:val="24"/>
                <w:szCs w:val="24"/>
                <w:highlight w:val="none"/>
                <w:lang w:val="en-US" w:eastAsia="zh-CN"/>
              </w:rPr>
              <w:t>水处理</w:t>
            </w:r>
            <w:r>
              <w:rPr>
                <w:rFonts w:hint="eastAsia"/>
                <w:sz w:val="24"/>
                <w:szCs w:val="24"/>
                <w:highlight w:val="none"/>
              </w:rPr>
              <w:t>设备</w:t>
            </w:r>
            <w:r>
              <w:rPr>
                <w:sz w:val="24"/>
                <w:highlight w:val="none"/>
              </w:rPr>
              <w:t>后</w:t>
            </w:r>
            <w:r>
              <w:rPr>
                <w:rFonts w:hint="eastAsia"/>
                <w:sz w:val="24"/>
                <w:highlight w:val="none"/>
                <w:lang w:eastAsia="zh-CN"/>
              </w:rPr>
              <w:t>（</w:t>
            </w:r>
            <w:r>
              <w:rPr>
                <w:rFonts w:hint="eastAsia"/>
                <w:sz w:val="24"/>
                <w:highlight w:val="none"/>
                <w:lang w:val="en-US" w:eastAsia="zh-CN"/>
              </w:rPr>
              <w:t>气浮+水解+生物接触氧化+沉淀+清水池</w:t>
            </w:r>
            <w:r>
              <w:rPr>
                <w:rFonts w:hint="eastAsia"/>
                <w:sz w:val="24"/>
                <w:highlight w:val="none"/>
                <w:lang w:eastAsia="zh-CN"/>
              </w:rPr>
              <w:t>）</w:t>
            </w:r>
            <w:r>
              <w:rPr>
                <w:sz w:val="24"/>
                <w:highlight w:val="none"/>
              </w:rPr>
              <w:t>，对各种污染物的去除率为COD：</w:t>
            </w:r>
            <w:r>
              <w:rPr>
                <w:rFonts w:hint="eastAsia"/>
                <w:sz w:val="24"/>
                <w:highlight w:val="none"/>
                <w:lang w:val="en-US" w:eastAsia="zh-CN"/>
              </w:rPr>
              <w:t>80</w:t>
            </w:r>
            <w:r>
              <w:rPr>
                <w:sz w:val="24"/>
                <w:highlight w:val="none"/>
              </w:rPr>
              <w:t>%</w:t>
            </w:r>
            <w:r>
              <w:rPr>
                <w:rFonts w:hint="eastAsia"/>
                <w:sz w:val="24"/>
                <w:highlight w:val="none"/>
              </w:rPr>
              <w:t>，</w:t>
            </w:r>
            <w:r>
              <w:rPr>
                <w:sz w:val="24"/>
                <w:highlight w:val="none"/>
              </w:rPr>
              <w:t>BOD</w:t>
            </w:r>
            <w:r>
              <w:rPr>
                <w:sz w:val="24"/>
                <w:highlight w:val="none"/>
                <w:vertAlign w:val="subscript"/>
              </w:rPr>
              <w:t>5</w:t>
            </w:r>
            <w:r>
              <w:rPr>
                <w:sz w:val="24"/>
                <w:highlight w:val="none"/>
              </w:rPr>
              <w:t>：</w:t>
            </w:r>
            <w:r>
              <w:rPr>
                <w:rFonts w:hint="eastAsia"/>
                <w:sz w:val="24"/>
                <w:highlight w:val="none"/>
                <w:lang w:val="en-US" w:eastAsia="zh-CN"/>
              </w:rPr>
              <w:t>75</w:t>
            </w:r>
            <w:r>
              <w:rPr>
                <w:sz w:val="24"/>
                <w:highlight w:val="none"/>
              </w:rPr>
              <w:t>%，SS：</w:t>
            </w:r>
            <w:r>
              <w:rPr>
                <w:rFonts w:hint="eastAsia"/>
                <w:sz w:val="24"/>
                <w:highlight w:val="none"/>
                <w:lang w:val="en-US" w:eastAsia="zh-CN"/>
              </w:rPr>
              <w:t>90</w:t>
            </w:r>
            <w:r>
              <w:rPr>
                <w:sz w:val="24"/>
                <w:highlight w:val="none"/>
              </w:rPr>
              <w:t>%，NH</w:t>
            </w:r>
            <w:r>
              <w:rPr>
                <w:sz w:val="24"/>
                <w:highlight w:val="none"/>
                <w:vertAlign w:val="subscript"/>
              </w:rPr>
              <w:t>3</w:t>
            </w:r>
            <w:r>
              <w:rPr>
                <w:sz w:val="24"/>
                <w:highlight w:val="none"/>
              </w:rPr>
              <w:t>-N：</w:t>
            </w:r>
            <w:r>
              <w:rPr>
                <w:rFonts w:hint="eastAsia"/>
                <w:sz w:val="24"/>
                <w:highlight w:val="none"/>
                <w:lang w:val="en-US" w:eastAsia="zh-CN"/>
              </w:rPr>
              <w:t>75</w:t>
            </w:r>
            <w:r>
              <w:rPr>
                <w:sz w:val="24"/>
                <w:highlight w:val="none"/>
              </w:rPr>
              <w:t>%</w:t>
            </w:r>
            <w:r>
              <w:rPr>
                <w:rFonts w:hint="eastAsia"/>
                <w:sz w:val="24"/>
                <w:highlight w:val="none"/>
                <w:lang w:eastAsia="zh-CN"/>
              </w:rPr>
              <w:t>，</w:t>
            </w:r>
            <w:r>
              <w:rPr>
                <w:rFonts w:hint="eastAsia"/>
                <w:sz w:val="24"/>
                <w:highlight w:val="none"/>
                <w:lang w:val="en-US" w:eastAsia="zh-CN"/>
              </w:rPr>
              <w:t>动植物油90%。</w:t>
            </w:r>
            <w:r>
              <w:rPr>
                <w:sz w:val="24"/>
                <w:highlight w:val="none"/>
              </w:rPr>
              <w:t>排放浓度</w:t>
            </w:r>
            <w:r>
              <w:rPr>
                <w:rFonts w:hint="eastAsia"/>
                <w:sz w:val="24"/>
                <w:highlight w:val="none"/>
                <w:lang w:val="en-US" w:eastAsia="zh-CN"/>
              </w:rPr>
              <w:t>分别为</w:t>
            </w:r>
            <w:r>
              <w:rPr>
                <w:sz w:val="24"/>
                <w:highlight w:val="none"/>
              </w:rPr>
              <w:t>COD</w:t>
            </w:r>
            <w:r>
              <w:rPr>
                <w:rFonts w:hint="eastAsia"/>
                <w:sz w:val="24"/>
                <w:highlight w:val="none"/>
                <w:lang w:eastAsia="zh-CN"/>
              </w:rPr>
              <w:t>：</w:t>
            </w:r>
            <w:r>
              <w:rPr>
                <w:rFonts w:hint="eastAsia"/>
                <w:sz w:val="24"/>
                <w:highlight w:val="none"/>
                <w:lang w:val="en-US" w:eastAsia="zh-CN"/>
              </w:rPr>
              <w:t>200</w:t>
            </w:r>
            <w:r>
              <w:rPr>
                <w:sz w:val="24"/>
                <w:highlight w:val="none"/>
              </w:rPr>
              <w:t>mg/L，BOD</w:t>
            </w:r>
            <w:r>
              <w:rPr>
                <w:sz w:val="24"/>
                <w:highlight w:val="none"/>
                <w:vertAlign w:val="subscript"/>
              </w:rPr>
              <w:t>5</w:t>
            </w:r>
            <w:r>
              <w:rPr>
                <w:rFonts w:hint="eastAsia"/>
                <w:sz w:val="24"/>
                <w:highlight w:val="none"/>
                <w:vertAlign w:val="baseline"/>
                <w:lang w:eastAsia="zh-CN"/>
              </w:rPr>
              <w:t>：</w:t>
            </w:r>
            <w:r>
              <w:rPr>
                <w:rFonts w:hint="eastAsia"/>
                <w:sz w:val="24"/>
                <w:highlight w:val="none"/>
                <w:lang w:val="en-US" w:eastAsia="zh-CN"/>
              </w:rPr>
              <w:t>125</w:t>
            </w:r>
            <w:r>
              <w:rPr>
                <w:sz w:val="24"/>
                <w:highlight w:val="none"/>
              </w:rPr>
              <w:t>mg/L，SS</w:t>
            </w:r>
            <w:r>
              <w:rPr>
                <w:rFonts w:hint="eastAsia"/>
                <w:sz w:val="24"/>
                <w:highlight w:val="none"/>
                <w:lang w:eastAsia="zh-CN"/>
              </w:rPr>
              <w:t>：</w:t>
            </w:r>
            <w:r>
              <w:rPr>
                <w:rFonts w:hint="eastAsia"/>
                <w:sz w:val="24"/>
                <w:highlight w:val="none"/>
                <w:lang w:val="en-US" w:eastAsia="zh-CN"/>
              </w:rPr>
              <w:t>50</w:t>
            </w:r>
            <w:r>
              <w:rPr>
                <w:sz w:val="24"/>
                <w:highlight w:val="none"/>
              </w:rPr>
              <w:t>mg/L，NH</w:t>
            </w:r>
            <w:r>
              <w:rPr>
                <w:sz w:val="24"/>
                <w:highlight w:val="none"/>
                <w:vertAlign w:val="subscript"/>
              </w:rPr>
              <w:t>3</w:t>
            </w:r>
            <w:r>
              <w:rPr>
                <w:sz w:val="24"/>
                <w:highlight w:val="none"/>
              </w:rPr>
              <w:t>-N</w:t>
            </w:r>
            <w:r>
              <w:rPr>
                <w:rFonts w:hint="eastAsia"/>
                <w:sz w:val="24"/>
                <w:highlight w:val="none"/>
                <w:lang w:eastAsia="zh-CN"/>
              </w:rPr>
              <w:t>：</w:t>
            </w:r>
            <w:r>
              <w:rPr>
                <w:rFonts w:hint="eastAsia"/>
                <w:sz w:val="24"/>
                <w:highlight w:val="none"/>
                <w:lang w:val="en-US" w:eastAsia="zh-CN"/>
              </w:rPr>
              <w:t>3.75</w:t>
            </w:r>
            <w:r>
              <w:rPr>
                <w:sz w:val="24"/>
                <w:highlight w:val="none"/>
              </w:rPr>
              <w:t>mg/L</w:t>
            </w:r>
            <w:r>
              <w:rPr>
                <w:rFonts w:hint="eastAsia"/>
                <w:sz w:val="24"/>
                <w:highlight w:val="none"/>
                <w:lang w:eastAsia="zh-CN"/>
              </w:rPr>
              <w:t>，</w:t>
            </w:r>
            <w:r>
              <w:rPr>
                <w:rFonts w:hint="eastAsia"/>
                <w:sz w:val="24"/>
                <w:highlight w:val="none"/>
                <w:lang w:val="en-US" w:eastAsia="zh-CN"/>
              </w:rPr>
              <w:t>动植物油：10</w:t>
            </w:r>
            <w:r>
              <w:rPr>
                <w:sz w:val="24"/>
                <w:highlight w:val="none"/>
              </w:rPr>
              <w:t>mg/L。</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ascii="Times New Roman" w:hAnsi="Times New Roman" w:eastAsia="宋体"/>
                <w:b w:val="0"/>
                <w:bCs w:val="0"/>
                <w:color w:val="auto"/>
                <w:sz w:val="24"/>
                <w:highlight w:val="none"/>
                <w:u w:val="none"/>
                <w:lang w:eastAsia="zh-CN"/>
              </w:rPr>
              <w:t>。</w:t>
            </w:r>
          </w:p>
          <w:p w14:paraId="20BA2230">
            <w:pPr>
              <w:pStyle w:val="47"/>
              <w:keepNext w:val="0"/>
              <w:keepLines w:val="0"/>
              <w:pageBreakBefore w:val="0"/>
              <w:widowControl w:val="0"/>
              <w:kinsoku/>
              <w:wordWrap/>
              <w:overflowPunct/>
              <w:topLinePunct w:val="0"/>
              <w:bidi w:val="0"/>
              <w:spacing w:line="500" w:lineRule="exact"/>
              <w:ind w:firstLine="480" w:firstLineChars="200"/>
              <w:jc w:val="left"/>
              <w:rPr>
                <w:rFonts w:hint="eastAsia" w:eastAsia="宋体"/>
                <w:color w:val="auto"/>
                <w:sz w:val="24"/>
                <w:szCs w:val="22"/>
                <w:lang w:eastAsia="zh-CN" w:bidi="ar"/>
              </w:rPr>
            </w:pPr>
            <w:r>
              <w:rPr>
                <w:rFonts w:hint="eastAsia" w:eastAsia="宋体"/>
                <w:color w:val="auto"/>
                <w:sz w:val="24"/>
                <w:szCs w:val="22"/>
                <w:lang w:eastAsia="zh-CN" w:bidi="ar"/>
              </w:rPr>
              <w:t>项目厂区</w:t>
            </w:r>
            <w:r>
              <w:rPr>
                <w:rFonts w:hint="eastAsia" w:eastAsia="宋体"/>
                <w:color w:val="auto"/>
                <w:sz w:val="24"/>
                <w:szCs w:val="22"/>
                <w:lang w:val="en-US" w:eastAsia="zh-CN" w:bidi="ar"/>
              </w:rPr>
              <w:t>自建</w:t>
            </w:r>
            <w:r>
              <w:rPr>
                <w:rFonts w:hint="eastAsia" w:eastAsia="宋体"/>
                <w:color w:val="auto"/>
                <w:sz w:val="24"/>
                <w:szCs w:val="22"/>
                <w:lang w:eastAsia="zh-CN" w:bidi="ar"/>
              </w:rPr>
              <w:t>污水处理</w:t>
            </w:r>
            <w:r>
              <w:rPr>
                <w:rFonts w:hint="eastAsia" w:eastAsia="宋体"/>
                <w:color w:val="auto"/>
                <w:sz w:val="24"/>
                <w:szCs w:val="22"/>
                <w:lang w:val="en-US" w:eastAsia="zh-CN" w:bidi="ar"/>
              </w:rPr>
              <w:t>设施对污染物处理效率</w:t>
            </w:r>
            <w:r>
              <w:rPr>
                <w:rFonts w:hint="eastAsia" w:eastAsia="宋体"/>
                <w:color w:val="auto"/>
                <w:sz w:val="24"/>
                <w:szCs w:val="22"/>
                <w:lang w:eastAsia="zh-CN" w:bidi="ar"/>
              </w:rPr>
              <w:t>如下表所示。</w:t>
            </w:r>
          </w:p>
          <w:p w14:paraId="70C199C3">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eastAsia="zh-CN"/>
              </w:rPr>
              <w:t>表</w:t>
            </w:r>
            <w:r>
              <w:rPr>
                <w:rFonts w:hint="eastAsia" w:ascii="Times New Roman" w:hAnsi="Times New Roman" w:eastAsia="黑体" w:cs="Times New Roman"/>
                <w:color w:val="auto"/>
                <w:sz w:val="24"/>
                <w:highlight w:val="none"/>
                <w:lang w:val="en-US" w:eastAsia="zh-CN"/>
              </w:rPr>
              <w:t>4-5</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废水</w:t>
            </w:r>
            <w:r>
              <w:rPr>
                <w:rFonts w:hint="default" w:ascii="Times New Roman" w:hAnsi="Times New Roman" w:eastAsia="黑体" w:cs="Times New Roman"/>
                <w:color w:val="auto"/>
                <w:sz w:val="24"/>
                <w:highlight w:val="none"/>
                <w:lang w:val="en-US" w:eastAsia="zh-CN"/>
              </w:rPr>
              <w:t>处理</w:t>
            </w:r>
            <w:r>
              <w:rPr>
                <w:rFonts w:hint="eastAsia" w:ascii="Times New Roman" w:hAnsi="Times New Roman" w:eastAsia="黑体" w:cs="Times New Roman"/>
                <w:color w:val="auto"/>
                <w:sz w:val="24"/>
                <w:highlight w:val="none"/>
                <w:lang w:val="en-US" w:eastAsia="zh-CN"/>
              </w:rPr>
              <w:t>设施对污染物处理效率</w:t>
            </w:r>
            <w:r>
              <w:rPr>
                <w:rFonts w:hint="default" w:ascii="Times New Roman" w:hAnsi="Times New Roman" w:eastAsia="黑体" w:cs="Times New Roman"/>
                <w:color w:val="auto"/>
                <w:sz w:val="24"/>
                <w:highlight w:val="none"/>
                <w:lang w:val="en-US" w:eastAsia="zh-CN"/>
              </w:rPr>
              <w:t>一览表</w:t>
            </w:r>
          </w:p>
          <w:tbl>
            <w:tblPr>
              <w:tblStyle w:val="22"/>
              <w:tblW w:w="5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724"/>
              <w:gridCol w:w="1805"/>
            </w:tblGrid>
            <w:tr w14:paraId="7C7C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exact"/>
                <w:jc w:val="center"/>
              </w:trPr>
              <w:tc>
                <w:tcPr>
                  <w:tcW w:w="769" w:type="dxa"/>
                  <w:noWrap w:val="0"/>
                  <w:vAlign w:val="center"/>
                </w:tcPr>
                <w:p w14:paraId="55B8AA7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b/>
                      <w:bCs/>
                      <w:color w:val="auto"/>
                      <w:kern w:val="0"/>
                      <w:sz w:val="21"/>
                      <w:szCs w:val="21"/>
                      <w:vertAlign w:val="baseline"/>
                      <w:lang w:val="en-US" w:eastAsia="zh-CN"/>
                    </w:rPr>
                  </w:pPr>
                  <w:r>
                    <w:rPr>
                      <w:rFonts w:hint="eastAsia" w:ascii="Times New Roman" w:hAnsi="Times New Roman" w:eastAsia="宋体" w:cs="Times New Roman"/>
                      <w:b/>
                      <w:bCs/>
                      <w:color w:val="auto"/>
                      <w:kern w:val="0"/>
                      <w:sz w:val="21"/>
                      <w:szCs w:val="21"/>
                      <w:vertAlign w:val="baseline"/>
                      <w:lang w:val="en-US" w:eastAsia="zh-CN"/>
                    </w:rPr>
                    <w:t>序号</w:t>
                  </w:r>
                </w:p>
              </w:tc>
              <w:tc>
                <w:tcPr>
                  <w:tcW w:w="2724" w:type="dxa"/>
                  <w:noWrap w:val="0"/>
                  <w:vAlign w:val="center"/>
                </w:tcPr>
                <w:p w14:paraId="2EB73F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b/>
                      <w:bCs/>
                      <w:color w:val="auto"/>
                      <w:kern w:val="0"/>
                      <w:sz w:val="21"/>
                      <w:szCs w:val="21"/>
                      <w:vertAlign w:val="baseline"/>
                      <w:lang w:val="en-US" w:eastAsia="zh-CN"/>
                    </w:rPr>
                  </w:pPr>
                  <w:r>
                    <w:rPr>
                      <w:rFonts w:hint="eastAsia" w:ascii="Times New Roman" w:hAnsi="Times New Roman" w:eastAsia="宋体" w:cs="Times New Roman"/>
                      <w:b/>
                      <w:bCs/>
                      <w:color w:val="auto"/>
                      <w:kern w:val="0"/>
                      <w:sz w:val="21"/>
                      <w:szCs w:val="21"/>
                      <w:vertAlign w:val="baseline"/>
                      <w:lang w:val="en-US" w:eastAsia="zh-CN"/>
                    </w:rPr>
                    <w:t>名称</w:t>
                  </w:r>
                </w:p>
              </w:tc>
              <w:tc>
                <w:tcPr>
                  <w:tcW w:w="1805" w:type="dxa"/>
                  <w:noWrap w:val="0"/>
                  <w:vAlign w:val="center"/>
                </w:tcPr>
                <w:p w14:paraId="2A7C0C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处理效率</w:t>
                  </w:r>
                </w:p>
              </w:tc>
            </w:tr>
            <w:tr w14:paraId="38DB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exact"/>
                <w:jc w:val="center"/>
              </w:trPr>
              <w:tc>
                <w:tcPr>
                  <w:tcW w:w="769" w:type="dxa"/>
                  <w:noWrap w:val="0"/>
                  <w:vAlign w:val="center"/>
                </w:tcPr>
                <w:p w14:paraId="62BD31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w:t>
                  </w:r>
                </w:p>
              </w:tc>
              <w:tc>
                <w:tcPr>
                  <w:tcW w:w="2724" w:type="dxa"/>
                  <w:noWrap w:val="0"/>
                  <w:vAlign w:val="center"/>
                </w:tcPr>
                <w:p w14:paraId="6C78E0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COD</w:t>
                  </w:r>
                </w:p>
              </w:tc>
              <w:tc>
                <w:tcPr>
                  <w:tcW w:w="1805" w:type="dxa"/>
                  <w:noWrap w:val="0"/>
                  <w:vAlign w:val="center"/>
                </w:tcPr>
                <w:p w14:paraId="6FF0A7B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80</w:t>
                  </w:r>
                  <w:r>
                    <w:rPr>
                      <w:rFonts w:hint="default" w:ascii="Times New Roman" w:hAnsi="Times New Roman" w:eastAsia="宋体" w:cs="Times New Roman"/>
                      <w:color w:val="auto"/>
                      <w:kern w:val="0"/>
                      <w:sz w:val="21"/>
                      <w:szCs w:val="21"/>
                      <w:highlight w:val="none"/>
                      <w:vertAlign w:val="baseline"/>
                      <w:lang w:val="en-US" w:eastAsia="zh-CN"/>
                    </w:rPr>
                    <w:t>%</w:t>
                  </w:r>
                </w:p>
              </w:tc>
            </w:tr>
            <w:tr w14:paraId="24F0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exact"/>
                <w:jc w:val="center"/>
              </w:trPr>
              <w:tc>
                <w:tcPr>
                  <w:tcW w:w="769" w:type="dxa"/>
                  <w:noWrap w:val="0"/>
                  <w:vAlign w:val="center"/>
                </w:tcPr>
                <w:p w14:paraId="27B654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2</w:t>
                  </w:r>
                </w:p>
              </w:tc>
              <w:tc>
                <w:tcPr>
                  <w:tcW w:w="2724" w:type="dxa"/>
                  <w:noWrap w:val="0"/>
                  <w:vAlign w:val="center"/>
                </w:tcPr>
                <w:p w14:paraId="36D6509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BOD</w:t>
                  </w:r>
                  <w:r>
                    <w:rPr>
                      <w:rFonts w:hint="eastAsia" w:ascii="Times New Roman" w:hAnsi="Times New Roman" w:cs="Times New Roman"/>
                      <w:color w:val="auto"/>
                      <w:kern w:val="0"/>
                      <w:sz w:val="21"/>
                      <w:szCs w:val="21"/>
                      <w:vertAlign w:val="subscript"/>
                      <w:lang w:val="en-US" w:eastAsia="zh-CN"/>
                    </w:rPr>
                    <w:t>5</w:t>
                  </w:r>
                </w:p>
              </w:tc>
              <w:tc>
                <w:tcPr>
                  <w:tcW w:w="1805" w:type="dxa"/>
                  <w:noWrap w:val="0"/>
                  <w:vAlign w:val="center"/>
                </w:tcPr>
                <w:p w14:paraId="582275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75</w:t>
                  </w:r>
                  <w:r>
                    <w:rPr>
                      <w:rFonts w:hint="default" w:ascii="Times New Roman" w:hAnsi="Times New Roman" w:eastAsia="宋体" w:cs="Times New Roman"/>
                      <w:color w:val="auto"/>
                      <w:kern w:val="0"/>
                      <w:sz w:val="21"/>
                      <w:szCs w:val="21"/>
                      <w:highlight w:val="none"/>
                      <w:vertAlign w:val="baseline"/>
                      <w:lang w:val="en-US" w:eastAsia="zh-CN"/>
                    </w:rPr>
                    <w:t>%</w:t>
                  </w:r>
                </w:p>
              </w:tc>
            </w:tr>
            <w:tr w14:paraId="3709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jc w:val="center"/>
              </w:trPr>
              <w:tc>
                <w:tcPr>
                  <w:tcW w:w="769" w:type="dxa"/>
                  <w:noWrap w:val="0"/>
                  <w:vAlign w:val="center"/>
                </w:tcPr>
                <w:p w14:paraId="5D1797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3</w:t>
                  </w:r>
                </w:p>
              </w:tc>
              <w:tc>
                <w:tcPr>
                  <w:tcW w:w="2724" w:type="dxa"/>
                  <w:noWrap w:val="0"/>
                  <w:vAlign w:val="center"/>
                </w:tcPr>
                <w:p w14:paraId="0E0E11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SS</w:t>
                  </w:r>
                </w:p>
              </w:tc>
              <w:tc>
                <w:tcPr>
                  <w:tcW w:w="1805" w:type="dxa"/>
                  <w:noWrap w:val="0"/>
                  <w:vAlign w:val="center"/>
                </w:tcPr>
                <w:p w14:paraId="4B4B5D8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90%</w:t>
                  </w:r>
                </w:p>
              </w:tc>
            </w:tr>
            <w:tr w14:paraId="5A3B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jc w:val="center"/>
              </w:trPr>
              <w:tc>
                <w:tcPr>
                  <w:tcW w:w="769" w:type="dxa"/>
                  <w:noWrap w:val="0"/>
                  <w:vAlign w:val="center"/>
                </w:tcPr>
                <w:p w14:paraId="4DBD22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w:t>
                  </w:r>
                </w:p>
              </w:tc>
              <w:tc>
                <w:tcPr>
                  <w:tcW w:w="2724" w:type="dxa"/>
                  <w:noWrap w:val="0"/>
                  <w:vAlign w:val="center"/>
                </w:tcPr>
                <w:p w14:paraId="1BAB3C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氨氮</w:t>
                  </w:r>
                </w:p>
              </w:tc>
              <w:tc>
                <w:tcPr>
                  <w:tcW w:w="1805" w:type="dxa"/>
                  <w:noWrap w:val="0"/>
                  <w:vAlign w:val="center"/>
                </w:tcPr>
                <w:p w14:paraId="24A046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75%</w:t>
                  </w:r>
                </w:p>
              </w:tc>
            </w:tr>
            <w:tr w14:paraId="2B42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exact"/>
                <w:jc w:val="center"/>
              </w:trPr>
              <w:tc>
                <w:tcPr>
                  <w:tcW w:w="769" w:type="dxa"/>
                  <w:noWrap w:val="0"/>
                  <w:vAlign w:val="center"/>
                </w:tcPr>
                <w:p w14:paraId="5D21AF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w:t>
                  </w:r>
                </w:p>
              </w:tc>
              <w:tc>
                <w:tcPr>
                  <w:tcW w:w="2724" w:type="dxa"/>
                  <w:noWrap w:val="0"/>
                  <w:vAlign w:val="center"/>
                </w:tcPr>
                <w:p w14:paraId="55182C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动植物油</w:t>
                  </w:r>
                </w:p>
              </w:tc>
              <w:tc>
                <w:tcPr>
                  <w:tcW w:w="1805" w:type="dxa"/>
                  <w:noWrap w:val="0"/>
                  <w:vAlign w:val="center"/>
                </w:tcPr>
                <w:p w14:paraId="465177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90%</w:t>
                  </w:r>
                </w:p>
              </w:tc>
            </w:tr>
          </w:tbl>
          <w:p w14:paraId="348C29F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b w:val="0"/>
                <w:bCs w:val="0"/>
                <w:color w:val="000000"/>
                <w:kern w:val="0"/>
                <w:sz w:val="24"/>
              </w:rPr>
            </w:pPr>
            <w:r>
              <w:rPr>
                <w:b w:val="0"/>
                <w:bCs w:val="0"/>
                <w:color w:val="000000"/>
                <w:kern w:val="0"/>
                <w:sz w:val="24"/>
              </w:rPr>
              <w:t>2.</w:t>
            </w:r>
            <w:r>
              <w:rPr>
                <w:rFonts w:hint="eastAsia"/>
                <w:b w:val="0"/>
                <w:bCs w:val="0"/>
                <w:color w:val="000000"/>
                <w:kern w:val="0"/>
                <w:sz w:val="24"/>
                <w:lang w:val="en-US" w:eastAsia="zh-CN"/>
              </w:rPr>
              <w:t>2</w:t>
            </w:r>
            <w:r>
              <w:rPr>
                <w:b w:val="0"/>
                <w:bCs w:val="0"/>
                <w:color w:val="000000"/>
                <w:kern w:val="0"/>
                <w:sz w:val="24"/>
              </w:rPr>
              <w:t>水污染防治措施</w:t>
            </w:r>
            <w:r>
              <w:rPr>
                <w:rFonts w:hint="eastAsia" w:ascii="Times New Roman" w:hAnsi="Times New Roman" w:eastAsia="宋体"/>
                <w:b w:val="0"/>
                <w:color w:val="000000"/>
                <w:sz w:val="24"/>
                <w:szCs w:val="21"/>
              </w:rPr>
              <w:t>可行性分析</w:t>
            </w:r>
          </w:p>
          <w:p w14:paraId="73B3B859">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color w:val="auto"/>
                <w:sz w:val="24"/>
                <w:u w:val="none"/>
                <w:lang w:val="en-US" w:eastAsia="zh-CN"/>
              </w:rPr>
            </w:pPr>
            <w:r>
              <w:rPr>
                <w:rFonts w:hint="eastAsia"/>
                <w:color w:val="000000"/>
                <w:sz w:val="24"/>
                <w:u w:val="none"/>
                <w:lang w:val="en-US" w:eastAsia="zh-CN"/>
              </w:rPr>
              <w:t>项目的生产废水在</w:t>
            </w:r>
            <w:r>
              <w:rPr>
                <w:rFonts w:hint="eastAsia"/>
                <w:color w:val="000000"/>
                <w:sz w:val="24"/>
                <w:u w:val="none"/>
                <w:lang w:eastAsia="zh-CN"/>
              </w:rPr>
              <w:t>厂区内</w:t>
            </w:r>
            <w:r>
              <w:rPr>
                <w:rFonts w:hint="eastAsia"/>
                <w:color w:val="000000"/>
                <w:sz w:val="24"/>
                <w:u w:val="none"/>
                <w:lang w:val="en-US" w:eastAsia="zh-CN"/>
              </w:rPr>
              <w:t>设置</w:t>
            </w:r>
            <w:r>
              <w:rPr>
                <w:color w:val="000000"/>
                <w:sz w:val="24"/>
                <w:u w:val="none"/>
              </w:rPr>
              <w:t>1座</w:t>
            </w:r>
            <w:r>
              <w:rPr>
                <w:rFonts w:hint="eastAsia"/>
                <w:color w:val="000000"/>
                <w:sz w:val="24"/>
                <w:u w:val="none"/>
                <w:lang w:val="en-US" w:eastAsia="zh-CN"/>
              </w:rPr>
              <w:t>10</w:t>
            </w:r>
            <w:r>
              <w:rPr>
                <w:color w:val="000000"/>
                <w:sz w:val="24"/>
                <w:u w:val="none"/>
              </w:rPr>
              <w:t>m</w:t>
            </w:r>
            <w:r>
              <w:rPr>
                <w:color w:val="000000"/>
                <w:sz w:val="24"/>
                <w:u w:val="none"/>
                <w:vertAlign w:val="superscript"/>
              </w:rPr>
              <w:t>3</w:t>
            </w:r>
            <w:r>
              <w:rPr>
                <w:color w:val="000000"/>
                <w:sz w:val="24"/>
                <w:u w:val="none"/>
              </w:rPr>
              <w:t>的</w:t>
            </w:r>
            <w:r>
              <w:rPr>
                <w:rFonts w:hint="eastAsia"/>
                <w:color w:val="000000"/>
                <w:sz w:val="24"/>
                <w:u w:val="none"/>
                <w:lang w:val="en-US" w:eastAsia="zh-CN"/>
              </w:rPr>
              <w:t>隔油</w:t>
            </w:r>
            <w:r>
              <w:rPr>
                <w:color w:val="000000"/>
                <w:sz w:val="24"/>
                <w:u w:val="none"/>
              </w:rPr>
              <w:t>池</w:t>
            </w:r>
            <w:r>
              <w:rPr>
                <w:rFonts w:hint="eastAsia"/>
                <w:color w:val="000000"/>
                <w:sz w:val="24"/>
                <w:u w:val="none"/>
                <w:lang w:val="en-US" w:eastAsia="zh-CN"/>
              </w:rPr>
              <w:t>用来暂存生产废水</w:t>
            </w:r>
            <w:r>
              <w:rPr>
                <w:color w:val="000000"/>
                <w:sz w:val="24"/>
                <w:u w:val="none"/>
              </w:rPr>
              <w:t>，</w:t>
            </w:r>
            <w:r>
              <w:rPr>
                <w:rFonts w:hint="eastAsia"/>
                <w:b w:val="0"/>
                <w:bCs w:val="0"/>
                <w:color w:val="auto"/>
                <w:sz w:val="24"/>
                <w:highlight w:val="none"/>
                <w:u w:val="none"/>
                <w:lang w:val="en-US" w:eastAsia="zh-CN"/>
              </w:rPr>
              <w:t>再进入调节池、</w:t>
            </w:r>
            <w:r>
              <w:rPr>
                <w:rFonts w:hint="eastAsia"/>
                <w:sz w:val="24"/>
                <w:szCs w:val="24"/>
                <w:highlight w:val="none"/>
              </w:rPr>
              <w:t>气浮</w:t>
            </w:r>
            <w:r>
              <w:rPr>
                <w:rFonts w:hint="eastAsia"/>
                <w:sz w:val="24"/>
                <w:szCs w:val="24"/>
                <w:highlight w:val="none"/>
                <w:lang w:val="en-US" w:eastAsia="zh-CN"/>
              </w:rPr>
              <w:t>和</w:t>
            </w:r>
            <w:r>
              <w:rPr>
                <w:rFonts w:hint="eastAsia"/>
                <w:sz w:val="24"/>
                <w:szCs w:val="24"/>
                <w:highlight w:val="none"/>
              </w:rPr>
              <w:t>一体化</w:t>
            </w:r>
            <w:r>
              <w:rPr>
                <w:rFonts w:hint="eastAsia"/>
                <w:sz w:val="24"/>
                <w:szCs w:val="24"/>
                <w:highlight w:val="none"/>
                <w:lang w:val="en-US" w:eastAsia="zh-CN"/>
              </w:rPr>
              <w:t>水处理</w:t>
            </w:r>
            <w:r>
              <w:rPr>
                <w:rFonts w:hint="eastAsia"/>
                <w:sz w:val="24"/>
                <w:szCs w:val="24"/>
                <w:highlight w:val="none"/>
              </w:rPr>
              <w:t>设备</w:t>
            </w:r>
            <w:r>
              <w:rPr>
                <w:rFonts w:hint="eastAsia"/>
                <w:sz w:val="24"/>
                <w:highlight w:val="none"/>
                <w:lang w:eastAsia="zh-CN"/>
              </w:rPr>
              <w:t>（</w:t>
            </w:r>
            <w:r>
              <w:rPr>
                <w:rFonts w:hint="eastAsia"/>
                <w:sz w:val="24"/>
                <w:highlight w:val="none"/>
                <w:lang w:val="en-US" w:eastAsia="zh-CN"/>
              </w:rPr>
              <w:t>气浮+水解+生物接触氧化+沉淀+清水池</w:t>
            </w:r>
            <w:r>
              <w:rPr>
                <w:rFonts w:hint="eastAsia"/>
                <w:sz w:val="24"/>
                <w:highlight w:val="none"/>
                <w:lang w:eastAsia="zh-CN"/>
              </w:rPr>
              <w:t>），</w:t>
            </w:r>
            <w:r>
              <w:rPr>
                <w:color w:val="000000"/>
                <w:sz w:val="24"/>
                <w:highlight w:val="none"/>
                <w:u w:val="none"/>
              </w:rPr>
              <w:t>项目</w:t>
            </w:r>
            <w:r>
              <w:rPr>
                <w:rFonts w:hint="eastAsia"/>
                <w:color w:val="000000"/>
                <w:sz w:val="24"/>
                <w:highlight w:val="none"/>
                <w:u w:val="none"/>
                <w:lang w:val="en-US" w:eastAsia="zh-CN"/>
              </w:rPr>
              <w:t>生产</w:t>
            </w:r>
            <w:r>
              <w:rPr>
                <w:color w:val="000000"/>
                <w:sz w:val="24"/>
                <w:highlight w:val="none"/>
                <w:u w:val="none"/>
              </w:rPr>
              <w:t>废水</w:t>
            </w:r>
            <w:r>
              <w:rPr>
                <w:rFonts w:hint="eastAsia"/>
                <w:color w:val="000000"/>
                <w:sz w:val="24"/>
                <w:highlight w:val="none"/>
                <w:u w:val="none"/>
              </w:rPr>
              <w:t>总</w:t>
            </w:r>
            <w:r>
              <w:rPr>
                <w:color w:val="000000"/>
                <w:sz w:val="24"/>
                <w:highlight w:val="none"/>
                <w:u w:val="none"/>
              </w:rPr>
              <w:t>产生量为</w:t>
            </w:r>
            <w:r>
              <w:rPr>
                <w:rFonts w:hint="eastAsia"/>
                <w:color w:val="000000"/>
                <w:sz w:val="24"/>
                <w:highlight w:val="none"/>
                <w:u w:val="none"/>
                <w:lang w:val="en-US" w:eastAsia="zh-CN"/>
              </w:rPr>
              <w:t>7.087</w:t>
            </w:r>
            <w:r>
              <w:rPr>
                <w:color w:val="000000"/>
                <w:sz w:val="24"/>
                <w:highlight w:val="none"/>
                <w:u w:val="none"/>
              </w:rPr>
              <w:t>m</w:t>
            </w:r>
            <w:r>
              <w:rPr>
                <w:color w:val="000000"/>
                <w:sz w:val="24"/>
                <w:highlight w:val="none"/>
                <w:u w:val="none"/>
                <w:vertAlign w:val="superscript"/>
              </w:rPr>
              <w:t>3</w:t>
            </w:r>
            <w:r>
              <w:rPr>
                <w:color w:val="000000"/>
                <w:sz w:val="24"/>
                <w:highlight w:val="none"/>
                <w:u w:val="none"/>
              </w:rPr>
              <w:t>/d，</w:t>
            </w:r>
            <w:r>
              <w:rPr>
                <w:rFonts w:hint="eastAsia"/>
                <w:color w:val="000000"/>
                <w:sz w:val="24"/>
                <w:highlight w:val="none"/>
                <w:u w:val="none"/>
                <w:lang w:val="en-US" w:eastAsia="zh-CN"/>
              </w:rPr>
              <w:t>安装的</w:t>
            </w:r>
            <w:r>
              <w:rPr>
                <w:rFonts w:hint="eastAsia"/>
                <w:sz w:val="24"/>
                <w:szCs w:val="24"/>
                <w:highlight w:val="none"/>
              </w:rPr>
              <w:t>气浮</w:t>
            </w:r>
            <w:r>
              <w:rPr>
                <w:rFonts w:hint="eastAsia"/>
                <w:sz w:val="24"/>
                <w:szCs w:val="24"/>
                <w:highlight w:val="none"/>
                <w:lang w:val="en-US" w:eastAsia="zh-CN"/>
              </w:rPr>
              <w:t>和</w:t>
            </w:r>
            <w:r>
              <w:rPr>
                <w:rFonts w:hint="eastAsia"/>
                <w:sz w:val="24"/>
                <w:szCs w:val="24"/>
                <w:highlight w:val="none"/>
              </w:rPr>
              <w:t>一体化</w:t>
            </w:r>
            <w:r>
              <w:rPr>
                <w:rFonts w:hint="eastAsia"/>
                <w:sz w:val="24"/>
                <w:szCs w:val="24"/>
                <w:highlight w:val="none"/>
                <w:lang w:val="en-US" w:eastAsia="zh-CN"/>
              </w:rPr>
              <w:t>水处理设施处理水量为10</w:t>
            </w:r>
            <w:r>
              <w:rPr>
                <w:color w:val="000000"/>
                <w:sz w:val="24"/>
                <w:highlight w:val="none"/>
                <w:u w:val="none"/>
              </w:rPr>
              <w:t>m</w:t>
            </w:r>
            <w:r>
              <w:rPr>
                <w:color w:val="000000"/>
                <w:sz w:val="24"/>
                <w:highlight w:val="none"/>
                <w:u w:val="none"/>
                <w:vertAlign w:val="superscript"/>
              </w:rPr>
              <w:t>3</w:t>
            </w:r>
            <w:r>
              <w:rPr>
                <w:rFonts w:hint="eastAsia"/>
                <w:color w:val="000000"/>
                <w:sz w:val="24"/>
                <w:highlight w:val="none"/>
                <w:u w:val="none"/>
                <w:vertAlign w:val="baseline"/>
                <w:lang w:val="en-US" w:eastAsia="zh-CN"/>
              </w:rPr>
              <w:t>/d</w:t>
            </w:r>
            <w:r>
              <w:rPr>
                <w:rFonts w:hint="eastAsia"/>
                <w:color w:val="000000"/>
                <w:sz w:val="24"/>
                <w:highlight w:val="none"/>
                <w:u w:val="none"/>
                <w:vertAlign w:val="baseline"/>
                <w:lang w:eastAsia="zh-CN"/>
              </w:rPr>
              <w:t>，</w:t>
            </w:r>
            <w:r>
              <w:rPr>
                <w:rFonts w:hint="eastAsia"/>
                <w:color w:val="000000"/>
                <w:sz w:val="24"/>
                <w:highlight w:val="none"/>
                <w:u w:val="none"/>
                <w:vertAlign w:val="baseline"/>
                <w:lang w:val="en-US" w:eastAsia="zh-CN"/>
              </w:rPr>
              <w:t>根据该项目废水来源分析，本项目生产废水中COD污染物含量较高，本项目运用</w:t>
            </w:r>
            <w:r>
              <w:rPr>
                <w:rFonts w:hint="eastAsia"/>
                <w:sz w:val="24"/>
                <w:highlight w:val="none"/>
                <w:lang w:val="en-US" w:eastAsia="zh-CN"/>
              </w:rPr>
              <w:t>气浮+水解+生物接触氧化+沉淀+清水池的水处理工艺流程，</w:t>
            </w:r>
            <w:r>
              <w:rPr>
                <w:rFonts w:hint="eastAsia"/>
                <w:color w:val="auto"/>
                <w:sz w:val="24"/>
                <w:highlight w:val="none"/>
                <w:lang w:val="en-US" w:eastAsia="zh-CN"/>
              </w:rPr>
              <w:t>其中主要的水</w:t>
            </w:r>
            <w:r>
              <w:rPr>
                <w:rFonts w:hint="default" w:ascii="Times New Roman" w:hAnsi="Times New Roman" w:eastAsia="宋体" w:cs="Times New Roman"/>
                <w:color w:val="auto"/>
                <w:sz w:val="24"/>
                <w:highlight w:val="none"/>
                <w:lang w:val="en-US" w:eastAsia="zh-CN"/>
              </w:rPr>
              <w:t>解工艺</w:t>
            </w:r>
            <w:r>
              <w:rPr>
                <w:rStyle w:val="24"/>
                <w:rFonts w:hint="default" w:ascii="Times New Roman" w:hAnsi="Times New Roman" w:eastAsia="宋体" w:cs="Times New Roman"/>
                <w:b w:val="0"/>
                <w:bCs w:val="0"/>
                <w:i w:val="0"/>
                <w:iCs w:val="0"/>
                <w:caps w:val="0"/>
                <w:color w:val="auto"/>
                <w:spacing w:val="0"/>
                <w:sz w:val="24"/>
                <w:szCs w:val="24"/>
                <w:highlight w:val="none"/>
              </w:rPr>
              <w:t>是</w:t>
            </w:r>
            <w:r>
              <w:rPr>
                <w:rStyle w:val="24"/>
                <w:rFonts w:hint="default" w:ascii="Times New Roman" w:hAnsi="Times New Roman" w:eastAsia="宋体" w:cs="Times New Roman"/>
                <w:b w:val="0"/>
                <w:bCs w:val="0"/>
                <w:i w:val="0"/>
                <w:iCs w:val="0"/>
                <w:caps w:val="0"/>
                <w:color w:val="auto"/>
                <w:spacing w:val="0"/>
                <w:sz w:val="24"/>
                <w:szCs w:val="24"/>
                <w:highlight w:val="none"/>
                <w:lang w:val="en-US" w:eastAsia="zh-CN"/>
              </w:rPr>
              <w:t>把</w:t>
            </w:r>
            <w:r>
              <w:rPr>
                <w:rStyle w:val="24"/>
                <w:rFonts w:hint="default" w:ascii="Times New Roman" w:hAnsi="Times New Roman" w:eastAsia="宋体" w:cs="Times New Roman"/>
                <w:b w:val="0"/>
                <w:bCs w:val="0"/>
                <w:i w:val="0"/>
                <w:iCs w:val="0"/>
                <w:caps w:val="0"/>
                <w:color w:val="auto"/>
                <w:spacing w:val="0"/>
                <w:sz w:val="24"/>
                <w:szCs w:val="24"/>
                <w:highlight w:val="none"/>
              </w:rPr>
              <w:t>污水中的大分子有机物降解过程</w:t>
            </w:r>
            <w:r>
              <w:rPr>
                <w:rFonts w:hint="default" w:ascii="Times New Roman" w:hAnsi="Times New Roman" w:eastAsia="宋体" w:cs="Times New Roman"/>
                <w:b w:val="0"/>
                <w:bCs w:val="0"/>
                <w:i w:val="0"/>
                <w:iCs w:val="0"/>
                <w:caps w:val="0"/>
                <w:color w:val="auto"/>
                <w:spacing w:val="0"/>
                <w:sz w:val="24"/>
                <w:szCs w:val="24"/>
                <w:highlight w:val="none"/>
                <w:shd w:val="clear" w:fill="FFFFFF"/>
              </w:rPr>
              <w:t>，在这一过程中大分子有机物想要被微生物使用，就必须先水解为小分子有机物，</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除此之外可以降低</w:t>
            </w:r>
            <w:r>
              <w:rPr>
                <w:rFonts w:hint="default" w:ascii="Times New Roman" w:hAnsi="Times New Roman" w:eastAsia="宋体" w:cs="Times New Roman"/>
                <w:b w:val="0"/>
                <w:bCs w:val="0"/>
                <w:i w:val="0"/>
                <w:iCs w:val="0"/>
                <w:caps w:val="0"/>
                <w:color w:val="auto"/>
                <w:spacing w:val="0"/>
                <w:sz w:val="24"/>
                <w:szCs w:val="24"/>
                <w:highlight w:val="none"/>
                <w:shd w:val="clear" w:fill="FFFFFF"/>
              </w:rPr>
              <w:t>污水中的COD</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含量，再然后</w:t>
            </w:r>
            <w:r>
              <w:rPr>
                <w:rFonts w:hint="default" w:ascii="Times New Roman" w:hAnsi="Times New Roman" w:eastAsia="宋体" w:cs="Times New Roman"/>
                <w:color w:val="auto"/>
                <w:sz w:val="24"/>
                <w:highlight w:val="none"/>
                <w:lang w:val="en-US" w:eastAsia="zh-CN"/>
              </w:rPr>
              <w:t>生物接触氧化</w:t>
            </w:r>
            <w:r>
              <w:rPr>
                <w:rFonts w:hint="default" w:ascii="Times New Roman" w:hAnsi="Times New Roman" w:eastAsia="宋体" w:cs="Times New Roman"/>
                <w:i w:val="0"/>
                <w:iCs w:val="0"/>
                <w:caps w:val="0"/>
                <w:color w:val="auto"/>
                <w:spacing w:val="0"/>
                <w:sz w:val="24"/>
                <w:szCs w:val="24"/>
                <w:highlight w:val="none"/>
                <w:shd w:val="clear" w:fill="FFFFFF"/>
              </w:rPr>
              <w:t>利用微生物的生物代谢功能，将废水中的有机物分解为简单的无机物，从而</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进一步</w:t>
            </w:r>
            <w:r>
              <w:rPr>
                <w:rFonts w:hint="default" w:ascii="Times New Roman" w:hAnsi="Times New Roman" w:eastAsia="宋体" w:cs="Times New Roman"/>
                <w:i w:val="0"/>
                <w:iCs w:val="0"/>
                <w:caps w:val="0"/>
                <w:color w:val="auto"/>
                <w:spacing w:val="0"/>
                <w:sz w:val="24"/>
                <w:szCs w:val="24"/>
                <w:highlight w:val="none"/>
                <w:shd w:val="clear" w:fill="FFFFFF"/>
              </w:rPr>
              <w:t>降低COD。</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由此以来本项目使用的水处理工艺适用于本项目产生的生产废水，能够满足废水的处理效果，日处理水量满足项目生产废水产生量，</w:t>
            </w:r>
            <w:r>
              <w:rPr>
                <w:rFonts w:hint="eastAsia"/>
                <w:color w:val="auto"/>
                <w:sz w:val="24"/>
                <w:highlight w:val="none"/>
                <w:u w:val="none"/>
                <w:lang w:val="en-US" w:eastAsia="zh-CN"/>
              </w:rPr>
              <w:t>所以废水处理设施建设</w:t>
            </w:r>
            <w:r>
              <w:rPr>
                <w:color w:val="auto"/>
                <w:sz w:val="24"/>
                <w:highlight w:val="none"/>
                <w:u w:val="none"/>
              </w:rPr>
              <w:t>规模</w:t>
            </w:r>
            <w:r>
              <w:rPr>
                <w:rFonts w:hint="eastAsia"/>
                <w:color w:val="auto"/>
                <w:sz w:val="24"/>
                <w:highlight w:val="none"/>
                <w:u w:val="none"/>
                <w:lang w:val="en-US" w:eastAsia="zh-CN"/>
              </w:rPr>
              <w:t>是</w:t>
            </w:r>
            <w:r>
              <w:rPr>
                <w:color w:val="auto"/>
                <w:sz w:val="24"/>
                <w:highlight w:val="none"/>
                <w:u w:val="none"/>
              </w:rPr>
              <w:t>可行。</w:t>
            </w:r>
            <w:r>
              <w:rPr>
                <w:color w:val="auto"/>
                <w:kern w:val="0"/>
                <w:sz w:val="24"/>
                <w:highlight w:val="none"/>
                <w:u w:val="none"/>
                <w:lang w:val="zh-CN"/>
              </w:rPr>
              <w:t>项目</w:t>
            </w:r>
            <w:r>
              <w:rPr>
                <w:rFonts w:hint="eastAsia"/>
                <w:color w:val="auto"/>
                <w:kern w:val="0"/>
                <w:sz w:val="24"/>
                <w:highlight w:val="none"/>
                <w:u w:val="none"/>
                <w:lang w:val="en-US" w:eastAsia="zh-CN"/>
              </w:rPr>
              <w:t>在</w:t>
            </w:r>
            <w:r>
              <w:rPr>
                <w:rFonts w:hint="eastAsia"/>
                <w:color w:val="auto"/>
                <w:kern w:val="0"/>
                <w:sz w:val="24"/>
                <w:highlight w:val="none"/>
                <w:u w:val="none"/>
                <w:lang w:val="zh-CN"/>
              </w:rPr>
              <w:t>厂区内</w:t>
            </w:r>
            <w:r>
              <w:rPr>
                <w:rFonts w:hint="eastAsia"/>
                <w:color w:val="auto"/>
                <w:kern w:val="0"/>
                <w:sz w:val="24"/>
                <w:highlight w:val="none"/>
                <w:u w:val="none"/>
                <w:lang w:val="en-US" w:eastAsia="zh-CN"/>
              </w:rPr>
              <w:t>建设</w:t>
            </w:r>
            <w:r>
              <w:rPr>
                <w:color w:val="auto"/>
                <w:kern w:val="0"/>
                <w:sz w:val="24"/>
                <w:highlight w:val="none"/>
                <w:u w:val="none"/>
                <w:lang w:val="zh-CN"/>
              </w:rPr>
              <w:t>1座</w:t>
            </w:r>
            <w:r>
              <w:rPr>
                <w:rFonts w:hint="eastAsia"/>
                <w:color w:val="auto"/>
                <w:kern w:val="0"/>
                <w:sz w:val="24"/>
                <w:highlight w:val="none"/>
                <w:u w:val="none"/>
                <w:lang w:val="en-US" w:eastAsia="zh-CN"/>
              </w:rPr>
              <w:t>5</w:t>
            </w:r>
            <w:r>
              <w:rPr>
                <w:color w:val="auto"/>
                <w:kern w:val="0"/>
                <w:sz w:val="24"/>
                <w:highlight w:val="none"/>
                <w:u w:val="none"/>
                <w:lang w:val="zh-CN"/>
              </w:rPr>
              <w:t>m</w:t>
            </w:r>
            <w:r>
              <w:rPr>
                <w:color w:val="auto"/>
                <w:kern w:val="0"/>
                <w:sz w:val="24"/>
                <w:highlight w:val="none"/>
                <w:u w:val="none"/>
                <w:vertAlign w:val="superscript"/>
                <w:lang w:val="zh-CN"/>
              </w:rPr>
              <w:t>3</w:t>
            </w:r>
            <w:r>
              <w:rPr>
                <w:color w:val="auto"/>
                <w:kern w:val="0"/>
                <w:sz w:val="24"/>
                <w:highlight w:val="none"/>
                <w:u w:val="none"/>
                <w:lang w:val="zh-CN"/>
              </w:rPr>
              <w:t>化粪池</w:t>
            </w:r>
            <w:r>
              <w:rPr>
                <w:rFonts w:hint="eastAsia"/>
                <w:color w:val="auto"/>
                <w:kern w:val="0"/>
                <w:sz w:val="24"/>
                <w:highlight w:val="none"/>
                <w:u w:val="none"/>
                <w:lang w:val="en-US" w:eastAsia="zh-CN"/>
              </w:rPr>
              <w:t>用来</w:t>
            </w:r>
            <w:r>
              <w:rPr>
                <w:color w:val="auto"/>
                <w:kern w:val="0"/>
                <w:sz w:val="24"/>
                <w:highlight w:val="none"/>
                <w:u w:val="none"/>
                <w:lang w:val="zh-CN"/>
              </w:rPr>
              <w:t>处理</w:t>
            </w:r>
            <w:r>
              <w:rPr>
                <w:color w:val="auto"/>
                <w:kern w:val="0"/>
                <w:sz w:val="24"/>
                <w:u w:val="none"/>
                <w:lang w:val="zh-CN"/>
              </w:rPr>
              <w:t>生活污水，生活污水</w:t>
            </w:r>
            <w:r>
              <w:rPr>
                <w:rFonts w:hint="eastAsia"/>
                <w:color w:val="auto"/>
                <w:kern w:val="0"/>
                <w:sz w:val="24"/>
                <w:u w:val="none"/>
                <w:lang w:val="zh-CN"/>
              </w:rPr>
              <w:t>总</w:t>
            </w:r>
            <w:r>
              <w:rPr>
                <w:color w:val="auto"/>
                <w:kern w:val="0"/>
                <w:sz w:val="24"/>
                <w:u w:val="none"/>
                <w:lang w:val="zh-CN"/>
              </w:rPr>
              <w:t>产生量为</w:t>
            </w:r>
            <w:r>
              <w:rPr>
                <w:rFonts w:hint="eastAsia"/>
                <w:color w:val="auto"/>
                <w:kern w:val="0"/>
                <w:sz w:val="24"/>
                <w:u w:val="none"/>
                <w:lang w:val="zh-CN"/>
              </w:rPr>
              <w:t>0.</w:t>
            </w:r>
            <w:r>
              <w:rPr>
                <w:rFonts w:hint="eastAsia"/>
                <w:color w:val="auto"/>
                <w:kern w:val="0"/>
                <w:sz w:val="24"/>
                <w:u w:val="none"/>
                <w:lang w:val="en-US" w:eastAsia="zh-CN"/>
              </w:rPr>
              <w:t>96</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eastAsia="zh-CN"/>
              </w:rPr>
              <w:t>，</w:t>
            </w:r>
            <w:r>
              <w:rPr>
                <w:rFonts w:hint="eastAsia"/>
                <w:color w:val="auto"/>
                <w:sz w:val="24"/>
                <w:u w:val="none"/>
              </w:rPr>
              <w:t>化粪池</w:t>
            </w:r>
            <w:r>
              <w:rPr>
                <w:rFonts w:hint="eastAsia"/>
                <w:color w:val="auto"/>
                <w:sz w:val="24"/>
                <w:u w:val="none"/>
                <w:lang w:val="en-US" w:eastAsia="zh-CN"/>
              </w:rPr>
              <w:t>建设</w:t>
            </w:r>
            <w:r>
              <w:rPr>
                <w:rFonts w:hint="eastAsia"/>
                <w:color w:val="auto"/>
                <w:sz w:val="24"/>
                <w:u w:val="none"/>
              </w:rPr>
              <w:t>规模</w:t>
            </w:r>
            <w:r>
              <w:rPr>
                <w:color w:val="auto"/>
                <w:sz w:val="24"/>
                <w:u w:val="none"/>
              </w:rPr>
              <w:t>可满足</w:t>
            </w:r>
            <w:r>
              <w:rPr>
                <w:rFonts w:hint="eastAsia"/>
                <w:color w:val="auto"/>
                <w:sz w:val="24"/>
                <w:u w:val="none"/>
                <w:lang w:val="en-US" w:eastAsia="zh-CN"/>
              </w:rPr>
              <w:t>项目</w:t>
            </w:r>
            <w:r>
              <w:rPr>
                <w:color w:val="auto"/>
                <w:sz w:val="24"/>
                <w:u w:val="none"/>
              </w:rPr>
              <w:t>生活污水处理需求，</w:t>
            </w:r>
            <w:r>
              <w:rPr>
                <w:rFonts w:hint="eastAsia"/>
                <w:color w:val="auto"/>
                <w:sz w:val="24"/>
                <w:u w:val="none"/>
                <w:lang w:val="en-US" w:eastAsia="zh-CN"/>
              </w:rPr>
              <w:t>污水处理设施是可行的。</w:t>
            </w:r>
            <w:r>
              <w:rPr>
                <w:rFonts w:hint="default" w:ascii="Times New Roman" w:hAnsi="Times New Roman" w:cs="Times New Roman"/>
                <w:color w:val="auto"/>
                <w:sz w:val="24"/>
                <w:szCs w:val="24"/>
                <w:highlight w:val="none"/>
                <w:u w:val="none"/>
                <w:lang w:val="en-US" w:eastAsia="zh-CN"/>
              </w:rPr>
              <w:t>废水处理方式符合生产废水</w:t>
            </w:r>
            <w:r>
              <w:rPr>
                <w:rFonts w:hint="default" w:ascii="Times New Roman" w:hAnsi="Times New Roman" w:eastAsia="宋体" w:cs="Times New Roman"/>
                <w:color w:val="auto"/>
                <w:sz w:val="24"/>
                <w:szCs w:val="24"/>
                <w:highlight w:val="none"/>
                <w:u w:val="none"/>
              </w:rPr>
              <w:t>推荐的可行技术，因此项目</w:t>
            </w:r>
            <w:r>
              <w:rPr>
                <w:rFonts w:hint="eastAsia" w:cs="Times New Roman"/>
                <w:color w:val="auto"/>
                <w:sz w:val="24"/>
                <w:szCs w:val="24"/>
                <w:highlight w:val="none"/>
                <w:u w:val="none"/>
                <w:lang w:val="en-US" w:eastAsia="zh-CN"/>
              </w:rPr>
              <w:t>外排</w:t>
            </w:r>
            <w:r>
              <w:rPr>
                <w:rFonts w:hint="default" w:ascii="Times New Roman" w:hAnsi="Times New Roman" w:eastAsia="宋体" w:cs="Times New Roman"/>
                <w:color w:val="auto"/>
                <w:sz w:val="24"/>
                <w:szCs w:val="24"/>
                <w:highlight w:val="none"/>
                <w:u w:val="none"/>
              </w:rPr>
              <w:t>废水</w:t>
            </w:r>
            <w:r>
              <w:rPr>
                <w:rFonts w:hint="default" w:ascii="Times New Roman" w:hAnsi="Times New Roman" w:cs="Times New Roman"/>
                <w:color w:val="auto"/>
                <w:sz w:val="24"/>
                <w:szCs w:val="24"/>
                <w:highlight w:val="none"/>
                <w:u w:val="none"/>
                <w:lang w:val="en-US" w:eastAsia="zh-CN"/>
              </w:rPr>
              <w:t>的</w:t>
            </w:r>
            <w:r>
              <w:rPr>
                <w:rFonts w:hint="default" w:ascii="Times New Roman" w:hAnsi="Times New Roman" w:eastAsia="宋体" w:cs="Times New Roman"/>
                <w:color w:val="auto"/>
                <w:sz w:val="24"/>
                <w:szCs w:val="24"/>
                <w:highlight w:val="none"/>
                <w:u w:val="none"/>
              </w:rPr>
              <w:t>处理</w:t>
            </w:r>
            <w:r>
              <w:rPr>
                <w:rFonts w:hint="default" w:ascii="Times New Roman" w:hAnsi="Times New Roman" w:cs="Times New Roman"/>
                <w:color w:val="auto"/>
                <w:sz w:val="24"/>
                <w:szCs w:val="24"/>
                <w:highlight w:val="none"/>
                <w:u w:val="none"/>
                <w:lang w:val="en-US" w:eastAsia="zh-CN"/>
              </w:rPr>
              <w:t>方法</w:t>
            </w:r>
            <w:r>
              <w:rPr>
                <w:rFonts w:hint="default" w:ascii="Times New Roman" w:hAnsi="Times New Roman" w:eastAsia="宋体" w:cs="Times New Roman"/>
                <w:color w:val="auto"/>
                <w:sz w:val="24"/>
                <w:szCs w:val="24"/>
                <w:highlight w:val="none"/>
                <w:u w:val="none"/>
              </w:rPr>
              <w:t>是可行的。</w:t>
            </w:r>
          </w:p>
          <w:p w14:paraId="7F3E4814">
            <w:pPr>
              <w:pStyle w:val="47"/>
              <w:spacing w:line="500" w:lineRule="exact"/>
              <w:ind w:firstLine="480" w:firstLineChars="200"/>
              <w:jc w:val="left"/>
              <w:rPr>
                <w:rFonts w:hint="eastAsia" w:eastAsia="宋体"/>
                <w:color w:val="auto"/>
                <w:sz w:val="24"/>
                <w:szCs w:val="22"/>
                <w:highlight w:val="none"/>
                <w:lang w:eastAsia="zh-CN" w:bidi="ar"/>
              </w:rPr>
            </w:pPr>
            <w:r>
              <w:rPr>
                <w:rFonts w:hint="eastAsia" w:eastAsia="宋体"/>
                <w:color w:val="auto"/>
                <w:sz w:val="24"/>
                <w:szCs w:val="22"/>
                <w:highlight w:val="none"/>
                <w:lang w:eastAsia="zh-CN" w:bidi="ar"/>
              </w:rPr>
              <w:t>厂区</w:t>
            </w:r>
            <w:r>
              <w:rPr>
                <w:rFonts w:hint="eastAsia" w:eastAsia="宋体"/>
                <w:color w:val="auto"/>
                <w:sz w:val="24"/>
                <w:szCs w:val="22"/>
                <w:highlight w:val="none"/>
                <w:lang w:val="en-US" w:eastAsia="zh-CN" w:bidi="ar"/>
              </w:rPr>
              <w:t>内自建</w:t>
            </w:r>
            <w:r>
              <w:rPr>
                <w:rFonts w:hint="eastAsia" w:eastAsia="宋体"/>
                <w:color w:val="auto"/>
                <w:sz w:val="24"/>
                <w:szCs w:val="22"/>
                <w:highlight w:val="none"/>
                <w:lang w:eastAsia="zh-CN" w:bidi="ar"/>
              </w:rPr>
              <w:t>污水处理站废水处理工艺流程如下：</w:t>
            </w:r>
          </w:p>
          <w:p w14:paraId="58023687">
            <w:pPr>
              <w:bidi w:val="0"/>
              <w:jc w:val="center"/>
              <w:rPr>
                <w:rFonts w:hint="eastAsia"/>
                <w:color w:val="auto"/>
                <w:lang w:eastAsia="zh-CN"/>
              </w:rPr>
            </w:pPr>
            <w:r>
              <w:drawing>
                <wp:inline distT="0" distB="0" distL="114300" distR="114300">
                  <wp:extent cx="1770380" cy="3899535"/>
                  <wp:effectExtent l="0" t="0" r="12700" b="190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1770380" cy="3899535"/>
                          </a:xfrm>
                          <a:prstGeom prst="rect">
                            <a:avLst/>
                          </a:prstGeom>
                          <a:noFill/>
                          <a:ln>
                            <a:noFill/>
                          </a:ln>
                        </pic:spPr>
                      </pic:pic>
                    </a:graphicData>
                  </a:graphic>
                </wp:inline>
              </w:drawing>
            </w:r>
          </w:p>
          <w:p w14:paraId="6888C37B">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b/>
                <w:bCs/>
                <w:color w:val="auto"/>
                <w:sz w:val="24"/>
                <w:szCs w:val="22"/>
                <w:u w:val="none"/>
                <w:lang w:eastAsia="zh-CN" w:bidi="ar"/>
              </w:rPr>
            </w:pPr>
            <w:r>
              <w:rPr>
                <w:rFonts w:hint="eastAsia" w:eastAsia="宋体"/>
                <w:b/>
                <w:bCs/>
                <w:color w:val="auto"/>
                <w:sz w:val="24"/>
                <w:szCs w:val="22"/>
                <w:u w:val="none"/>
                <w:lang w:eastAsia="zh-CN" w:bidi="ar"/>
              </w:rPr>
              <w:t>图</w:t>
            </w:r>
            <w:r>
              <w:rPr>
                <w:rFonts w:hint="eastAsia" w:eastAsia="宋体"/>
                <w:b/>
                <w:bCs/>
                <w:color w:val="auto"/>
                <w:sz w:val="24"/>
                <w:szCs w:val="22"/>
                <w:u w:val="none"/>
                <w:lang w:val="en-US" w:eastAsia="zh-CN" w:bidi="ar"/>
              </w:rPr>
              <w:t>7</w:t>
            </w:r>
            <w:r>
              <w:rPr>
                <w:rFonts w:hint="eastAsia" w:eastAsia="宋体"/>
                <w:b/>
                <w:bCs/>
                <w:color w:val="auto"/>
                <w:sz w:val="24"/>
                <w:szCs w:val="22"/>
                <w:u w:val="none"/>
                <w:lang w:eastAsia="zh-CN" w:bidi="ar"/>
              </w:rPr>
              <w:t xml:space="preserve">  污水处理工艺流程示意图</w:t>
            </w:r>
          </w:p>
          <w:p w14:paraId="0E1A0E7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出水水质及污染物排放情况见下表。</w:t>
            </w:r>
          </w:p>
          <w:p w14:paraId="245E870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0" w:firstLineChars="200"/>
              <w:jc w:val="center"/>
              <w:textAlignment w:val="auto"/>
              <w:rPr>
                <w:rFonts w:hint="eastAsia" w:ascii="Times New Roman" w:hAnsi="Times New Roman" w:eastAsia="黑体" w:cs="黑体"/>
                <w:color w:val="auto"/>
                <w:kern w:val="0"/>
                <w:sz w:val="24"/>
                <w:szCs w:val="24"/>
                <w:lang w:val="en-US" w:eastAsia="zh-CN"/>
              </w:rPr>
            </w:pPr>
            <w:r>
              <w:rPr>
                <w:rFonts w:hint="eastAsia" w:ascii="Times New Roman" w:hAnsi="Times New Roman" w:eastAsia="黑体" w:cs="黑体"/>
                <w:color w:val="auto"/>
                <w:kern w:val="0"/>
                <w:sz w:val="24"/>
                <w:szCs w:val="24"/>
                <w:lang w:val="en-US" w:eastAsia="zh-CN"/>
              </w:rPr>
              <w:t>表4-6 本</w:t>
            </w:r>
            <w:r>
              <w:rPr>
                <w:rFonts w:hint="eastAsia" w:ascii="Times New Roman" w:hAnsi="Times New Roman" w:eastAsia="黑体" w:cs="黑体"/>
                <w:color w:val="auto"/>
                <w:kern w:val="0"/>
                <w:sz w:val="24"/>
                <w:szCs w:val="24"/>
                <w:highlight w:val="none"/>
                <w:lang w:val="en-US" w:eastAsia="zh-CN"/>
              </w:rPr>
              <w:t>项目废水产排</w:t>
            </w:r>
            <w:r>
              <w:rPr>
                <w:rFonts w:hint="eastAsia" w:ascii="Times New Roman" w:hAnsi="Times New Roman" w:eastAsia="黑体" w:cs="黑体"/>
                <w:color w:val="auto"/>
                <w:kern w:val="0"/>
                <w:sz w:val="24"/>
                <w:szCs w:val="24"/>
                <w:lang w:val="en-US" w:eastAsia="zh-CN"/>
              </w:rPr>
              <w:t>情况一览表</w:t>
            </w:r>
          </w:p>
          <w:tbl>
            <w:tblPr>
              <w:tblStyle w:val="21"/>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902"/>
              <w:gridCol w:w="960"/>
              <w:gridCol w:w="851"/>
              <w:gridCol w:w="862"/>
              <w:gridCol w:w="883"/>
              <w:gridCol w:w="1124"/>
            </w:tblGrid>
            <w:tr w14:paraId="66C1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tcBorders>
                    <w:tl2br w:val="nil"/>
                    <w:tr2bl w:val="nil"/>
                  </w:tcBorders>
                  <w:noWrap w:val="0"/>
                  <w:vAlign w:val="center"/>
                </w:tcPr>
                <w:p w14:paraId="6E4C87F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bookmarkStart w:id="9" w:name="OLE_LINK2"/>
                  <w:r>
                    <w:rPr>
                      <w:rFonts w:hint="eastAsia" w:ascii="Times New Roman" w:hAnsi="Times New Roman" w:cs="Times New Roman"/>
                      <w:color w:val="auto"/>
                      <w:kern w:val="0"/>
                      <w:sz w:val="21"/>
                      <w:szCs w:val="21"/>
                      <w:lang w:val="en-US" w:eastAsia="zh-CN" w:bidi="ar-SA"/>
                    </w:rPr>
                    <w:t>类别</w:t>
                  </w:r>
                </w:p>
              </w:tc>
              <w:tc>
                <w:tcPr>
                  <w:tcW w:w="1807" w:type="pct"/>
                  <w:tcBorders>
                    <w:tl2br w:val="nil"/>
                    <w:tr2bl w:val="nil"/>
                  </w:tcBorders>
                  <w:noWrap w:val="0"/>
                  <w:vAlign w:val="center"/>
                </w:tcPr>
                <w:p w14:paraId="31DF3D8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水质指标</w:t>
                  </w:r>
                </w:p>
              </w:tc>
              <w:tc>
                <w:tcPr>
                  <w:tcW w:w="597" w:type="pct"/>
                  <w:tcBorders>
                    <w:tl2br w:val="nil"/>
                    <w:tr2bl w:val="nil"/>
                  </w:tcBorders>
                  <w:noWrap w:val="0"/>
                  <w:vAlign w:val="center"/>
                </w:tcPr>
                <w:p w14:paraId="5495EB0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COD</w:t>
                  </w:r>
                </w:p>
              </w:tc>
              <w:tc>
                <w:tcPr>
                  <w:tcW w:w="529" w:type="pct"/>
                  <w:tcBorders>
                    <w:tl2br w:val="nil"/>
                    <w:tr2bl w:val="nil"/>
                  </w:tcBorders>
                  <w:noWrap w:val="0"/>
                  <w:vAlign w:val="center"/>
                </w:tcPr>
                <w:p w14:paraId="31880F3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BOD</w:t>
                  </w:r>
                  <w:r>
                    <w:rPr>
                      <w:rFonts w:hint="eastAsia" w:ascii="Times New Roman" w:hAnsi="Times New Roman" w:cs="Times New Roman"/>
                      <w:color w:val="auto"/>
                      <w:kern w:val="0"/>
                      <w:sz w:val="21"/>
                      <w:szCs w:val="21"/>
                      <w:vertAlign w:val="subscript"/>
                      <w:lang w:val="en-US" w:eastAsia="zh-CN" w:bidi="ar-SA"/>
                    </w:rPr>
                    <w:t>5</w:t>
                  </w:r>
                </w:p>
              </w:tc>
              <w:tc>
                <w:tcPr>
                  <w:tcW w:w="536" w:type="pct"/>
                  <w:tcBorders>
                    <w:tl2br w:val="nil"/>
                    <w:tr2bl w:val="nil"/>
                  </w:tcBorders>
                  <w:noWrap w:val="0"/>
                  <w:vAlign w:val="center"/>
                </w:tcPr>
                <w:p w14:paraId="3FD66CF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SS</w:t>
                  </w:r>
                </w:p>
              </w:tc>
              <w:tc>
                <w:tcPr>
                  <w:tcW w:w="549" w:type="pct"/>
                  <w:tcBorders>
                    <w:tl2br w:val="nil"/>
                    <w:tr2bl w:val="nil"/>
                  </w:tcBorders>
                  <w:noWrap w:val="0"/>
                  <w:vAlign w:val="center"/>
                </w:tcPr>
                <w:p w14:paraId="3A43A21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NH</w:t>
                  </w:r>
                  <w:r>
                    <w:rPr>
                      <w:rFonts w:hint="eastAsia" w:ascii="Times New Roman" w:hAnsi="Times New Roman" w:eastAsia="宋体" w:cs="Times New Roman"/>
                      <w:color w:val="auto"/>
                      <w:kern w:val="0"/>
                      <w:sz w:val="21"/>
                      <w:szCs w:val="21"/>
                      <w:vertAlign w:val="subscript"/>
                      <w:lang w:val="en-US" w:eastAsia="zh-CN" w:bidi="ar-SA"/>
                    </w:rPr>
                    <w:t>3</w:t>
                  </w:r>
                  <w:r>
                    <w:rPr>
                      <w:rFonts w:hint="eastAsia" w:ascii="Times New Roman" w:hAnsi="Times New Roman" w:eastAsia="宋体" w:cs="Times New Roman"/>
                      <w:color w:val="auto"/>
                      <w:kern w:val="0"/>
                      <w:sz w:val="21"/>
                      <w:szCs w:val="21"/>
                      <w:lang w:val="en-US" w:eastAsia="zh-CN" w:bidi="ar-SA"/>
                    </w:rPr>
                    <w:t>-N</w:t>
                  </w:r>
                </w:p>
              </w:tc>
              <w:tc>
                <w:tcPr>
                  <w:tcW w:w="699" w:type="pct"/>
                  <w:tcBorders>
                    <w:tl2br w:val="nil"/>
                    <w:tr2bl w:val="nil"/>
                  </w:tcBorders>
                  <w:noWrap w:val="0"/>
                  <w:vAlign w:val="center"/>
                </w:tcPr>
                <w:p w14:paraId="00CE676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动植物油</w:t>
                  </w:r>
                </w:p>
              </w:tc>
            </w:tr>
            <w:tr w14:paraId="5F78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78" w:type="pct"/>
                  <w:vMerge w:val="restart"/>
                  <w:tcBorders>
                    <w:tl2br w:val="nil"/>
                    <w:tr2bl w:val="nil"/>
                  </w:tcBorders>
                  <w:noWrap w:val="0"/>
                  <w:vAlign w:val="center"/>
                </w:tcPr>
                <w:p w14:paraId="3538AA8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生活</w:t>
                  </w:r>
                </w:p>
                <w:p w14:paraId="48E07AB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污水</w:t>
                  </w:r>
                </w:p>
              </w:tc>
              <w:tc>
                <w:tcPr>
                  <w:tcW w:w="1807" w:type="pct"/>
                  <w:tcBorders>
                    <w:tl2br w:val="nil"/>
                    <w:tr2bl w:val="nil"/>
                  </w:tcBorders>
                  <w:noWrap w:val="0"/>
                  <w:vAlign w:val="center"/>
                </w:tcPr>
                <w:p w14:paraId="1BD565E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生活污水产生量（m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/a）</w:t>
                  </w:r>
                </w:p>
              </w:tc>
              <w:tc>
                <w:tcPr>
                  <w:tcW w:w="2914" w:type="pct"/>
                  <w:gridSpan w:val="5"/>
                  <w:tcBorders>
                    <w:tl2br w:val="nil"/>
                    <w:tr2bl w:val="nil"/>
                  </w:tcBorders>
                  <w:noWrap w:val="0"/>
                  <w:vAlign w:val="center"/>
                </w:tcPr>
                <w:p w14:paraId="4CF7CB0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288</w:t>
                  </w:r>
                </w:p>
              </w:tc>
            </w:tr>
            <w:tr w14:paraId="6215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noWrap w:val="0"/>
                  <w:vAlign w:val="center"/>
                </w:tcPr>
                <w:p w14:paraId="37A1083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noWrap w:val="0"/>
                  <w:vAlign w:val="center"/>
                </w:tcPr>
                <w:p w14:paraId="13DE5EC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进水水质（mg/L）</w:t>
                  </w:r>
                </w:p>
              </w:tc>
              <w:tc>
                <w:tcPr>
                  <w:tcW w:w="597" w:type="pct"/>
                  <w:tcBorders>
                    <w:tl2br w:val="nil"/>
                    <w:tr2bl w:val="nil"/>
                  </w:tcBorders>
                  <w:noWrap w:val="0"/>
                  <w:vAlign w:val="center"/>
                </w:tcPr>
                <w:p w14:paraId="3FEED64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250</w:t>
                  </w:r>
                </w:p>
              </w:tc>
              <w:tc>
                <w:tcPr>
                  <w:tcW w:w="529" w:type="pct"/>
                  <w:tcBorders>
                    <w:tl2br w:val="nil"/>
                    <w:tr2bl w:val="nil"/>
                  </w:tcBorders>
                  <w:noWrap w:val="0"/>
                  <w:vAlign w:val="center"/>
                </w:tcPr>
                <w:p w14:paraId="18FAB9C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0</w:t>
                  </w:r>
                </w:p>
              </w:tc>
              <w:tc>
                <w:tcPr>
                  <w:tcW w:w="536" w:type="pct"/>
                  <w:tcBorders>
                    <w:tl2br w:val="nil"/>
                    <w:tr2bl w:val="nil"/>
                  </w:tcBorders>
                  <w:noWrap w:val="0"/>
                  <w:vAlign w:val="center"/>
                </w:tcPr>
                <w:p w14:paraId="7CDB8F2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180</w:t>
                  </w:r>
                </w:p>
              </w:tc>
              <w:tc>
                <w:tcPr>
                  <w:tcW w:w="549" w:type="pct"/>
                  <w:tcBorders>
                    <w:tl2br w:val="nil"/>
                    <w:tr2bl w:val="nil"/>
                  </w:tcBorders>
                  <w:noWrap w:val="0"/>
                  <w:vAlign w:val="center"/>
                </w:tcPr>
                <w:p w14:paraId="2A24C23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r>
                    <w:rPr>
                      <w:rFonts w:hint="eastAsia" w:ascii="Times New Roman" w:hAnsi="Times New Roman" w:cs="Times New Roman"/>
                      <w:color w:val="auto"/>
                      <w:kern w:val="0"/>
                      <w:sz w:val="21"/>
                      <w:szCs w:val="21"/>
                      <w:highlight w:val="none"/>
                      <w:lang w:val="en-US" w:eastAsia="zh-CN" w:bidi="ar-SA"/>
                    </w:rPr>
                    <w:t>0</w:t>
                  </w:r>
                </w:p>
              </w:tc>
              <w:tc>
                <w:tcPr>
                  <w:tcW w:w="699" w:type="pct"/>
                  <w:vMerge w:val="restart"/>
                  <w:tcBorders>
                    <w:tl2br w:val="nil"/>
                    <w:tr2bl w:val="nil"/>
                  </w:tcBorders>
                  <w:noWrap w:val="0"/>
                  <w:vAlign w:val="center"/>
                </w:tcPr>
                <w:p w14:paraId="55F0FE5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14:paraId="6ED4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noWrap w:val="0"/>
                  <w:vAlign w:val="center"/>
                </w:tcPr>
                <w:p w14:paraId="4B329AE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807" w:type="pct"/>
                  <w:tcBorders>
                    <w:tl2br w:val="nil"/>
                    <w:tr2bl w:val="nil"/>
                  </w:tcBorders>
                  <w:noWrap w:val="0"/>
                  <w:vAlign w:val="center"/>
                </w:tcPr>
                <w:p w14:paraId="239D473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污染物产生量（t/a）</w:t>
                  </w:r>
                </w:p>
              </w:tc>
              <w:tc>
                <w:tcPr>
                  <w:tcW w:w="597" w:type="pct"/>
                  <w:tcBorders>
                    <w:tl2br w:val="nil"/>
                    <w:tr2bl w:val="nil"/>
                  </w:tcBorders>
                  <w:noWrap w:val="0"/>
                  <w:vAlign w:val="center"/>
                </w:tcPr>
                <w:p w14:paraId="6B6512F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72</w:t>
                  </w:r>
                </w:p>
              </w:tc>
              <w:tc>
                <w:tcPr>
                  <w:tcW w:w="529" w:type="pct"/>
                  <w:tcBorders>
                    <w:tl2br w:val="nil"/>
                    <w:tr2bl w:val="nil"/>
                  </w:tcBorders>
                  <w:noWrap w:val="0"/>
                  <w:vAlign w:val="center"/>
                </w:tcPr>
                <w:p w14:paraId="1D1A16A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374</w:t>
                  </w:r>
                </w:p>
              </w:tc>
              <w:tc>
                <w:tcPr>
                  <w:tcW w:w="536" w:type="pct"/>
                  <w:tcBorders>
                    <w:tl2br w:val="nil"/>
                    <w:tr2bl w:val="nil"/>
                  </w:tcBorders>
                  <w:noWrap w:val="0"/>
                  <w:vAlign w:val="center"/>
                </w:tcPr>
                <w:p w14:paraId="20A74AA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518</w:t>
                  </w:r>
                </w:p>
              </w:tc>
              <w:tc>
                <w:tcPr>
                  <w:tcW w:w="549" w:type="pct"/>
                  <w:tcBorders>
                    <w:tl2br w:val="nil"/>
                    <w:tr2bl w:val="nil"/>
                  </w:tcBorders>
                  <w:noWrap w:val="0"/>
                  <w:vAlign w:val="center"/>
                </w:tcPr>
                <w:p w14:paraId="3C77B4D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w:t>
                  </w:r>
                  <w:r>
                    <w:rPr>
                      <w:rFonts w:hint="eastAsia" w:ascii="Times New Roman" w:hAnsi="Times New Roman" w:cs="Times New Roman"/>
                      <w:color w:val="auto"/>
                      <w:kern w:val="0"/>
                      <w:sz w:val="21"/>
                      <w:szCs w:val="21"/>
                      <w:highlight w:val="none"/>
                      <w:lang w:val="en-US" w:eastAsia="zh-CN" w:bidi="ar-SA"/>
                    </w:rPr>
                    <w:t>58</w:t>
                  </w:r>
                </w:p>
              </w:tc>
              <w:tc>
                <w:tcPr>
                  <w:tcW w:w="699" w:type="pct"/>
                  <w:vMerge w:val="continue"/>
                  <w:tcBorders>
                    <w:tl2br w:val="nil"/>
                    <w:tr2bl w:val="nil"/>
                  </w:tcBorders>
                  <w:noWrap w:val="0"/>
                  <w:vAlign w:val="center"/>
                </w:tcPr>
                <w:p w14:paraId="2B340C9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r>
            <w:tr w14:paraId="2AB2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78" w:type="pct"/>
                  <w:vMerge w:val="continue"/>
                  <w:tcBorders>
                    <w:tl2br w:val="nil"/>
                    <w:tr2bl w:val="nil"/>
                  </w:tcBorders>
                  <w:noWrap w:val="0"/>
                  <w:vAlign w:val="center"/>
                </w:tcPr>
                <w:p w14:paraId="282C6FA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noWrap w:val="0"/>
                  <w:vAlign w:val="center"/>
                </w:tcPr>
                <w:p w14:paraId="3B9E076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化粪池处理效率（%）</w:t>
                  </w:r>
                </w:p>
              </w:tc>
              <w:tc>
                <w:tcPr>
                  <w:tcW w:w="597" w:type="pct"/>
                  <w:tcBorders>
                    <w:tl2br w:val="nil"/>
                    <w:tr2bl w:val="nil"/>
                  </w:tcBorders>
                  <w:noWrap w:val="0"/>
                  <w:vAlign w:val="center"/>
                </w:tcPr>
                <w:p w14:paraId="383AC10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c>
                <w:tcPr>
                  <w:tcW w:w="529" w:type="pct"/>
                  <w:tcBorders>
                    <w:tl2br w:val="nil"/>
                    <w:tr2bl w:val="nil"/>
                  </w:tcBorders>
                  <w:noWrap w:val="0"/>
                  <w:vAlign w:val="center"/>
                </w:tcPr>
                <w:p w14:paraId="5D19029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w:t>
                  </w:r>
                </w:p>
              </w:tc>
              <w:tc>
                <w:tcPr>
                  <w:tcW w:w="536" w:type="pct"/>
                  <w:tcBorders>
                    <w:tl2br w:val="nil"/>
                    <w:tr2bl w:val="nil"/>
                  </w:tcBorders>
                  <w:noWrap w:val="0"/>
                  <w:vAlign w:val="center"/>
                </w:tcPr>
                <w:p w14:paraId="125AEFC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w:t>
                  </w:r>
                </w:p>
              </w:tc>
              <w:tc>
                <w:tcPr>
                  <w:tcW w:w="549" w:type="pct"/>
                  <w:tcBorders>
                    <w:tl2br w:val="nil"/>
                    <w:tr2bl w:val="nil"/>
                  </w:tcBorders>
                  <w:noWrap w:val="0"/>
                  <w:vAlign w:val="center"/>
                </w:tcPr>
                <w:p w14:paraId="0791D81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w:t>
                  </w:r>
                </w:p>
              </w:tc>
              <w:tc>
                <w:tcPr>
                  <w:tcW w:w="699" w:type="pct"/>
                  <w:vMerge w:val="continue"/>
                  <w:tcBorders>
                    <w:tl2br w:val="nil"/>
                    <w:tr2bl w:val="nil"/>
                  </w:tcBorders>
                  <w:noWrap w:val="0"/>
                  <w:vAlign w:val="center"/>
                </w:tcPr>
                <w:p w14:paraId="07808EB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r>
            <w:tr w14:paraId="72E1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noWrap w:val="0"/>
                  <w:vAlign w:val="center"/>
                </w:tcPr>
                <w:p w14:paraId="3D3591C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noWrap w:val="0"/>
                  <w:vAlign w:val="center"/>
                </w:tcPr>
                <w:p w14:paraId="5AD2134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出水水质(mg/L)</w:t>
                  </w:r>
                </w:p>
              </w:tc>
              <w:tc>
                <w:tcPr>
                  <w:tcW w:w="597" w:type="pct"/>
                  <w:tcBorders>
                    <w:tl2br w:val="nil"/>
                    <w:tr2bl w:val="nil"/>
                  </w:tcBorders>
                  <w:noWrap w:val="0"/>
                  <w:vAlign w:val="center"/>
                </w:tcPr>
                <w:p w14:paraId="1108965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r>
                    <w:rPr>
                      <w:rFonts w:hint="eastAsia" w:ascii="Times New Roman" w:hAnsi="Times New Roman" w:cs="Times New Roman"/>
                      <w:color w:val="auto"/>
                      <w:kern w:val="0"/>
                      <w:sz w:val="21"/>
                      <w:szCs w:val="21"/>
                      <w:highlight w:val="none"/>
                      <w:lang w:val="en-US" w:eastAsia="zh-CN" w:bidi="ar-SA"/>
                    </w:rPr>
                    <w:t>12.5</w:t>
                  </w:r>
                </w:p>
              </w:tc>
              <w:tc>
                <w:tcPr>
                  <w:tcW w:w="529" w:type="pct"/>
                  <w:tcBorders>
                    <w:tl2br w:val="nil"/>
                    <w:tr2bl w:val="nil"/>
                  </w:tcBorders>
                  <w:noWrap w:val="0"/>
                  <w:vAlign w:val="center"/>
                </w:tcPr>
                <w:p w14:paraId="6F3F652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17</w:t>
                  </w:r>
                </w:p>
              </w:tc>
              <w:tc>
                <w:tcPr>
                  <w:tcW w:w="536" w:type="pct"/>
                  <w:tcBorders>
                    <w:tl2br w:val="nil"/>
                    <w:tr2bl w:val="nil"/>
                  </w:tcBorders>
                  <w:noWrap w:val="0"/>
                  <w:vAlign w:val="center"/>
                </w:tcPr>
                <w:p w14:paraId="25DC7C8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126</w:t>
                  </w:r>
                </w:p>
              </w:tc>
              <w:tc>
                <w:tcPr>
                  <w:tcW w:w="549" w:type="pct"/>
                  <w:tcBorders>
                    <w:tl2br w:val="nil"/>
                    <w:tr2bl w:val="nil"/>
                  </w:tcBorders>
                  <w:noWrap w:val="0"/>
                  <w:vAlign w:val="center"/>
                </w:tcPr>
                <w:p w14:paraId="5E91218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19</w:t>
                  </w:r>
                </w:p>
              </w:tc>
              <w:tc>
                <w:tcPr>
                  <w:tcW w:w="699" w:type="pct"/>
                  <w:vMerge w:val="continue"/>
                  <w:tcBorders>
                    <w:tl2br w:val="nil"/>
                    <w:tr2bl w:val="nil"/>
                  </w:tcBorders>
                  <w:noWrap w:val="0"/>
                  <w:vAlign w:val="center"/>
                </w:tcPr>
                <w:p w14:paraId="1EAA429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color w:val="auto"/>
                      <w:kern w:val="0"/>
                      <w:sz w:val="21"/>
                      <w:szCs w:val="21"/>
                      <w:lang w:val="en-US" w:eastAsia="zh-CN" w:bidi="ar-SA"/>
                    </w:rPr>
                  </w:pPr>
                </w:p>
              </w:tc>
            </w:tr>
            <w:tr w14:paraId="0B14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8" w:type="pct"/>
                  <w:vMerge w:val="continue"/>
                  <w:tcBorders>
                    <w:tl2br w:val="nil"/>
                    <w:tr2bl w:val="nil"/>
                  </w:tcBorders>
                  <w:noWrap w:val="0"/>
                  <w:vAlign w:val="center"/>
                </w:tcPr>
                <w:p w14:paraId="1A10B70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noWrap w:val="0"/>
                  <w:vAlign w:val="center"/>
                </w:tcPr>
                <w:p w14:paraId="04AA01E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污染物排放量（t/a）</w:t>
                  </w:r>
                </w:p>
              </w:tc>
              <w:tc>
                <w:tcPr>
                  <w:tcW w:w="597" w:type="pct"/>
                  <w:tcBorders>
                    <w:tl2br w:val="nil"/>
                    <w:tr2bl w:val="nil"/>
                  </w:tcBorders>
                  <w:noWrap w:val="0"/>
                  <w:vAlign w:val="center"/>
                </w:tcPr>
                <w:p w14:paraId="3EBC3C5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612</w:t>
                  </w:r>
                </w:p>
              </w:tc>
              <w:tc>
                <w:tcPr>
                  <w:tcW w:w="529" w:type="pct"/>
                  <w:tcBorders>
                    <w:tl2br w:val="nil"/>
                    <w:tr2bl w:val="nil"/>
                  </w:tcBorders>
                  <w:noWrap w:val="0"/>
                  <w:vAlign w:val="center"/>
                </w:tcPr>
                <w:p w14:paraId="761890B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w:t>
                  </w:r>
                  <w:r>
                    <w:rPr>
                      <w:rFonts w:hint="eastAsia" w:ascii="Times New Roman" w:hAnsi="Times New Roman" w:cs="Times New Roman"/>
                      <w:color w:val="auto"/>
                      <w:kern w:val="0"/>
                      <w:sz w:val="21"/>
                      <w:szCs w:val="21"/>
                      <w:highlight w:val="none"/>
                      <w:lang w:val="en-US" w:eastAsia="zh-CN" w:bidi="ar-SA"/>
                    </w:rPr>
                    <w:t>37</w:t>
                  </w:r>
                </w:p>
              </w:tc>
              <w:tc>
                <w:tcPr>
                  <w:tcW w:w="536" w:type="pct"/>
                  <w:tcBorders>
                    <w:tl2br w:val="nil"/>
                    <w:tr2bl w:val="nil"/>
                  </w:tcBorders>
                  <w:noWrap w:val="0"/>
                  <w:vAlign w:val="center"/>
                </w:tcPr>
                <w:p w14:paraId="69D57E5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0.0363</w:t>
                  </w:r>
                </w:p>
              </w:tc>
              <w:tc>
                <w:tcPr>
                  <w:tcW w:w="549" w:type="pct"/>
                  <w:tcBorders>
                    <w:tl2br w:val="nil"/>
                    <w:tr2bl w:val="nil"/>
                  </w:tcBorders>
                  <w:noWrap w:val="0"/>
                  <w:vAlign w:val="center"/>
                </w:tcPr>
                <w:p w14:paraId="0A143A2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w:t>
                  </w:r>
                  <w:r>
                    <w:rPr>
                      <w:rFonts w:hint="eastAsia" w:ascii="Times New Roman" w:hAnsi="Times New Roman" w:cs="Times New Roman"/>
                      <w:color w:val="auto"/>
                      <w:kern w:val="0"/>
                      <w:sz w:val="21"/>
                      <w:szCs w:val="21"/>
                      <w:highlight w:val="none"/>
                      <w:lang w:val="en-US" w:eastAsia="zh-CN" w:bidi="ar-SA"/>
                    </w:rPr>
                    <w:t>55</w:t>
                  </w:r>
                </w:p>
              </w:tc>
              <w:tc>
                <w:tcPr>
                  <w:tcW w:w="699" w:type="pct"/>
                  <w:vMerge w:val="continue"/>
                  <w:tcBorders>
                    <w:tl2br w:val="nil"/>
                    <w:tr2bl w:val="nil"/>
                  </w:tcBorders>
                  <w:noWrap w:val="0"/>
                  <w:vAlign w:val="center"/>
                </w:tcPr>
                <w:p w14:paraId="602B092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r>
            <w:tr w14:paraId="029D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restart"/>
                  <w:tcBorders>
                    <w:tl2br w:val="nil"/>
                    <w:tr2bl w:val="nil"/>
                  </w:tcBorders>
                  <w:shd w:val="clear" w:color="auto" w:fill="auto"/>
                  <w:noWrap w:val="0"/>
                  <w:vAlign w:val="center"/>
                </w:tcPr>
                <w:p w14:paraId="56B85CC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生产</w:t>
                  </w:r>
                </w:p>
                <w:p w14:paraId="1A300D3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废水</w:t>
                  </w:r>
                </w:p>
              </w:tc>
              <w:tc>
                <w:tcPr>
                  <w:tcW w:w="1807" w:type="pct"/>
                  <w:tcBorders>
                    <w:tl2br w:val="nil"/>
                    <w:tr2bl w:val="nil"/>
                  </w:tcBorders>
                  <w:shd w:val="clear" w:color="auto" w:fill="auto"/>
                  <w:noWrap w:val="0"/>
                  <w:vAlign w:val="center"/>
                </w:tcPr>
                <w:p w14:paraId="37BB3BF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生产废水产生量（m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/a）</w:t>
                  </w:r>
                </w:p>
              </w:tc>
              <w:tc>
                <w:tcPr>
                  <w:tcW w:w="2914" w:type="pct"/>
                  <w:gridSpan w:val="5"/>
                  <w:tcBorders>
                    <w:tl2br w:val="nil"/>
                    <w:tr2bl w:val="nil"/>
                  </w:tcBorders>
                  <w:shd w:val="clear" w:color="auto" w:fill="auto"/>
                  <w:noWrap w:val="0"/>
                  <w:vAlign w:val="center"/>
                </w:tcPr>
                <w:p w14:paraId="1C164DF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2126.1</w:t>
                  </w:r>
                </w:p>
              </w:tc>
            </w:tr>
            <w:tr w14:paraId="01BA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shd w:val="clear" w:color="auto" w:fill="auto"/>
                  <w:noWrap w:val="0"/>
                  <w:vAlign w:val="center"/>
                </w:tcPr>
                <w:p w14:paraId="451748A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557610D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进水水质（mg/L）</w:t>
                  </w:r>
                </w:p>
              </w:tc>
              <w:tc>
                <w:tcPr>
                  <w:tcW w:w="597" w:type="pct"/>
                  <w:tcBorders>
                    <w:tl2br w:val="nil"/>
                    <w:tr2bl w:val="nil"/>
                  </w:tcBorders>
                  <w:shd w:val="clear" w:color="auto" w:fill="auto"/>
                  <w:noWrap w:val="0"/>
                  <w:vAlign w:val="center"/>
                </w:tcPr>
                <w:p w14:paraId="40825C4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1000</w:t>
                  </w:r>
                </w:p>
              </w:tc>
              <w:tc>
                <w:tcPr>
                  <w:tcW w:w="529" w:type="pct"/>
                  <w:tcBorders>
                    <w:tl2br w:val="nil"/>
                    <w:tr2bl w:val="nil"/>
                  </w:tcBorders>
                  <w:shd w:val="clear" w:color="auto" w:fill="auto"/>
                  <w:noWrap w:val="0"/>
                  <w:vAlign w:val="center"/>
                </w:tcPr>
                <w:p w14:paraId="70FA463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500</w:t>
                  </w:r>
                </w:p>
              </w:tc>
              <w:tc>
                <w:tcPr>
                  <w:tcW w:w="536" w:type="pct"/>
                  <w:tcBorders>
                    <w:tl2br w:val="nil"/>
                    <w:tr2bl w:val="nil"/>
                  </w:tcBorders>
                  <w:shd w:val="clear" w:color="auto" w:fill="auto"/>
                  <w:noWrap w:val="0"/>
                  <w:vAlign w:val="center"/>
                </w:tcPr>
                <w:p w14:paraId="074B865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500</w:t>
                  </w:r>
                </w:p>
              </w:tc>
              <w:tc>
                <w:tcPr>
                  <w:tcW w:w="549" w:type="pct"/>
                  <w:tcBorders>
                    <w:tl2br w:val="nil"/>
                    <w:tr2bl w:val="nil"/>
                  </w:tcBorders>
                  <w:shd w:val="clear" w:color="auto" w:fill="auto"/>
                  <w:noWrap w:val="0"/>
                  <w:vAlign w:val="center"/>
                </w:tcPr>
                <w:p w14:paraId="7C41F4B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15</w:t>
                  </w:r>
                </w:p>
              </w:tc>
              <w:tc>
                <w:tcPr>
                  <w:tcW w:w="699" w:type="pct"/>
                  <w:tcBorders>
                    <w:tl2br w:val="nil"/>
                    <w:tr2bl w:val="nil"/>
                  </w:tcBorders>
                  <w:shd w:val="clear" w:color="auto" w:fill="auto"/>
                  <w:noWrap w:val="0"/>
                  <w:vAlign w:val="center"/>
                </w:tcPr>
                <w:p w14:paraId="5ADDA11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100</w:t>
                  </w:r>
                </w:p>
              </w:tc>
            </w:tr>
            <w:tr w14:paraId="44F1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shd w:val="clear" w:color="auto" w:fill="auto"/>
                  <w:noWrap w:val="0"/>
                  <w:vAlign w:val="center"/>
                </w:tcPr>
                <w:p w14:paraId="5483AB8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32A38FE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污染物产生量（t/a）</w:t>
                  </w:r>
                </w:p>
              </w:tc>
              <w:tc>
                <w:tcPr>
                  <w:tcW w:w="597" w:type="pct"/>
                  <w:tcBorders>
                    <w:tl2br w:val="nil"/>
                    <w:tr2bl w:val="nil"/>
                  </w:tcBorders>
                  <w:shd w:val="clear" w:color="auto" w:fill="auto"/>
                  <w:noWrap w:val="0"/>
                  <w:vAlign w:val="center"/>
                </w:tcPr>
                <w:p w14:paraId="2A5DBE8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2.1261</w:t>
                  </w:r>
                </w:p>
              </w:tc>
              <w:tc>
                <w:tcPr>
                  <w:tcW w:w="529" w:type="pct"/>
                  <w:tcBorders>
                    <w:tl2br w:val="nil"/>
                    <w:tr2bl w:val="nil"/>
                  </w:tcBorders>
                  <w:shd w:val="clear" w:color="auto" w:fill="auto"/>
                  <w:noWrap w:val="0"/>
                  <w:vAlign w:val="center"/>
                </w:tcPr>
                <w:p w14:paraId="3467F9C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1.0631</w:t>
                  </w:r>
                </w:p>
              </w:tc>
              <w:tc>
                <w:tcPr>
                  <w:tcW w:w="536" w:type="pct"/>
                  <w:tcBorders>
                    <w:tl2br w:val="nil"/>
                    <w:tr2bl w:val="nil"/>
                  </w:tcBorders>
                  <w:shd w:val="clear" w:color="auto" w:fill="auto"/>
                  <w:noWrap w:val="0"/>
                  <w:vAlign w:val="center"/>
                </w:tcPr>
                <w:p w14:paraId="6BB25F5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1.0631</w:t>
                  </w:r>
                </w:p>
              </w:tc>
              <w:tc>
                <w:tcPr>
                  <w:tcW w:w="549" w:type="pct"/>
                  <w:tcBorders>
                    <w:tl2br w:val="nil"/>
                    <w:tr2bl w:val="nil"/>
                  </w:tcBorders>
                  <w:shd w:val="clear" w:color="auto" w:fill="auto"/>
                  <w:noWrap w:val="0"/>
                  <w:vAlign w:val="center"/>
                </w:tcPr>
                <w:p w14:paraId="5618F9C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319</w:t>
                  </w:r>
                </w:p>
              </w:tc>
              <w:tc>
                <w:tcPr>
                  <w:tcW w:w="699" w:type="pct"/>
                  <w:tcBorders>
                    <w:tl2br w:val="nil"/>
                    <w:tr2bl w:val="nil"/>
                  </w:tcBorders>
                  <w:shd w:val="clear" w:color="auto" w:fill="auto"/>
                  <w:noWrap w:val="0"/>
                  <w:vAlign w:val="center"/>
                </w:tcPr>
                <w:p w14:paraId="6221CF9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0.2126</w:t>
                  </w:r>
                </w:p>
              </w:tc>
            </w:tr>
            <w:tr w14:paraId="3473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shd w:val="clear" w:color="auto" w:fill="auto"/>
                  <w:noWrap w:val="0"/>
                  <w:vAlign w:val="center"/>
                </w:tcPr>
                <w:p w14:paraId="5B57360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7AAFFA6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水处理设施</w:t>
                  </w:r>
                  <w:r>
                    <w:rPr>
                      <w:rFonts w:hint="eastAsia" w:ascii="Times New Roman" w:hAnsi="Times New Roman" w:eastAsia="宋体" w:cs="Times New Roman"/>
                      <w:color w:val="auto"/>
                      <w:kern w:val="0"/>
                      <w:sz w:val="21"/>
                      <w:szCs w:val="21"/>
                      <w:lang w:val="en-US" w:eastAsia="zh-CN" w:bidi="ar-SA"/>
                    </w:rPr>
                    <w:t>处理效率（%）</w:t>
                  </w:r>
                </w:p>
              </w:tc>
              <w:tc>
                <w:tcPr>
                  <w:tcW w:w="597" w:type="pct"/>
                  <w:tcBorders>
                    <w:tl2br w:val="nil"/>
                    <w:tr2bl w:val="nil"/>
                  </w:tcBorders>
                  <w:shd w:val="clear" w:color="auto" w:fill="auto"/>
                  <w:noWrap w:val="0"/>
                  <w:vAlign w:val="center"/>
                </w:tcPr>
                <w:p w14:paraId="08997EB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529" w:type="pct"/>
                  <w:tcBorders>
                    <w:tl2br w:val="nil"/>
                    <w:tr2bl w:val="nil"/>
                  </w:tcBorders>
                  <w:shd w:val="clear" w:color="auto" w:fill="auto"/>
                  <w:noWrap w:val="0"/>
                  <w:vAlign w:val="center"/>
                </w:tcPr>
                <w:p w14:paraId="497BAEF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75</w:t>
                  </w:r>
                </w:p>
              </w:tc>
              <w:tc>
                <w:tcPr>
                  <w:tcW w:w="536" w:type="pct"/>
                  <w:tcBorders>
                    <w:tl2br w:val="nil"/>
                    <w:tr2bl w:val="nil"/>
                  </w:tcBorders>
                  <w:shd w:val="clear" w:color="auto" w:fill="auto"/>
                  <w:noWrap w:val="0"/>
                  <w:vAlign w:val="center"/>
                </w:tcPr>
                <w:p w14:paraId="1A47856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90</w:t>
                  </w:r>
                </w:p>
              </w:tc>
              <w:tc>
                <w:tcPr>
                  <w:tcW w:w="549" w:type="pct"/>
                  <w:tcBorders>
                    <w:tl2br w:val="nil"/>
                    <w:tr2bl w:val="nil"/>
                  </w:tcBorders>
                  <w:shd w:val="clear" w:color="auto" w:fill="auto"/>
                  <w:noWrap w:val="0"/>
                  <w:vAlign w:val="center"/>
                </w:tcPr>
                <w:p w14:paraId="0D55C56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75</w:t>
                  </w:r>
                </w:p>
              </w:tc>
              <w:tc>
                <w:tcPr>
                  <w:tcW w:w="699" w:type="pct"/>
                  <w:tcBorders>
                    <w:tl2br w:val="nil"/>
                    <w:tr2bl w:val="nil"/>
                  </w:tcBorders>
                  <w:shd w:val="clear" w:color="auto" w:fill="auto"/>
                  <w:noWrap w:val="0"/>
                  <w:vAlign w:val="center"/>
                </w:tcPr>
                <w:p w14:paraId="73333A0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90</w:t>
                  </w:r>
                </w:p>
              </w:tc>
            </w:tr>
            <w:tr w14:paraId="2578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shd w:val="clear" w:color="auto" w:fill="auto"/>
                  <w:noWrap w:val="0"/>
                  <w:vAlign w:val="center"/>
                </w:tcPr>
                <w:p w14:paraId="052A91B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608A540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出水水质(mg/L)</w:t>
                  </w:r>
                </w:p>
              </w:tc>
              <w:tc>
                <w:tcPr>
                  <w:tcW w:w="597" w:type="pct"/>
                  <w:tcBorders>
                    <w:tl2br w:val="nil"/>
                    <w:tr2bl w:val="nil"/>
                  </w:tcBorders>
                  <w:shd w:val="clear" w:color="auto" w:fill="auto"/>
                  <w:noWrap w:val="0"/>
                  <w:vAlign w:val="center"/>
                </w:tcPr>
                <w:p w14:paraId="3742BF9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r>
                    <w:rPr>
                      <w:rFonts w:hint="eastAsia" w:ascii="Times New Roman" w:hAnsi="Times New Roman" w:cs="Times New Roman"/>
                      <w:color w:val="auto"/>
                      <w:kern w:val="0"/>
                      <w:sz w:val="21"/>
                      <w:szCs w:val="21"/>
                      <w:highlight w:val="none"/>
                      <w:lang w:val="en-US" w:eastAsia="zh-CN" w:bidi="ar-SA"/>
                    </w:rPr>
                    <w:t>00</w:t>
                  </w:r>
                </w:p>
              </w:tc>
              <w:tc>
                <w:tcPr>
                  <w:tcW w:w="529" w:type="pct"/>
                  <w:tcBorders>
                    <w:tl2br w:val="nil"/>
                    <w:tr2bl w:val="nil"/>
                  </w:tcBorders>
                  <w:shd w:val="clear" w:color="auto" w:fill="auto"/>
                  <w:noWrap w:val="0"/>
                  <w:vAlign w:val="center"/>
                </w:tcPr>
                <w:p w14:paraId="3BDEC6C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25</w:t>
                  </w:r>
                </w:p>
              </w:tc>
              <w:tc>
                <w:tcPr>
                  <w:tcW w:w="536" w:type="pct"/>
                  <w:tcBorders>
                    <w:tl2br w:val="nil"/>
                    <w:tr2bl w:val="nil"/>
                  </w:tcBorders>
                  <w:shd w:val="clear" w:color="auto" w:fill="auto"/>
                  <w:noWrap w:val="0"/>
                  <w:vAlign w:val="center"/>
                </w:tcPr>
                <w:p w14:paraId="15B0535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50</w:t>
                  </w:r>
                </w:p>
              </w:tc>
              <w:tc>
                <w:tcPr>
                  <w:tcW w:w="549" w:type="pct"/>
                  <w:tcBorders>
                    <w:tl2br w:val="nil"/>
                    <w:tr2bl w:val="nil"/>
                  </w:tcBorders>
                  <w:shd w:val="clear" w:color="auto" w:fill="auto"/>
                  <w:noWrap w:val="0"/>
                  <w:vAlign w:val="center"/>
                </w:tcPr>
                <w:p w14:paraId="782BA41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3.75</w:t>
                  </w:r>
                </w:p>
              </w:tc>
              <w:tc>
                <w:tcPr>
                  <w:tcW w:w="699" w:type="pct"/>
                  <w:tcBorders>
                    <w:tl2br w:val="nil"/>
                    <w:tr2bl w:val="nil"/>
                  </w:tcBorders>
                  <w:shd w:val="clear" w:color="auto" w:fill="auto"/>
                  <w:noWrap w:val="0"/>
                  <w:vAlign w:val="center"/>
                </w:tcPr>
                <w:p w14:paraId="17D927C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w:t>
                  </w:r>
                </w:p>
              </w:tc>
            </w:tr>
            <w:tr w14:paraId="52DB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8" w:type="pct"/>
                  <w:vMerge w:val="continue"/>
                  <w:tcBorders>
                    <w:tl2br w:val="nil"/>
                    <w:tr2bl w:val="nil"/>
                  </w:tcBorders>
                  <w:shd w:val="clear" w:color="auto" w:fill="auto"/>
                  <w:noWrap w:val="0"/>
                  <w:vAlign w:val="center"/>
                </w:tcPr>
                <w:p w14:paraId="3B539AE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1E8FB3E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污染物排放量（t/a）</w:t>
                  </w:r>
                </w:p>
              </w:tc>
              <w:tc>
                <w:tcPr>
                  <w:tcW w:w="597" w:type="pct"/>
                  <w:tcBorders>
                    <w:tl2br w:val="nil"/>
                    <w:tr2bl w:val="nil"/>
                  </w:tcBorders>
                  <w:shd w:val="clear" w:color="auto" w:fill="auto"/>
                  <w:noWrap w:val="0"/>
                  <w:vAlign w:val="center"/>
                </w:tcPr>
                <w:p w14:paraId="5808751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4252</w:t>
                  </w:r>
                </w:p>
              </w:tc>
              <w:tc>
                <w:tcPr>
                  <w:tcW w:w="529" w:type="pct"/>
                  <w:tcBorders>
                    <w:tl2br w:val="nil"/>
                    <w:tr2bl w:val="nil"/>
                  </w:tcBorders>
                  <w:shd w:val="clear" w:color="auto" w:fill="auto"/>
                  <w:noWrap w:val="0"/>
                  <w:vAlign w:val="center"/>
                </w:tcPr>
                <w:p w14:paraId="6B06C2E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2658</w:t>
                  </w:r>
                </w:p>
              </w:tc>
              <w:tc>
                <w:tcPr>
                  <w:tcW w:w="536" w:type="pct"/>
                  <w:tcBorders>
                    <w:tl2br w:val="nil"/>
                    <w:tr2bl w:val="nil"/>
                  </w:tcBorders>
                  <w:shd w:val="clear" w:color="auto" w:fill="auto"/>
                  <w:noWrap w:val="0"/>
                  <w:vAlign w:val="center"/>
                </w:tcPr>
                <w:p w14:paraId="26175EE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1063</w:t>
                  </w:r>
                </w:p>
              </w:tc>
              <w:tc>
                <w:tcPr>
                  <w:tcW w:w="549" w:type="pct"/>
                  <w:tcBorders>
                    <w:tl2br w:val="nil"/>
                    <w:tr2bl w:val="nil"/>
                  </w:tcBorders>
                  <w:shd w:val="clear" w:color="auto" w:fill="auto"/>
                  <w:noWrap w:val="0"/>
                  <w:vAlign w:val="center"/>
                </w:tcPr>
                <w:p w14:paraId="4672048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hAnsi="Times New Roman" w:cs="Times New Roman"/>
                      <w:color w:val="auto"/>
                      <w:kern w:val="0"/>
                      <w:sz w:val="21"/>
                      <w:szCs w:val="21"/>
                      <w:highlight w:val="none"/>
                      <w:lang w:val="en-US" w:eastAsia="zh-CN" w:bidi="ar-SA"/>
                    </w:rPr>
                    <w:t>080</w:t>
                  </w:r>
                </w:p>
              </w:tc>
              <w:tc>
                <w:tcPr>
                  <w:tcW w:w="699" w:type="pct"/>
                  <w:tcBorders>
                    <w:tl2br w:val="nil"/>
                    <w:tr2bl w:val="nil"/>
                  </w:tcBorders>
                  <w:shd w:val="clear" w:color="auto" w:fill="auto"/>
                  <w:noWrap w:val="0"/>
                  <w:vAlign w:val="center"/>
                </w:tcPr>
                <w:p w14:paraId="72128B5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0.0213</w:t>
                  </w:r>
                </w:p>
              </w:tc>
            </w:tr>
            <w:tr w14:paraId="0F70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restart"/>
                  <w:tcBorders>
                    <w:tl2br w:val="nil"/>
                    <w:tr2bl w:val="nil"/>
                  </w:tcBorders>
                  <w:noWrap w:val="0"/>
                  <w:vAlign w:val="center"/>
                </w:tcPr>
                <w:p w14:paraId="5C80551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总计</w:t>
                  </w:r>
                </w:p>
              </w:tc>
              <w:tc>
                <w:tcPr>
                  <w:tcW w:w="1807" w:type="pct"/>
                  <w:tcBorders>
                    <w:tl2br w:val="nil"/>
                    <w:tr2bl w:val="nil"/>
                  </w:tcBorders>
                  <w:shd w:val="clear" w:color="auto" w:fill="auto"/>
                  <w:noWrap w:val="0"/>
                  <w:vAlign w:val="center"/>
                </w:tcPr>
                <w:p w14:paraId="6ED9417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项目外排废水产生量（m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/a）</w:t>
                  </w:r>
                </w:p>
              </w:tc>
              <w:tc>
                <w:tcPr>
                  <w:tcW w:w="2914" w:type="pct"/>
                  <w:gridSpan w:val="5"/>
                  <w:tcBorders>
                    <w:tl2br w:val="nil"/>
                    <w:tr2bl w:val="nil"/>
                  </w:tcBorders>
                  <w:shd w:val="clear" w:color="auto" w:fill="auto"/>
                  <w:noWrap w:val="0"/>
                  <w:vAlign w:val="center"/>
                </w:tcPr>
                <w:p w14:paraId="652AB90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cyan"/>
                      <w:lang w:val="en-US" w:eastAsia="zh-CN" w:bidi="ar-SA"/>
                    </w:rPr>
                  </w:pPr>
                  <w:r>
                    <w:rPr>
                      <w:rFonts w:hint="eastAsia" w:ascii="Times New Roman" w:hAnsi="Times New Roman" w:cs="Times New Roman"/>
                      <w:color w:val="auto"/>
                      <w:kern w:val="0"/>
                      <w:sz w:val="21"/>
                      <w:szCs w:val="21"/>
                      <w:highlight w:val="none"/>
                      <w:lang w:val="en-US" w:eastAsia="zh-CN" w:bidi="ar-SA"/>
                    </w:rPr>
                    <w:t>2414.1</w:t>
                  </w:r>
                </w:p>
              </w:tc>
            </w:tr>
            <w:tr w14:paraId="75A7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noWrap w:val="0"/>
                  <w:vAlign w:val="center"/>
                </w:tcPr>
                <w:p w14:paraId="2C7E4E1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6AB3303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出水水质(mg/L)</w:t>
                  </w:r>
                </w:p>
              </w:tc>
              <w:tc>
                <w:tcPr>
                  <w:tcW w:w="597" w:type="pct"/>
                  <w:tcBorders>
                    <w:tl2br w:val="nil"/>
                    <w:tr2bl w:val="nil"/>
                  </w:tcBorders>
                  <w:shd w:val="clear" w:color="auto" w:fill="auto"/>
                  <w:noWrap w:val="0"/>
                  <w:vAlign w:val="center"/>
                </w:tcPr>
                <w:p w14:paraId="033EF51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300</w:t>
                  </w:r>
                </w:p>
              </w:tc>
              <w:tc>
                <w:tcPr>
                  <w:tcW w:w="529" w:type="pct"/>
                  <w:tcBorders>
                    <w:tl2br w:val="nil"/>
                    <w:tr2bl w:val="nil"/>
                  </w:tcBorders>
                  <w:shd w:val="clear" w:color="auto" w:fill="auto"/>
                  <w:noWrap w:val="0"/>
                  <w:vAlign w:val="center"/>
                </w:tcPr>
                <w:p w14:paraId="4EADE2D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90</w:t>
                  </w:r>
                </w:p>
              </w:tc>
              <w:tc>
                <w:tcPr>
                  <w:tcW w:w="536" w:type="pct"/>
                  <w:tcBorders>
                    <w:tl2br w:val="nil"/>
                    <w:tr2bl w:val="nil"/>
                  </w:tcBorders>
                  <w:shd w:val="clear" w:color="auto" w:fill="auto"/>
                  <w:noWrap w:val="0"/>
                  <w:vAlign w:val="center"/>
                </w:tcPr>
                <w:p w14:paraId="74D4EEC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60</w:t>
                  </w:r>
                </w:p>
              </w:tc>
              <w:tc>
                <w:tcPr>
                  <w:tcW w:w="549" w:type="pct"/>
                  <w:tcBorders>
                    <w:tl2br w:val="nil"/>
                    <w:tr2bl w:val="nil"/>
                  </w:tcBorders>
                  <w:shd w:val="clear" w:color="auto" w:fill="auto"/>
                  <w:noWrap w:val="0"/>
                  <w:vAlign w:val="center"/>
                </w:tcPr>
                <w:p w14:paraId="1563022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w:t>
                  </w:r>
                </w:p>
              </w:tc>
              <w:tc>
                <w:tcPr>
                  <w:tcW w:w="699" w:type="pct"/>
                  <w:tcBorders>
                    <w:tl2br w:val="nil"/>
                    <w:tr2bl w:val="nil"/>
                  </w:tcBorders>
                  <w:shd w:val="clear" w:color="auto" w:fill="auto"/>
                  <w:noWrap w:val="0"/>
                  <w:vAlign w:val="center"/>
                </w:tcPr>
                <w:p w14:paraId="6C5B87B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w:t>
                  </w:r>
                </w:p>
              </w:tc>
            </w:tr>
            <w:tr w14:paraId="116F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8" w:type="pct"/>
                  <w:vMerge w:val="continue"/>
                  <w:tcBorders>
                    <w:tl2br w:val="nil"/>
                    <w:tr2bl w:val="nil"/>
                  </w:tcBorders>
                  <w:noWrap w:val="0"/>
                  <w:vAlign w:val="center"/>
                </w:tcPr>
                <w:p w14:paraId="59B80EE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807" w:type="pct"/>
                  <w:tcBorders>
                    <w:tl2br w:val="nil"/>
                    <w:tr2bl w:val="nil"/>
                  </w:tcBorders>
                  <w:shd w:val="clear" w:color="auto" w:fill="auto"/>
                  <w:noWrap w:val="0"/>
                  <w:vAlign w:val="center"/>
                </w:tcPr>
                <w:p w14:paraId="5112C94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厂区出口污染物排放量（t/a）</w:t>
                  </w:r>
                </w:p>
              </w:tc>
              <w:tc>
                <w:tcPr>
                  <w:tcW w:w="597" w:type="pct"/>
                  <w:tcBorders>
                    <w:tl2br w:val="nil"/>
                    <w:tr2bl w:val="nil"/>
                  </w:tcBorders>
                  <w:shd w:val="clear" w:color="auto" w:fill="auto"/>
                  <w:noWrap w:val="0"/>
                  <w:vAlign w:val="center"/>
                </w:tcPr>
                <w:p w14:paraId="72F9940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7242</w:t>
                  </w:r>
                </w:p>
              </w:tc>
              <w:tc>
                <w:tcPr>
                  <w:tcW w:w="529" w:type="pct"/>
                  <w:tcBorders>
                    <w:tl2br w:val="nil"/>
                    <w:tr2bl w:val="nil"/>
                  </w:tcBorders>
                  <w:shd w:val="clear" w:color="auto" w:fill="auto"/>
                  <w:noWrap w:val="0"/>
                  <w:vAlign w:val="center"/>
                </w:tcPr>
                <w:p w14:paraId="7CF58C7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4587</w:t>
                  </w:r>
                </w:p>
              </w:tc>
              <w:tc>
                <w:tcPr>
                  <w:tcW w:w="536" w:type="pct"/>
                  <w:tcBorders>
                    <w:tl2br w:val="nil"/>
                    <w:tr2bl w:val="nil"/>
                  </w:tcBorders>
                  <w:shd w:val="clear" w:color="auto" w:fill="auto"/>
                  <w:noWrap w:val="0"/>
                  <w:vAlign w:val="center"/>
                </w:tcPr>
                <w:p w14:paraId="406BDDE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0.3</w:t>
                  </w:r>
                  <w:r>
                    <w:rPr>
                      <w:rFonts w:hint="eastAsia" w:ascii="Times New Roman" w:hAnsi="Times New Roman" w:cs="Times New Roman"/>
                      <w:color w:val="auto"/>
                      <w:kern w:val="0"/>
                      <w:sz w:val="21"/>
                      <w:szCs w:val="21"/>
                      <w:highlight w:val="none"/>
                      <w:lang w:val="en-US" w:eastAsia="zh-CN" w:bidi="ar-SA"/>
                    </w:rPr>
                    <w:t>863</w:t>
                  </w:r>
                </w:p>
              </w:tc>
              <w:tc>
                <w:tcPr>
                  <w:tcW w:w="549" w:type="pct"/>
                  <w:tcBorders>
                    <w:tl2br w:val="nil"/>
                    <w:tr2bl w:val="nil"/>
                  </w:tcBorders>
                  <w:shd w:val="clear" w:color="auto" w:fill="auto"/>
                  <w:noWrap w:val="0"/>
                  <w:vAlign w:val="center"/>
                </w:tcPr>
                <w:p w14:paraId="166FE77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0483</w:t>
                  </w:r>
                </w:p>
              </w:tc>
              <w:tc>
                <w:tcPr>
                  <w:tcW w:w="699" w:type="pct"/>
                  <w:tcBorders>
                    <w:tl2br w:val="nil"/>
                    <w:tr2bl w:val="nil"/>
                  </w:tcBorders>
                  <w:shd w:val="clear" w:color="auto" w:fill="auto"/>
                  <w:noWrap w:val="0"/>
                  <w:vAlign w:val="center"/>
                </w:tcPr>
                <w:p w14:paraId="6A0B5D3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0.0241</w:t>
                  </w:r>
                </w:p>
              </w:tc>
            </w:tr>
            <w:tr w14:paraId="5406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085" w:type="pct"/>
                  <w:gridSpan w:val="2"/>
                  <w:tcBorders>
                    <w:tl2br w:val="nil"/>
                    <w:tr2bl w:val="nil"/>
                  </w:tcBorders>
                  <w:noWrap w:val="0"/>
                  <w:vAlign w:val="center"/>
                </w:tcPr>
                <w:p w14:paraId="468D24B1">
                  <w:pPr>
                    <w:pStyle w:val="4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污水综合排放标准</w:t>
                  </w:r>
                  <w:r>
                    <w:rPr>
                      <w:rFonts w:hint="eastAsia" w:ascii="Times New Roman" w:hAnsi="Times New Roman" w:eastAsia="宋体" w:cs="Times New Roman"/>
                      <w:color w:val="auto"/>
                      <w:kern w:val="0"/>
                      <w:sz w:val="21"/>
                      <w:szCs w:val="21"/>
                      <w:lang w:val="en-US" w:eastAsia="zh-CN" w:bidi="ar-SA"/>
                    </w:rPr>
                    <w:t>（GB8978-1996）</w:t>
                  </w:r>
                </w:p>
                <w:p w14:paraId="53E9DA5F">
                  <w:pPr>
                    <w:pStyle w:val="4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表4三级排放标准</w:t>
                  </w:r>
                </w:p>
              </w:tc>
              <w:tc>
                <w:tcPr>
                  <w:tcW w:w="597" w:type="pct"/>
                  <w:tcBorders>
                    <w:tl2br w:val="nil"/>
                    <w:tr2bl w:val="nil"/>
                  </w:tcBorders>
                  <w:noWrap w:val="0"/>
                  <w:vAlign w:val="center"/>
                </w:tcPr>
                <w:p w14:paraId="1F7007A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500</w:t>
                  </w:r>
                </w:p>
              </w:tc>
              <w:tc>
                <w:tcPr>
                  <w:tcW w:w="529" w:type="pct"/>
                  <w:tcBorders>
                    <w:tl2br w:val="nil"/>
                    <w:tr2bl w:val="nil"/>
                  </w:tcBorders>
                  <w:noWrap w:val="0"/>
                  <w:vAlign w:val="center"/>
                </w:tcPr>
                <w:p w14:paraId="6715987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300</w:t>
                  </w:r>
                </w:p>
              </w:tc>
              <w:tc>
                <w:tcPr>
                  <w:tcW w:w="536" w:type="pct"/>
                  <w:tcBorders>
                    <w:tl2br w:val="nil"/>
                    <w:tr2bl w:val="nil"/>
                  </w:tcBorders>
                  <w:noWrap w:val="0"/>
                  <w:vAlign w:val="center"/>
                </w:tcPr>
                <w:p w14:paraId="4F73DFF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400</w:t>
                  </w:r>
                </w:p>
              </w:tc>
              <w:tc>
                <w:tcPr>
                  <w:tcW w:w="549" w:type="pct"/>
                  <w:tcBorders>
                    <w:tl2br w:val="nil"/>
                    <w:tr2bl w:val="nil"/>
                  </w:tcBorders>
                  <w:noWrap w:val="0"/>
                  <w:vAlign w:val="center"/>
                </w:tcPr>
                <w:p w14:paraId="0899E2D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699" w:type="pct"/>
                  <w:tcBorders>
                    <w:tl2br w:val="nil"/>
                    <w:tr2bl w:val="nil"/>
                  </w:tcBorders>
                  <w:noWrap w:val="0"/>
                  <w:vAlign w:val="center"/>
                </w:tcPr>
                <w:p w14:paraId="5237A55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100</w:t>
                  </w:r>
                </w:p>
              </w:tc>
            </w:tr>
            <w:tr w14:paraId="7C04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085" w:type="pct"/>
                  <w:gridSpan w:val="2"/>
                  <w:tcBorders>
                    <w:tl2br w:val="nil"/>
                    <w:tr2bl w:val="nil"/>
                  </w:tcBorders>
                  <w:noWrap w:val="0"/>
                  <w:vAlign w:val="center"/>
                </w:tcPr>
                <w:p w14:paraId="7B4B339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叶县廉村镇污水处理站</w:t>
                  </w:r>
                </w:p>
                <w:p w14:paraId="6F61C45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进水水质要求</w:t>
                  </w:r>
                </w:p>
              </w:tc>
              <w:tc>
                <w:tcPr>
                  <w:tcW w:w="597" w:type="pct"/>
                  <w:tcBorders>
                    <w:tl2br w:val="nil"/>
                    <w:tr2bl w:val="nil"/>
                  </w:tcBorders>
                  <w:noWrap w:val="0"/>
                  <w:vAlign w:val="center"/>
                </w:tcPr>
                <w:p w14:paraId="780F1DB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300</w:t>
                  </w:r>
                </w:p>
              </w:tc>
              <w:tc>
                <w:tcPr>
                  <w:tcW w:w="529" w:type="pct"/>
                  <w:tcBorders>
                    <w:tl2br w:val="nil"/>
                    <w:tr2bl w:val="nil"/>
                  </w:tcBorders>
                  <w:noWrap w:val="0"/>
                  <w:vAlign w:val="center"/>
                </w:tcPr>
                <w:p w14:paraId="0104352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200</w:t>
                  </w:r>
                </w:p>
              </w:tc>
              <w:tc>
                <w:tcPr>
                  <w:tcW w:w="536" w:type="pct"/>
                  <w:tcBorders>
                    <w:tl2br w:val="nil"/>
                    <w:tr2bl w:val="nil"/>
                  </w:tcBorders>
                  <w:noWrap w:val="0"/>
                  <w:vAlign w:val="center"/>
                </w:tcPr>
                <w:p w14:paraId="28A1D9C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200</w:t>
                  </w:r>
                </w:p>
              </w:tc>
              <w:tc>
                <w:tcPr>
                  <w:tcW w:w="549" w:type="pct"/>
                  <w:tcBorders>
                    <w:tl2br w:val="nil"/>
                    <w:tr2bl w:val="nil"/>
                  </w:tcBorders>
                  <w:noWrap w:val="0"/>
                  <w:vAlign w:val="center"/>
                </w:tcPr>
                <w:p w14:paraId="5787664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50</w:t>
                  </w:r>
                </w:p>
              </w:tc>
              <w:tc>
                <w:tcPr>
                  <w:tcW w:w="699" w:type="pct"/>
                  <w:tcBorders>
                    <w:tl2br w:val="nil"/>
                    <w:tr2bl w:val="nil"/>
                  </w:tcBorders>
                  <w:noWrap w:val="0"/>
                  <w:vAlign w:val="center"/>
                </w:tcPr>
                <w:p w14:paraId="233976C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14:paraId="6DE4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85" w:type="pct"/>
                  <w:gridSpan w:val="2"/>
                  <w:tcBorders>
                    <w:tl2br w:val="nil"/>
                    <w:tr2bl w:val="nil"/>
                  </w:tcBorders>
                  <w:noWrap w:val="0"/>
                  <w:vAlign w:val="center"/>
                </w:tcPr>
                <w:p w14:paraId="5DA9357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达标情况</w:t>
                  </w:r>
                </w:p>
              </w:tc>
              <w:tc>
                <w:tcPr>
                  <w:tcW w:w="597" w:type="pct"/>
                  <w:tcBorders>
                    <w:tl2br w:val="nil"/>
                    <w:tr2bl w:val="nil"/>
                  </w:tcBorders>
                  <w:noWrap w:val="0"/>
                  <w:vAlign w:val="center"/>
                </w:tcPr>
                <w:p w14:paraId="3683F7F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c>
                <w:tcPr>
                  <w:tcW w:w="529" w:type="pct"/>
                  <w:tcBorders>
                    <w:tl2br w:val="nil"/>
                    <w:tr2bl w:val="nil"/>
                  </w:tcBorders>
                  <w:noWrap w:val="0"/>
                  <w:vAlign w:val="center"/>
                </w:tcPr>
                <w:p w14:paraId="53CAB3B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c>
                <w:tcPr>
                  <w:tcW w:w="536" w:type="pct"/>
                  <w:tcBorders>
                    <w:tl2br w:val="nil"/>
                    <w:tr2bl w:val="nil"/>
                  </w:tcBorders>
                  <w:noWrap w:val="0"/>
                  <w:vAlign w:val="center"/>
                </w:tcPr>
                <w:p w14:paraId="2E9BAFD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c>
                <w:tcPr>
                  <w:tcW w:w="549" w:type="pct"/>
                  <w:tcBorders>
                    <w:tl2br w:val="nil"/>
                    <w:tr2bl w:val="nil"/>
                  </w:tcBorders>
                  <w:noWrap w:val="0"/>
                  <w:vAlign w:val="center"/>
                </w:tcPr>
                <w:p w14:paraId="477D473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c>
                <w:tcPr>
                  <w:tcW w:w="699" w:type="pct"/>
                  <w:tcBorders>
                    <w:tl2br w:val="nil"/>
                    <w:tr2bl w:val="nil"/>
                  </w:tcBorders>
                  <w:noWrap w:val="0"/>
                  <w:vAlign w:val="center"/>
                </w:tcPr>
                <w:p w14:paraId="12B7473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r>
            <w:tr w14:paraId="7D8B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85" w:type="pct"/>
                  <w:gridSpan w:val="2"/>
                  <w:tcBorders>
                    <w:tl2br w:val="nil"/>
                    <w:tr2bl w:val="nil"/>
                  </w:tcBorders>
                  <w:noWrap w:val="0"/>
                  <w:vAlign w:val="center"/>
                </w:tcPr>
                <w:p w14:paraId="310C6B6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叶县廉村镇</w:t>
                  </w:r>
                  <w:r>
                    <w:rPr>
                      <w:rFonts w:hint="eastAsia" w:ascii="Times New Roman" w:hAnsi="Times New Roman" w:eastAsia="宋体" w:cs="Times New Roman"/>
                      <w:color w:val="auto"/>
                      <w:kern w:val="0"/>
                      <w:sz w:val="21"/>
                      <w:szCs w:val="21"/>
                      <w:lang w:val="en-US" w:eastAsia="zh-CN" w:bidi="ar-SA"/>
                    </w:rPr>
                    <w:t>污水处理</w:t>
                  </w:r>
                  <w:r>
                    <w:rPr>
                      <w:rFonts w:hint="eastAsia" w:ascii="Times New Roman" w:hAnsi="Times New Roman" w:cs="Times New Roman"/>
                      <w:color w:val="auto"/>
                      <w:kern w:val="0"/>
                      <w:sz w:val="21"/>
                      <w:szCs w:val="21"/>
                      <w:lang w:val="en-US" w:eastAsia="zh-CN" w:bidi="ar-SA"/>
                    </w:rPr>
                    <w:t>站</w:t>
                  </w:r>
                  <w:r>
                    <w:rPr>
                      <w:rFonts w:hint="eastAsia" w:ascii="Times New Roman" w:hAnsi="Times New Roman" w:eastAsia="宋体" w:cs="Times New Roman"/>
                      <w:color w:val="auto"/>
                      <w:kern w:val="0"/>
                      <w:sz w:val="21"/>
                      <w:szCs w:val="21"/>
                      <w:lang w:val="en-US" w:eastAsia="zh-CN" w:bidi="ar-SA"/>
                    </w:rPr>
                    <w:t>排放指标</w:t>
                  </w:r>
                </w:p>
              </w:tc>
              <w:tc>
                <w:tcPr>
                  <w:tcW w:w="597" w:type="pct"/>
                  <w:tcBorders>
                    <w:tl2br w:val="nil"/>
                    <w:tr2bl w:val="nil"/>
                  </w:tcBorders>
                  <w:noWrap w:val="0"/>
                  <w:vAlign w:val="center"/>
                </w:tcPr>
                <w:p w14:paraId="1E38AFF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100</w:t>
                  </w:r>
                </w:p>
              </w:tc>
              <w:tc>
                <w:tcPr>
                  <w:tcW w:w="529" w:type="pct"/>
                  <w:tcBorders>
                    <w:tl2br w:val="nil"/>
                    <w:tr2bl w:val="nil"/>
                  </w:tcBorders>
                  <w:noWrap w:val="0"/>
                  <w:vAlign w:val="center"/>
                </w:tcPr>
                <w:p w14:paraId="28A4DF2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536" w:type="pct"/>
                  <w:tcBorders>
                    <w:tl2br w:val="nil"/>
                    <w:tr2bl w:val="nil"/>
                  </w:tcBorders>
                  <w:noWrap w:val="0"/>
                  <w:vAlign w:val="center"/>
                </w:tcPr>
                <w:p w14:paraId="7FD619A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50</w:t>
                  </w:r>
                </w:p>
              </w:tc>
              <w:tc>
                <w:tcPr>
                  <w:tcW w:w="549" w:type="pct"/>
                  <w:tcBorders>
                    <w:tl2br w:val="nil"/>
                    <w:tr2bl w:val="nil"/>
                  </w:tcBorders>
                  <w:noWrap w:val="0"/>
                  <w:vAlign w:val="center"/>
                </w:tcPr>
                <w:p w14:paraId="445DECE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699" w:type="pct"/>
                  <w:tcBorders>
                    <w:tl2br w:val="nil"/>
                    <w:tr2bl w:val="nil"/>
                  </w:tcBorders>
                  <w:noWrap w:val="0"/>
                  <w:vAlign w:val="center"/>
                </w:tcPr>
                <w:p w14:paraId="7712B9C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r>
            <w:bookmarkEnd w:id="9"/>
          </w:tbl>
          <w:p w14:paraId="520601C7">
            <w:pPr>
              <w:pStyle w:val="4"/>
              <w:keepLines w:val="0"/>
              <w:pageBreakBefore w:val="0"/>
              <w:widowControl w:val="0"/>
              <w:kinsoku/>
              <w:wordWrap/>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b w:val="0"/>
                <w:bCs/>
                <w:color w:val="auto"/>
                <w:kern w:val="2"/>
                <w:sz w:val="24"/>
                <w:szCs w:val="22"/>
                <w:highlight w:val="none"/>
                <w:lang w:val="en-US" w:eastAsia="zh-CN" w:bidi="ar"/>
              </w:rPr>
            </w:pPr>
            <w:r>
              <w:rPr>
                <w:rFonts w:hint="eastAsia" w:ascii="Times New Roman" w:hAnsi="Times New Roman" w:eastAsia="宋体" w:cs="Times New Roman"/>
                <w:b w:val="0"/>
                <w:bCs/>
                <w:color w:val="auto"/>
                <w:kern w:val="2"/>
                <w:sz w:val="24"/>
                <w:szCs w:val="22"/>
                <w:highlight w:val="none"/>
                <w:lang w:val="en-US" w:eastAsia="zh-CN" w:bidi="ar"/>
              </w:rPr>
              <w:t>2.3叶县廉村镇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color w:val="auto"/>
                <w:kern w:val="2"/>
                <w:sz w:val="24"/>
                <w:szCs w:val="22"/>
                <w:highlight w:val="none"/>
                <w:lang w:val="en-US" w:eastAsia="zh-CN" w:bidi="ar"/>
              </w:rPr>
              <w:t>接管可行性分析</w:t>
            </w:r>
          </w:p>
          <w:p w14:paraId="16300540">
            <w:pPr>
              <w:pStyle w:val="4"/>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val="0"/>
                <w:bCs/>
                <w:color w:val="auto"/>
                <w:kern w:val="2"/>
                <w:sz w:val="24"/>
                <w:szCs w:val="22"/>
                <w:lang w:val="en-US" w:eastAsia="zh-CN" w:bidi="ar"/>
              </w:rPr>
            </w:pPr>
            <w:r>
              <w:rPr>
                <w:rFonts w:hint="eastAsia" w:ascii="Times New Roman" w:hAnsi="Times New Roman" w:eastAsia="宋体" w:cs="Times New Roman"/>
                <w:b w:val="0"/>
                <w:bCs/>
                <w:color w:val="auto"/>
                <w:kern w:val="2"/>
                <w:sz w:val="24"/>
                <w:szCs w:val="22"/>
                <w:lang w:val="en-US" w:eastAsia="zh-CN" w:bidi="ar"/>
              </w:rPr>
              <w:t>①叶县廉村镇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color w:val="auto"/>
                <w:kern w:val="2"/>
                <w:sz w:val="24"/>
                <w:szCs w:val="22"/>
                <w:lang w:val="en-US" w:eastAsia="zh-CN" w:bidi="ar"/>
              </w:rPr>
              <w:t>概述</w:t>
            </w:r>
          </w:p>
          <w:p w14:paraId="6CF7FB5E">
            <w:pPr>
              <w:pStyle w:val="4"/>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val="0"/>
                <w:bCs w:val="0"/>
                <w:i w:val="0"/>
                <w:iCs w:val="0"/>
                <w:caps w:val="0"/>
                <w:color w:val="000000"/>
                <w:spacing w:val="0"/>
                <w:sz w:val="24"/>
                <w:szCs w:val="24"/>
              </w:rPr>
            </w:pPr>
            <w:r>
              <w:rPr>
                <w:rFonts w:hint="default" w:ascii="Times New Roman" w:hAnsi="Times New Roman" w:eastAsia="宋体" w:cs="Times New Roman"/>
                <w:b w:val="0"/>
                <w:bCs w:val="0"/>
                <w:i w:val="0"/>
                <w:iCs w:val="0"/>
                <w:caps w:val="0"/>
                <w:color w:val="000000"/>
                <w:spacing w:val="0"/>
                <w:sz w:val="24"/>
                <w:szCs w:val="24"/>
              </w:rPr>
              <w:t>本项目位于平顶山市叶县</w:t>
            </w:r>
            <w:r>
              <w:rPr>
                <w:rFonts w:hint="eastAsia" w:ascii="Times New Roman" w:hAnsi="Times New Roman" w:eastAsia="宋体" w:cs="Times New Roman"/>
                <w:b w:val="0"/>
                <w:bCs w:val="0"/>
                <w:i w:val="0"/>
                <w:iCs w:val="0"/>
                <w:caps w:val="0"/>
                <w:color w:val="000000"/>
                <w:spacing w:val="0"/>
                <w:sz w:val="24"/>
                <w:szCs w:val="24"/>
                <w:lang w:val="en-US" w:eastAsia="zh-CN"/>
              </w:rPr>
              <w:t>廉村镇沙渡口村二组1号</w:t>
            </w:r>
            <w:r>
              <w:rPr>
                <w:rFonts w:hint="default" w:ascii="Times New Roman" w:hAnsi="Times New Roman" w:eastAsia="宋体" w:cs="Times New Roman"/>
                <w:b w:val="0"/>
                <w:bCs w:val="0"/>
                <w:i w:val="0"/>
                <w:iCs w:val="0"/>
                <w:caps w:val="0"/>
                <w:color w:val="000000"/>
                <w:spacing w:val="0"/>
                <w:sz w:val="24"/>
                <w:szCs w:val="24"/>
              </w:rPr>
              <w:t>，处于</w:t>
            </w:r>
            <w:r>
              <w:rPr>
                <w:rFonts w:hint="eastAsia" w:ascii="Times New Roman" w:hAnsi="Times New Roman" w:eastAsia="宋体" w:cs="Times New Roman"/>
                <w:b w:val="0"/>
                <w:bCs w:val="0"/>
                <w:i w:val="0"/>
                <w:iCs w:val="0"/>
                <w:caps w:val="0"/>
                <w:color w:val="000000"/>
                <w:spacing w:val="0"/>
                <w:sz w:val="24"/>
                <w:szCs w:val="24"/>
                <w:lang w:val="en-US" w:eastAsia="zh-CN"/>
              </w:rPr>
              <w:t>叶县廉村镇</w:t>
            </w:r>
            <w:r>
              <w:rPr>
                <w:rFonts w:hint="default" w:ascii="Times New Roman" w:hAnsi="Times New Roman" w:eastAsia="宋体" w:cs="Times New Roman"/>
                <w:b w:val="0"/>
                <w:bCs w:val="0"/>
                <w:i w:val="0"/>
                <w:iCs w:val="0"/>
                <w:caps w:val="0"/>
                <w:color w:val="000000"/>
                <w:spacing w:val="0"/>
                <w:sz w:val="24"/>
                <w:szCs w:val="24"/>
              </w:rPr>
              <w:t>污水处理</w:t>
            </w:r>
            <w:r>
              <w:rPr>
                <w:rFonts w:hint="eastAsia" w:ascii="Times New Roman" w:hAnsi="Times New Roman" w:eastAsia="宋体" w:cs="Times New Roman"/>
                <w:b w:val="0"/>
                <w:bCs w:val="0"/>
                <w:i w:val="0"/>
                <w:iCs w:val="0"/>
                <w:caps w:val="0"/>
                <w:color w:val="000000"/>
                <w:spacing w:val="0"/>
                <w:sz w:val="24"/>
                <w:szCs w:val="24"/>
                <w:lang w:val="en-US" w:eastAsia="zh-CN"/>
              </w:rPr>
              <w:t>站</w:t>
            </w:r>
            <w:r>
              <w:rPr>
                <w:rFonts w:hint="default" w:ascii="Times New Roman" w:hAnsi="Times New Roman" w:eastAsia="宋体" w:cs="Times New Roman"/>
                <w:b w:val="0"/>
                <w:bCs w:val="0"/>
                <w:i w:val="0"/>
                <w:iCs w:val="0"/>
                <w:caps w:val="0"/>
                <w:color w:val="000000"/>
                <w:spacing w:val="0"/>
                <w:sz w:val="24"/>
                <w:szCs w:val="24"/>
              </w:rPr>
              <w:t>收水范围内</w:t>
            </w:r>
            <w:r>
              <w:rPr>
                <w:rFonts w:hint="eastAsia" w:ascii="Times New Roman" w:hAnsi="Times New Roman" w:eastAsia="宋体" w:cs="Times New Roman"/>
                <w:b w:val="0"/>
                <w:bCs w:val="0"/>
                <w:i w:val="0"/>
                <w:iCs w:val="0"/>
                <w:caps w:val="0"/>
                <w:color w:val="000000"/>
                <w:spacing w:val="0"/>
                <w:sz w:val="24"/>
                <w:szCs w:val="24"/>
                <w:lang w:eastAsia="zh-CN"/>
              </w:rPr>
              <w:t>，</w:t>
            </w:r>
            <w:r>
              <w:rPr>
                <w:rFonts w:hint="default" w:ascii="Times New Roman" w:hAnsi="Times New Roman" w:eastAsia="宋体" w:cs="Times New Roman"/>
                <w:b w:val="0"/>
                <w:bCs w:val="0"/>
                <w:i w:val="0"/>
                <w:iCs w:val="0"/>
                <w:caps w:val="0"/>
                <w:color w:val="000000"/>
                <w:spacing w:val="0"/>
                <w:sz w:val="24"/>
                <w:szCs w:val="24"/>
              </w:rPr>
              <w:t>污水管网</w:t>
            </w:r>
            <w:r>
              <w:rPr>
                <w:rFonts w:hint="eastAsia" w:ascii="Times New Roman" w:hAnsi="Times New Roman" w:eastAsia="宋体" w:cs="Times New Roman"/>
                <w:b w:val="0"/>
                <w:bCs w:val="0"/>
                <w:i w:val="0"/>
                <w:iCs w:val="0"/>
                <w:caps w:val="0"/>
                <w:color w:val="000000"/>
                <w:spacing w:val="0"/>
                <w:sz w:val="24"/>
                <w:szCs w:val="24"/>
                <w:lang w:val="en-US" w:eastAsia="zh-CN"/>
              </w:rPr>
              <w:t>正在铺设</w:t>
            </w:r>
            <w:r>
              <w:rPr>
                <w:rFonts w:hint="default" w:ascii="Times New Roman" w:hAnsi="Times New Roman" w:eastAsia="宋体" w:cs="Times New Roman"/>
                <w:b w:val="0"/>
                <w:bCs w:val="0"/>
                <w:i w:val="0"/>
                <w:iCs w:val="0"/>
                <w:caps w:val="0"/>
                <w:color w:val="000000"/>
                <w:spacing w:val="0"/>
                <w:sz w:val="24"/>
                <w:szCs w:val="24"/>
              </w:rPr>
              <w:t>，项目废水可通过污水管网排放叶县</w:t>
            </w:r>
            <w:r>
              <w:rPr>
                <w:rFonts w:hint="eastAsia" w:ascii="Times New Roman" w:hAnsi="Times New Roman" w:eastAsia="宋体" w:cs="Times New Roman"/>
                <w:b w:val="0"/>
                <w:bCs w:val="0"/>
                <w:i w:val="0"/>
                <w:iCs w:val="0"/>
                <w:caps w:val="0"/>
                <w:color w:val="000000"/>
                <w:spacing w:val="0"/>
                <w:sz w:val="24"/>
                <w:szCs w:val="24"/>
                <w:lang w:val="en-US" w:eastAsia="zh-CN"/>
              </w:rPr>
              <w:t>廉村镇</w:t>
            </w:r>
            <w:r>
              <w:rPr>
                <w:rFonts w:hint="default" w:ascii="Times New Roman" w:hAnsi="Times New Roman" w:eastAsia="宋体" w:cs="Times New Roman"/>
                <w:b w:val="0"/>
                <w:bCs w:val="0"/>
                <w:i w:val="0"/>
                <w:iCs w:val="0"/>
                <w:caps w:val="0"/>
                <w:color w:val="000000"/>
                <w:spacing w:val="0"/>
                <w:sz w:val="24"/>
                <w:szCs w:val="24"/>
              </w:rPr>
              <w:t>污水处理</w:t>
            </w:r>
            <w:r>
              <w:rPr>
                <w:rFonts w:hint="eastAsia" w:ascii="Times New Roman" w:hAnsi="Times New Roman" w:eastAsia="宋体" w:cs="Times New Roman"/>
                <w:b w:val="0"/>
                <w:bCs w:val="0"/>
                <w:i w:val="0"/>
                <w:iCs w:val="0"/>
                <w:caps w:val="0"/>
                <w:color w:val="000000"/>
                <w:spacing w:val="0"/>
                <w:sz w:val="24"/>
                <w:szCs w:val="24"/>
                <w:lang w:val="en-US" w:eastAsia="zh-CN"/>
              </w:rPr>
              <w:t>站</w:t>
            </w:r>
            <w:r>
              <w:rPr>
                <w:rFonts w:hint="default" w:ascii="Times New Roman" w:hAnsi="Times New Roman" w:eastAsia="宋体" w:cs="Times New Roman"/>
                <w:b w:val="0"/>
                <w:bCs w:val="0"/>
                <w:i w:val="0"/>
                <w:iCs w:val="0"/>
                <w:caps w:val="0"/>
                <w:color w:val="000000"/>
                <w:spacing w:val="0"/>
                <w:sz w:val="24"/>
                <w:szCs w:val="24"/>
              </w:rPr>
              <w:t>。</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建设地点位于叶县</w:t>
            </w:r>
            <w:r>
              <w:rPr>
                <w:rFonts w:hint="eastAsia" w:ascii="Times New Roman" w:hAnsi="Times New Roman" w:eastAsia="宋体" w:cs="Times New Roman"/>
                <w:b w:val="0"/>
                <w:bCs w:val="0"/>
                <w:i w:val="0"/>
                <w:iCs w:val="0"/>
                <w:caps w:val="0"/>
                <w:color w:val="000000"/>
                <w:spacing w:val="0"/>
                <w:sz w:val="24"/>
                <w:szCs w:val="24"/>
                <w:lang w:val="en-US" w:eastAsia="zh-CN"/>
              </w:rPr>
              <w:t>廉村镇上</w:t>
            </w:r>
            <w:r>
              <w:rPr>
                <w:rFonts w:hint="default" w:ascii="Times New Roman" w:hAnsi="Times New Roman" w:eastAsia="宋体" w:cs="Times New Roman"/>
                <w:b w:val="0"/>
                <w:bCs w:val="0"/>
                <w:i w:val="0"/>
                <w:iCs w:val="0"/>
                <w:caps w:val="0"/>
                <w:color w:val="000000"/>
                <w:spacing w:val="0"/>
                <w:sz w:val="24"/>
                <w:szCs w:val="24"/>
              </w:rPr>
              <w:t>，污水处理采用</w:t>
            </w:r>
            <w:r>
              <w:rPr>
                <w:rFonts w:hint="eastAsia" w:ascii="Times New Roman" w:hAnsi="Times New Roman" w:eastAsia="宋体" w:cs="Times New Roman"/>
                <w:b w:val="0"/>
                <w:bCs w:val="0"/>
                <w:i w:val="0"/>
                <w:iCs w:val="0"/>
                <w:caps w:val="0"/>
                <w:color w:val="000000"/>
                <w:spacing w:val="0"/>
                <w:sz w:val="24"/>
                <w:szCs w:val="24"/>
                <w:lang w:val="en-US" w:eastAsia="zh-CN"/>
              </w:rPr>
              <w:t>分散式一体化污水处理站设施</w:t>
            </w:r>
            <w:r>
              <w:rPr>
                <w:rFonts w:hint="default" w:ascii="Times New Roman" w:hAnsi="Times New Roman" w:eastAsia="宋体" w:cs="Times New Roman"/>
                <w:b w:val="0"/>
                <w:bCs w:val="0"/>
                <w:i w:val="0"/>
                <w:iCs w:val="0"/>
                <w:caps w:val="0"/>
                <w:color w:val="000000"/>
                <w:spacing w:val="0"/>
                <w:sz w:val="24"/>
                <w:szCs w:val="24"/>
              </w:rPr>
              <w:t>，出水水质满足《</w:t>
            </w:r>
            <w:r>
              <w:rPr>
                <w:rFonts w:hint="eastAsia" w:ascii="Times New Roman" w:hAnsi="Times New Roman" w:eastAsia="宋体" w:cs="Times New Roman"/>
                <w:b w:val="0"/>
                <w:bCs w:val="0"/>
                <w:i w:val="0"/>
                <w:iCs w:val="0"/>
                <w:caps w:val="0"/>
                <w:color w:val="000000"/>
                <w:spacing w:val="0"/>
                <w:sz w:val="24"/>
                <w:szCs w:val="24"/>
                <w:lang w:val="en-US" w:eastAsia="zh-CN"/>
              </w:rPr>
              <w:t>农村生活污水处理设施水污染排放标准</w:t>
            </w:r>
            <w:r>
              <w:rPr>
                <w:rFonts w:hint="default" w:ascii="Times New Roman" w:hAnsi="Times New Roman" w:eastAsia="宋体" w:cs="Times New Roman"/>
                <w:b w:val="0"/>
                <w:bCs w:val="0"/>
                <w:i w:val="0"/>
                <w:iCs w:val="0"/>
                <w:caps w:val="0"/>
                <w:color w:val="000000"/>
                <w:spacing w:val="0"/>
                <w:sz w:val="24"/>
                <w:szCs w:val="24"/>
              </w:rPr>
              <w:t>》（</w:t>
            </w:r>
            <w:r>
              <w:rPr>
                <w:rFonts w:hint="eastAsia" w:ascii="Times New Roman" w:hAnsi="Times New Roman" w:eastAsia="宋体" w:cs="Times New Roman"/>
                <w:b w:val="0"/>
                <w:bCs w:val="0"/>
                <w:i w:val="0"/>
                <w:iCs w:val="0"/>
                <w:caps w:val="0"/>
                <w:color w:val="000000"/>
                <w:spacing w:val="0"/>
                <w:sz w:val="24"/>
                <w:szCs w:val="24"/>
                <w:lang w:val="en-US" w:eastAsia="zh-CN"/>
              </w:rPr>
              <w:t>D</w:t>
            </w:r>
            <w:r>
              <w:rPr>
                <w:rFonts w:hint="default" w:ascii="Times New Roman" w:hAnsi="Times New Roman" w:eastAsia="宋体" w:cs="Times New Roman"/>
                <w:b w:val="0"/>
                <w:bCs w:val="0"/>
                <w:i w:val="0"/>
                <w:iCs w:val="0"/>
                <w:caps w:val="0"/>
                <w:color w:val="000000"/>
                <w:spacing w:val="0"/>
                <w:sz w:val="24"/>
                <w:szCs w:val="24"/>
              </w:rPr>
              <w:t>B</w:t>
            </w:r>
            <w:r>
              <w:rPr>
                <w:rFonts w:hint="eastAsia" w:ascii="Times New Roman" w:hAnsi="Times New Roman" w:eastAsia="宋体" w:cs="Times New Roman"/>
                <w:b w:val="0"/>
                <w:bCs w:val="0"/>
                <w:i w:val="0"/>
                <w:iCs w:val="0"/>
                <w:caps w:val="0"/>
                <w:color w:val="000000"/>
                <w:spacing w:val="0"/>
                <w:sz w:val="24"/>
                <w:szCs w:val="24"/>
                <w:lang w:val="en-US" w:eastAsia="zh-CN"/>
              </w:rPr>
              <w:t>41/1820</w:t>
            </w:r>
            <w:r>
              <w:rPr>
                <w:rFonts w:hint="default" w:ascii="Times New Roman" w:hAnsi="Times New Roman" w:eastAsia="宋体" w:cs="Times New Roman"/>
                <w:b w:val="0"/>
                <w:bCs w:val="0"/>
                <w:i w:val="0"/>
                <w:iCs w:val="0"/>
                <w:caps w:val="0"/>
                <w:color w:val="000000"/>
                <w:spacing w:val="0"/>
                <w:sz w:val="24"/>
                <w:szCs w:val="24"/>
              </w:rPr>
              <w:t>-2</w:t>
            </w:r>
            <w:r>
              <w:rPr>
                <w:rFonts w:hint="eastAsia" w:ascii="Times New Roman" w:hAnsi="Times New Roman" w:eastAsia="宋体" w:cs="Times New Roman"/>
                <w:b w:val="0"/>
                <w:bCs w:val="0"/>
                <w:i w:val="0"/>
                <w:iCs w:val="0"/>
                <w:caps w:val="0"/>
                <w:color w:val="000000"/>
                <w:spacing w:val="0"/>
                <w:sz w:val="24"/>
                <w:szCs w:val="24"/>
                <w:lang w:val="en-US" w:eastAsia="zh-CN"/>
              </w:rPr>
              <w:t>19</w:t>
            </w:r>
            <w:r>
              <w:rPr>
                <w:rFonts w:hint="default" w:ascii="Times New Roman" w:hAnsi="Times New Roman" w:eastAsia="宋体" w:cs="Times New Roman"/>
                <w:b w:val="0"/>
                <w:bCs w:val="0"/>
                <w:i w:val="0"/>
                <w:iCs w:val="0"/>
                <w:caps w:val="0"/>
                <w:color w:val="000000"/>
                <w:spacing w:val="0"/>
                <w:sz w:val="24"/>
                <w:szCs w:val="24"/>
              </w:rPr>
              <w:t>2）</w:t>
            </w:r>
            <w:r>
              <w:rPr>
                <w:rFonts w:hint="eastAsia" w:ascii="Times New Roman" w:hAnsi="Times New Roman" w:eastAsia="宋体" w:cs="Times New Roman"/>
                <w:b w:val="0"/>
                <w:bCs w:val="0"/>
                <w:i w:val="0"/>
                <w:iCs w:val="0"/>
                <w:caps w:val="0"/>
                <w:color w:val="000000"/>
                <w:spacing w:val="0"/>
                <w:sz w:val="24"/>
                <w:szCs w:val="24"/>
                <w:lang w:val="en-US" w:eastAsia="zh-CN"/>
              </w:rPr>
              <w:t>表1三</w:t>
            </w:r>
            <w:r>
              <w:rPr>
                <w:rFonts w:hint="default" w:ascii="Times New Roman" w:hAnsi="Times New Roman" w:eastAsia="宋体" w:cs="Times New Roman"/>
                <w:b w:val="0"/>
                <w:bCs w:val="0"/>
                <w:i w:val="0"/>
                <w:iCs w:val="0"/>
                <w:caps w:val="0"/>
                <w:color w:val="000000"/>
                <w:spacing w:val="0"/>
                <w:sz w:val="24"/>
                <w:szCs w:val="24"/>
              </w:rPr>
              <w:t>级标准。</w:t>
            </w:r>
          </w:p>
          <w:p w14:paraId="0C905EEF">
            <w:pPr>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2"/>
                <w:lang w:val="en-US" w:eastAsia="zh-CN" w:bidi="ar"/>
              </w:rPr>
            </w:pPr>
            <w:r>
              <w:rPr>
                <w:rFonts w:hint="eastAsia" w:ascii="宋体" w:hAnsi="宋体" w:eastAsia="宋体" w:cs="宋体"/>
                <w:b w:val="0"/>
                <w:bCs w:val="0"/>
                <w:color w:val="auto"/>
                <w:kern w:val="2"/>
                <w:sz w:val="24"/>
                <w:szCs w:val="22"/>
                <w:lang w:val="en-US" w:eastAsia="zh-CN" w:bidi="ar"/>
              </w:rPr>
              <w:t>②</w:t>
            </w:r>
            <w:r>
              <w:rPr>
                <w:rFonts w:hint="eastAsia" w:ascii="宋体" w:hAnsi="宋体" w:cs="宋体"/>
                <w:b w:val="0"/>
                <w:bCs w:val="0"/>
                <w:color w:val="auto"/>
                <w:kern w:val="2"/>
                <w:sz w:val="24"/>
                <w:szCs w:val="22"/>
                <w:lang w:val="en-US" w:eastAsia="zh-CN" w:bidi="ar"/>
              </w:rPr>
              <w:t>接收</w:t>
            </w:r>
            <w:r>
              <w:rPr>
                <w:rFonts w:hint="eastAsia" w:ascii="宋体" w:hAnsi="宋体" w:eastAsia="宋体" w:cs="宋体"/>
                <w:b w:val="0"/>
                <w:bCs w:val="0"/>
                <w:color w:val="auto"/>
                <w:kern w:val="2"/>
                <w:sz w:val="24"/>
                <w:szCs w:val="22"/>
                <w:lang w:val="en-US" w:eastAsia="zh-CN" w:bidi="ar"/>
              </w:rPr>
              <w:t>可行性分析</w:t>
            </w:r>
          </w:p>
          <w:p w14:paraId="07456775">
            <w:pPr>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i w:val="0"/>
                <w:iCs w:val="0"/>
                <w:caps w:val="0"/>
                <w:color w:val="000000"/>
                <w:spacing w:val="0"/>
                <w:sz w:val="24"/>
                <w:szCs w:val="24"/>
              </w:rPr>
            </w:pPr>
            <w:r>
              <w:rPr>
                <w:rFonts w:hint="eastAsia" w:ascii="Times New Roman" w:hAnsi="Times New Roman" w:cs="Times New Roman"/>
                <w:b w:val="0"/>
                <w:bCs/>
                <w:color w:val="auto"/>
                <w:kern w:val="2"/>
                <w:sz w:val="24"/>
                <w:szCs w:val="22"/>
                <w:highlight w:val="none"/>
                <w:lang w:val="en-US" w:eastAsia="zh-CN" w:bidi="ar"/>
              </w:rPr>
              <w:t>本项目与</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eastAsia" w:ascii="Times New Roman" w:hAnsi="Times New Roman" w:cs="Times New Roman"/>
                <w:b w:val="0"/>
                <w:bCs/>
                <w:color w:val="auto"/>
                <w:kern w:val="2"/>
                <w:sz w:val="24"/>
                <w:szCs w:val="22"/>
                <w:highlight w:val="none"/>
                <w:lang w:val="en-US" w:eastAsia="zh-CN" w:bidi="ar"/>
              </w:rPr>
              <w:t>所属部门政府已签订污水接纳处理协议，同意接收叶县嘉航食品有限公司所产生的废水（见附件3）</w:t>
            </w:r>
            <w:r>
              <w:rPr>
                <w:rFonts w:hint="default" w:ascii="Times New Roman" w:hAnsi="Times New Roman" w:eastAsia="宋体" w:cs="Times New Roman"/>
                <w:b w:val="0"/>
                <w:bCs w:val="0"/>
                <w:i w:val="0"/>
                <w:iCs w:val="0"/>
                <w:caps w:val="0"/>
                <w:color w:val="000000"/>
                <w:spacing w:val="0"/>
                <w:sz w:val="24"/>
                <w:szCs w:val="24"/>
              </w:rPr>
              <w:t>。</w:t>
            </w:r>
          </w:p>
          <w:p w14:paraId="11BB2F40">
            <w:pPr>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kern w:val="2"/>
                <w:sz w:val="24"/>
                <w:szCs w:val="22"/>
                <w:lang w:val="en-US" w:eastAsia="zh-CN" w:bidi="ar"/>
              </w:rPr>
            </w:pPr>
            <w:r>
              <w:rPr>
                <w:rFonts w:hint="eastAsia" w:ascii="宋体" w:hAnsi="宋体" w:eastAsia="宋体" w:cs="宋体"/>
                <w:b w:val="0"/>
                <w:bCs w:val="0"/>
                <w:color w:val="auto"/>
                <w:kern w:val="2"/>
                <w:sz w:val="24"/>
                <w:szCs w:val="22"/>
                <w:lang w:val="en-US" w:eastAsia="zh-CN" w:bidi="ar"/>
              </w:rPr>
              <w:t>③水质可行性分析</w:t>
            </w:r>
          </w:p>
          <w:p w14:paraId="70A3AF67">
            <w:pPr>
              <w:pStyle w:val="4"/>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
              </w:rPr>
            </w:pP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污水进水水质要求为COD</w:t>
            </w:r>
            <w:r>
              <w:rPr>
                <w:rFonts w:hint="eastAsia" w:ascii="Times New Roman" w:hAnsi="Times New Roman" w:eastAsia="宋体" w:cs="Times New Roman"/>
                <w:b w:val="0"/>
                <w:bCs w:val="0"/>
                <w:i w:val="0"/>
                <w:iCs w:val="0"/>
                <w:caps w:val="0"/>
                <w:color w:val="000000"/>
                <w:spacing w:val="0"/>
                <w:sz w:val="24"/>
                <w:szCs w:val="24"/>
                <w:lang w:eastAsia="zh-CN"/>
              </w:rPr>
              <w:t>：</w:t>
            </w:r>
            <w:r>
              <w:rPr>
                <w:rFonts w:hint="default" w:ascii="Times New Roman" w:hAnsi="Times New Roman" w:eastAsia="宋体" w:cs="Times New Roman"/>
                <w:b w:val="0"/>
                <w:bCs w:val="0"/>
                <w:i w:val="0"/>
                <w:iCs w:val="0"/>
                <w:caps w:val="0"/>
                <w:color w:val="000000"/>
                <w:spacing w:val="0"/>
                <w:sz w:val="24"/>
                <w:szCs w:val="24"/>
              </w:rPr>
              <w:t>3</w:t>
            </w:r>
            <w:r>
              <w:rPr>
                <w:rFonts w:hint="eastAsia" w:ascii="Times New Roman" w:hAnsi="Times New Roman" w:eastAsia="宋体" w:cs="Times New Roman"/>
                <w:b w:val="0"/>
                <w:bCs w:val="0"/>
                <w:i w:val="0"/>
                <w:iCs w:val="0"/>
                <w:caps w:val="0"/>
                <w:color w:val="000000"/>
                <w:spacing w:val="0"/>
                <w:sz w:val="24"/>
                <w:szCs w:val="24"/>
                <w:lang w:val="en-US" w:eastAsia="zh-CN"/>
              </w:rPr>
              <w:t>0</w:t>
            </w:r>
            <w:r>
              <w:rPr>
                <w:rFonts w:hint="default" w:ascii="Times New Roman" w:hAnsi="Times New Roman" w:eastAsia="宋体" w:cs="Times New Roman"/>
                <w:b w:val="0"/>
                <w:bCs w:val="0"/>
                <w:i w:val="0"/>
                <w:iCs w:val="0"/>
                <w:caps w:val="0"/>
                <w:color w:val="000000"/>
                <w:spacing w:val="0"/>
                <w:sz w:val="24"/>
                <w:szCs w:val="24"/>
              </w:rPr>
              <w:t>0mg/L，SS</w:t>
            </w:r>
            <w:r>
              <w:rPr>
                <w:rFonts w:hint="eastAsia" w:ascii="Times New Roman" w:hAnsi="Times New Roman" w:eastAsia="宋体" w:cs="Times New Roman"/>
                <w:b w:val="0"/>
                <w:bCs w:val="0"/>
                <w:i w:val="0"/>
                <w:iCs w:val="0"/>
                <w:caps w:val="0"/>
                <w:color w:val="000000"/>
                <w:spacing w:val="0"/>
                <w:sz w:val="24"/>
                <w:szCs w:val="24"/>
                <w:lang w:eastAsia="zh-CN"/>
              </w:rPr>
              <w:t>：</w:t>
            </w:r>
            <w:r>
              <w:rPr>
                <w:rFonts w:hint="eastAsia" w:ascii="Times New Roman" w:hAnsi="Times New Roman" w:eastAsia="宋体" w:cs="Times New Roman"/>
                <w:b w:val="0"/>
                <w:bCs w:val="0"/>
                <w:i w:val="0"/>
                <w:iCs w:val="0"/>
                <w:caps w:val="0"/>
                <w:color w:val="000000"/>
                <w:spacing w:val="0"/>
                <w:sz w:val="24"/>
                <w:szCs w:val="24"/>
                <w:lang w:val="en-US" w:eastAsia="zh-CN"/>
              </w:rPr>
              <w:t>20</w:t>
            </w:r>
            <w:r>
              <w:rPr>
                <w:rFonts w:hint="default" w:ascii="Times New Roman" w:hAnsi="Times New Roman" w:eastAsia="宋体" w:cs="Times New Roman"/>
                <w:b w:val="0"/>
                <w:bCs w:val="0"/>
                <w:i w:val="0"/>
                <w:iCs w:val="0"/>
                <w:caps w:val="0"/>
                <w:color w:val="000000"/>
                <w:spacing w:val="0"/>
                <w:sz w:val="24"/>
                <w:szCs w:val="24"/>
              </w:rPr>
              <w:t>0mg/L，</w:t>
            </w:r>
            <w:r>
              <w:rPr>
                <w:rFonts w:hint="eastAsia" w:ascii="Times New Roman" w:hAnsi="Times New Roman" w:eastAsia="宋体" w:cs="Times New Roman"/>
                <w:b w:val="0"/>
                <w:bCs w:val="0"/>
                <w:i w:val="0"/>
                <w:iCs w:val="0"/>
                <w:caps w:val="0"/>
                <w:color w:val="000000"/>
                <w:spacing w:val="0"/>
                <w:sz w:val="24"/>
                <w:szCs w:val="24"/>
                <w:lang w:val="en-US" w:eastAsia="zh-CN"/>
              </w:rPr>
              <w:t>氨氮：5</w:t>
            </w:r>
            <w:r>
              <w:rPr>
                <w:rFonts w:hint="default" w:ascii="Times New Roman" w:hAnsi="Times New Roman" w:eastAsia="宋体" w:cs="Times New Roman"/>
                <w:b w:val="0"/>
                <w:bCs w:val="0"/>
                <w:i w:val="0"/>
                <w:iCs w:val="0"/>
                <w:caps w:val="0"/>
                <w:color w:val="000000"/>
                <w:spacing w:val="0"/>
                <w:sz w:val="24"/>
                <w:szCs w:val="24"/>
              </w:rPr>
              <w:t>0mg/L，BOD</w:t>
            </w:r>
            <w:r>
              <w:rPr>
                <w:rFonts w:hint="default" w:ascii="Times New Roman" w:hAnsi="Times New Roman" w:eastAsia="宋体" w:cs="Times New Roman"/>
                <w:b w:val="0"/>
                <w:bCs w:val="0"/>
                <w:i w:val="0"/>
                <w:iCs w:val="0"/>
                <w:caps w:val="0"/>
                <w:color w:val="000000"/>
                <w:spacing w:val="0"/>
                <w:sz w:val="24"/>
                <w:szCs w:val="24"/>
                <w:vertAlign w:val="subscript"/>
              </w:rPr>
              <w:t>5</w:t>
            </w:r>
            <w:r>
              <w:rPr>
                <w:rFonts w:hint="eastAsia" w:ascii="Times New Roman" w:hAnsi="Times New Roman" w:eastAsia="宋体" w:cs="Times New Roman"/>
                <w:b w:val="0"/>
                <w:bCs w:val="0"/>
                <w:i w:val="0"/>
                <w:iCs w:val="0"/>
                <w:caps w:val="0"/>
                <w:color w:val="000000"/>
                <w:spacing w:val="0"/>
                <w:sz w:val="24"/>
                <w:szCs w:val="24"/>
                <w:vertAlign w:val="baseline"/>
                <w:lang w:eastAsia="zh-CN"/>
              </w:rPr>
              <w:t>：</w:t>
            </w:r>
            <w:r>
              <w:rPr>
                <w:rFonts w:hint="eastAsia" w:ascii="Times New Roman" w:hAnsi="Times New Roman" w:eastAsia="宋体" w:cs="Times New Roman"/>
                <w:b w:val="0"/>
                <w:bCs w:val="0"/>
                <w:i w:val="0"/>
                <w:iCs w:val="0"/>
                <w:caps w:val="0"/>
                <w:color w:val="000000"/>
                <w:spacing w:val="0"/>
                <w:sz w:val="24"/>
                <w:szCs w:val="24"/>
                <w:vertAlign w:val="baseline"/>
                <w:lang w:val="en-US" w:eastAsia="zh-CN"/>
              </w:rPr>
              <w:t>20</w:t>
            </w:r>
            <w:r>
              <w:rPr>
                <w:rFonts w:hint="default" w:ascii="Times New Roman" w:hAnsi="Times New Roman" w:eastAsia="宋体" w:cs="Times New Roman"/>
                <w:b w:val="0"/>
                <w:bCs w:val="0"/>
                <w:i w:val="0"/>
                <w:iCs w:val="0"/>
                <w:caps w:val="0"/>
                <w:color w:val="000000"/>
                <w:spacing w:val="0"/>
                <w:sz w:val="24"/>
                <w:szCs w:val="24"/>
              </w:rPr>
              <w:t>0mg/L，</w:t>
            </w:r>
            <w:r>
              <w:rPr>
                <w:rFonts w:hint="default" w:ascii="Times New Roman" w:hAnsi="Times New Roman" w:eastAsia="宋体" w:cs="Times New Roman"/>
                <w:b w:val="0"/>
                <w:bCs/>
                <w:spacing w:val="-12"/>
                <w:sz w:val="24"/>
                <w:szCs w:val="24"/>
                <w:u w:val="none"/>
              </w:rPr>
              <w:t>外排废水可满足</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spacing w:val="-12"/>
                <w:sz w:val="24"/>
                <w:szCs w:val="24"/>
                <w:u w:val="none"/>
                <w:lang w:val="en-US" w:eastAsia="zh-CN"/>
              </w:rPr>
              <w:t>进水水质</w:t>
            </w:r>
            <w:r>
              <w:rPr>
                <w:rFonts w:hint="default" w:ascii="Times New Roman" w:hAnsi="Times New Roman" w:eastAsia="宋体" w:cs="Times New Roman"/>
                <w:b w:val="0"/>
                <w:bCs/>
                <w:spacing w:val="-10"/>
                <w:sz w:val="24"/>
                <w:szCs w:val="24"/>
                <w:u w:val="none"/>
              </w:rPr>
              <w:t>标准</w:t>
            </w:r>
            <w:r>
              <w:rPr>
                <w:rFonts w:hint="default" w:ascii="Times New Roman" w:hAnsi="Times New Roman" w:eastAsia="宋体" w:cs="Times New Roman"/>
                <w:b w:val="0"/>
                <w:bCs/>
                <w:spacing w:val="-10"/>
                <w:sz w:val="24"/>
                <w:szCs w:val="24"/>
                <w:u w:val="none"/>
                <w:lang w:val="en-US" w:eastAsia="zh-CN"/>
              </w:rPr>
              <w:t>和《污水综合排放标准》（GB8978-1996）表4三级标准</w:t>
            </w:r>
            <w:r>
              <w:rPr>
                <w:rFonts w:hint="default" w:ascii="Times New Roman" w:hAnsi="Times New Roman" w:eastAsia="宋体" w:cs="Times New Roman"/>
                <w:b w:val="0"/>
                <w:bCs/>
                <w:sz w:val="24"/>
                <w:szCs w:val="24"/>
                <w:u w:val="none"/>
              </w:rPr>
              <w:t>的要求</w:t>
            </w:r>
            <w:r>
              <w:rPr>
                <w:rFonts w:hint="default" w:ascii="Times New Roman" w:hAnsi="Times New Roman" w:eastAsia="宋体" w:cs="Times New Roman"/>
                <w:b w:val="0"/>
                <w:bCs w:val="0"/>
                <w:i w:val="0"/>
                <w:iCs w:val="0"/>
                <w:caps w:val="0"/>
                <w:color w:val="000000"/>
                <w:spacing w:val="0"/>
                <w:sz w:val="24"/>
                <w:szCs w:val="24"/>
              </w:rPr>
              <w:t>。综上所述，</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已</w:t>
            </w:r>
            <w:r>
              <w:rPr>
                <w:rFonts w:hint="eastAsia" w:ascii="Times New Roman" w:hAnsi="Times New Roman" w:eastAsia="宋体" w:cs="Times New Roman"/>
                <w:b w:val="0"/>
                <w:bCs w:val="0"/>
                <w:i w:val="0"/>
                <w:iCs w:val="0"/>
                <w:caps w:val="0"/>
                <w:color w:val="000000"/>
                <w:spacing w:val="0"/>
                <w:sz w:val="24"/>
                <w:szCs w:val="24"/>
                <w:lang w:val="en-US" w:eastAsia="zh-CN"/>
              </w:rPr>
              <w:t>基本建成</w:t>
            </w:r>
            <w:r>
              <w:rPr>
                <w:rFonts w:hint="default" w:ascii="Times New Roman" w:hAnsi="Times New Roman" w:eastAsia="宋体" w:cs="Times New Roman"/>
                <w:b w:val="0"/>
                <w:bCs w:val="0"/>
                <w:i w:val="0"/>
                <w:iCs w:val="0"/>
                <w:caps w:val="0"/>
                <w:color w:val="000000"/>
                <w:spacing w:val="0"/>
                <w:sz w:val="24"/>
                <w:szCs w:val="24"/>
              </w:rPr>
              <w:t>，本项目在</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收水范围内，</w:t>
            </w:r>
            <w:r>
              <w:rPr>
                <w:rFonts w:hint="eastAsia" w:ascii="Times New Roman" w:hAnsi="Times New Roman" w:eastAsia="宋体" w:cs="Times New Roman"/>
                <w:b w:val="0"/>
                <w:bCs w:val="0"/>
                <w:i w:val="0"/>
                <w:iCs w:val="0"/>
                <w:caps w:val="0"/>
                <w:color w:val="000000"/>
                <w:spacing w:val="0"/>
                <w:sz w:val="24"/>
                <w:szCs w:val="24"/>
                <w:lang w:val="en-US" w:eastAsia="zh-CN"/>
              </w:rPr>
              <w:t>待</w:t>
            </w:r>
            <w:r>
              <w:rPr>
                <w:rFonts w:hint="default" w:ascii="Times New Roman" w:hAnsi="Times New Roman" w:eastAsia="宋体" w:cs="Times New Roman"/>
                <w:b w:val="0"/>
                <w:bCs w:val="0"/>
                <w:i w:val="0"/>
                <w:iCs w:val="0"/>
                <w:caps w:val="0"/>
                <w:color w:val="000000"/>
                <w:spacing w:val="0"/>
                <w:sz w:val="24"/>
                <w:szCs w:val="24"/>
              </w:rPr>
              <w:t>污水管网</w:t>
            </w:r>
            <w:r>
              <w:rPr>
                <w:rFonts w:hint="eastAsia" w:ascii="Times New Roman" w:hAnsi="Times New Roman" w:eastAsia="宋体" w:cs="Times New Roman"/>
                <w:b w:val="0"/>
                <w:bCs w:val="0"/>
                <w:i w:val="0"/>
                <w:iCs w:val="0"/>
                <w:caps w:val="0"/>
                <w:color w:val="000000"/>
                <w:spacing w:val="0"/>
                <w:sz w:val="24"/>
                <w:szCs w:val="24"/>
                <w:lang w:val="en-US" w:eastAsia="zh-CN"/>
              </w:rPr>
              <w:t>铺设</w:t>
            </w:r>
            <w:r>
              <w:rPr>
                <w:rFonts w:hint="default" w:ascii="Times New Roman" w:hAnsi="Times New Roman" w:eastAsia="宋体" w:cs="Times New Roman"/>
                <w:b w:val="0"/>
                <w:bCs w:val="0"/>
                <w:i w:val="0"/>
                <w:iCs w:val="0"/>
                <w:caps w:val="0"/>
                <w:color w:val="000000"/>
                <w:spacing w:val="0"/>
                <w:sz w:val="24"/>
                <w:szCs w:val="24"/>
              </w:rPr>
              <w:t>完善</w:t>
            </w:r>
            <w:r>
              <w:rPr>
                <w:rFonts w:hint="eastAsia" w:ascii="Times New Roman" w:hAnsi="Times New Roman" w:eastAsia="宋体" w:cs="Times New Roman"/>
                <w:b w:val="0"/>
                <w:bCs w:val="0"/>
                <w:i w:val="0"/>
                <w:iCs w:val="0"/>
                <w:caps w:val="0"/>
                <w:color w:val="000000"/>
                <w:spacing w:val="0"/>
                <w:sz w:val="24"/>
                <w:szCs w:val="24"/>
                <w:lang w:val="en-US" w:eastAsia="zh-CN"/>
              </w:rPr>
              <w:t>时可外排至</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，本项目废水排放可以满足</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收水要求，因此，本项目废水依托</w:t>
            </w:r>
            <w:r>
              <w:rPr>
                <w:rFonts w:hint="eastAsia" w:ascii="Times New Roman" w:hAnsi="Times New Roman" w:eastAsia="宋体" w:cs="Times New Roman"/>
                <w:b w:val="0"/>
                <w:bCs/>
                <w:color w:val="auto"/>
                <w:kern w:val="2"/>
                <w:sz w:val="24"/>
                <w:szCs w:val="22"/>
                <w:highlight w:val="none"/>
                <w:lang w:val="en-US" w:eastAsia="zh-CN" w:bidi="ar"/>
              </w:rPr>
              <w:t>叶县廉村镇</w:t>
            </w:r>
            <w:r>
              <w:rPr>
                <w:rFonts w:hint="default" w:ascii="Times New Roman" w:hAnsi="Times New Roman" w:eastAsia="宋体" w:cs="Times New Roman"/>
                <w:b w:val="0"/>
                <w:bCs/>
                <w:color w:val="auto"/>
                <w:kern w:val="2"/>
                <w:sz w:val="24"/>
                <w:szCs w:val="22"/>
                <w:highlight w:val="none"/>
                <w:lang w:val="en-US" w:eastAsia="zh-CN" w:bidi="ar"/>
              </w:rPr>
              <w:t>污水处理</w:t>
            </w:r>
            <w:r>
              <w:rPr>
                <w:rFonts w:hint="eastAsia" w:ascii="Times New Roman" w:hAnsi="Times New Roman" w:eastAsia="宋体" w:cs="Times New Roman"/>
                <w:b w:val="0"/>
                <w:bCs/>
                <w:color w:val="auto"/>
                <w:kern w:val="2"/>
                <w:sz w:val="24"/>
                <w:szCs w:val="22"/>
                <w:highlight w:val="none"/>
                <w:lang w:val="en-US" w:eastAsia="zh-CN" w:bidi="ar"/>
              </w:rPr>
              <w:t>站</w:t>
            </w:r>
            <w:r>
              <w:rPr>
                <w:rFonts w:hint="default" w:ascii="Times New Roman" w:hAnsi="Times New Roman" w:eastAsia="宋体" w:cs="Times New Roman"/>
                <w:b w:val="0"/>
                <w:bCs w:val="0"/>
                <w:i w:val="0"/>
                <w:iCs w:val="0"/>
                <w:caps w:val="0"/>
                <w:color w:val="000000"/>
                <w:spacing w:val="0"/>
                <w:sz w:val="24"/>
                <w:szCs w:val="24"/>
              </w:rPr>
              <w:t>处理</w:t>
            </w:r>
            <w:r>
              <w:rPr>
                <w:rFonts w:hint="eastAsia" w:ascii="Times New Roman" w:hAnsi="Times New Roman" w:eastAsia="宋体" w:cs="Times New Roman"/>
                <w:b w:val="0"/>
                <w:bCs w:val="0"/>
                <w:i w:val="0"/>
                <w:iCs w:val="0"/>
                <w:caps w:val="0"/>
                <w:color w:val="000000"/>
                <w:spacing w:val="0"/>
                <w:sz w:val="24"/>
                <w:szCs w:val="24"/>
                <w:lang w:val="en-US" w:eastAsia="zh-CN"/>
              </w:rPr>
              <w:t>是</w:t>
            </w:r>
            <w:r>
              <w:rPr>
                <w:rFonts w:hint="default" w:ascii="Times New Roman" w:hAnsi="Times New Roman" w:eastAsia="宋体" w:cs="Times New Roman"/>
                <w:b w:val="0"/>
                <w:bCs w:val="0"/>
                <w:i w:val="0"/>
                <w:iCs w:val="0"/>
                <w:caps w:val="0"/>
                <w:color w:val="000000"/>
                <w:spacing w:val="0"/>
                <w:sz w:val="24"/>
                <w:szCs w:val="24"/>
              </w:rPr>
              <w:t>可行</w:t>
            </w:r>
            <w:r>
              <w:rPr>
                <w:rFonts w:hint="eastAsia" w:ascii="Times New Roman" w:hAnsi="Times New Roman" w:eastAsia="宋体" w:cs="Times New Roman"/>
                <w:b w:val="0"/>
                <w:bCs w:val="0"/>
                <w:i w:val="0"/>
                <w:iCs w:val="0"/>
                <w:caps w:val="0"/>
                <w:color w:val="000000"/>
                <w:spacing w:val="0"/>
                <w:sz w:val="24"/>
                <w:szCs w:val="24"/>
                <w:lang w:val="en-US" w:eastAsia="zh-CN"/>
              </w:rPr>
              <w:t>的</w:t>
            </w:r>
            <w:r>
              <w:rPr>
                <w:rFonts w:hint="default" w:ascii="Times New Roman" w:hAnsi="Times New Roman" w:eastAsia="宋体" w:cs="Times New Roman"/>
                <w:b w:val="0"/>
                <w:bCs w:val="0"/>
                <w:i w:val="0"/>
                <w:iCs w:val="0"/>
                <w:caps w:val="0"/>
                <w:color w:val="000000"/>
                <w:spacing w:val="0"/>
                <w:sz w:val="24"/>
                <w:szCs w:val="24"/>
              </w:rPr>
              <w:t>。</w:t>
            </w:r>
          </w:p>
          <w:p w14:paraId="5992EC3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综上可知，项目废水类别、污染物及污染治理设施信息见下表。</w:t>
            </w:r>
          </w:p>
          <w:p w14:paraId="32B5ECF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center"/>
              <w:textAlignment w:val="auto"/>
              <w:rPr>
                <w:rFonts w:hint="eastAsia" w:ascii="Times New Roman" w:hAnsi="Times New Roman" w:eastAsia="黑体" w:cs="黑体"/>
                <w:color w:val="auto"/>
                <w:kern w:val="0"/>
                <w:sz w:val="24"/>
                <w:szCs w:val="24"/>
                <w:lang w:val="en-US" w:eastAsia="zh-CN"/>
              </w:rPr>
            </w:pPr>
            <w:r>
              <w:rPr>
                <w:rFonts w:hint="eastAsia" w:ascii="Times New Roman" w:hAnsi="Times New Roman" w:eastAsia="黑体" w:cs="黑体"/>
                <w:color w:val="auto"/>
                <w:kern w:val="0"/>
                <w:sz w:val="24"/>
                <w:szCs w:val="24"/>
                <w:lang w:val="en-US" w:eastAsia="zh-CN"/>
              </w:rPr>
              <w:t>表4-7 废水类别、污染物及污染治理设施信息表</w:t>
            </w:r>
          </w:p>
          <w:tbl>
            <w:tblPr>
              <w:tblStyle w:val="21"/>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9"/>
              <w:gridCol w:w="621"/>
              <w:gridCol w:w="725"/>
              <w:gridCol w:w="576"/>
              <w:gridCol w:w="591"/>
              <w:gridCol w:w="635"/>
              <w:gridCol w:w="748"/>
              <w:gridCol w:w="649"/>
              <w:gridCol w:w="741"/>
              <w:gridCol w:w="670"/>
              <w:gridCol w:w="1649"/>
            </w:tblGrid>
            <w:tr w14:paraId="52B1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29" w:type="dxa"/>
                  <w:vMerge w:val="restart"/>
                  <w:tcBorders>
                    <w:tl2br w:val="nil"/>
                    <w:tr2bl w:val="nil"/>
                  </w:tcBorders>
                  <w:shd w:val="clear" w:color="auto" w:fill="auto"/>
                  <w:noWrap/>
                  <w:vAlign w:val="center"/>
                </w:tcPr>
                <w:p w14:paraId="3B19C95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序号</w:t>
                  </w:r>
                </w:p>
              </w:tc>
              <w:tc>
                <w:tcPr>
                  <w:tcW w:w="621" w:type="dxa"/>
                  <w:vMerge w:val="restart"/>
                  <w:tcBorders>
                    <w:tl2br w:val="nil"/>
                    <w:tr2bl w:val="nil"/>
                  </w:tcBorders>
                  <w:shd w:val="clear" w:color="auto" w:fill="auto"/>
                  <w:noWrap/>
                  <w:vAlign w:val="center"/>
                </w:tcPr>
                <w:p w14:paraId="76124D3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废水类别</w:t>
                  </w:r>
                </w:p>
              </w:tc>
              <w:tc>
                <w:tcPr>
                  <w:tcW w:w="725" w:type="dxa"/>
                  <w:vMerge w:val="restart"/>
                  <w:tcBorders>
                    <w:tl2br w:val="nil"/>
                    <w:tr2bl w:val="nil"/>
                  </w:tcBorders>
                  <w:shd w:val="clear" w:color="auto" w:fill="auto"/>
                  <w:noWrap/>
                  <w:vAlign w:val="center"/>
                </w:tcPr>
                <w:p w14:paraId="3EAA8F2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 种类</w:t>
                  </w:r>
                </w:p>
              </w:tc>
              <w:tc>
                <w:tcPr>
                  <w:tcW w:w="576" w:type="dxa"/>
                  <w:vMerge w:val="restart"/>
                  <w:tcBorders>
                    <w:tl2br w:val="nil"/>
                    <w:tr2bl w:val="nil"/>
                  </w:tcBorders>
                  <w:shd w:val="clear" w:color="auto" w:fill="auto"/>
                  <w:noWrap/>
                  <w:vAlign w:val="center"/>
                </w:tcPr>
                <w:p w14:paraId="74F2029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排放去向</w:t>
                  </w:r>
                </w:p>
              </w:tc>
              <w:tc>
                <w:tcPr>
                  <w:tcW w:w="591" w:type="dxa"/>
                  <w:vMerge w:val="restart"/>
                  <w:tcBorders>
                    <w:tl2br w:val="nil"/>
                    <w:tr2bl w:val="nil"/>
                  </w:tcBorders>
                  <w:shd w:val="clear" w:color="auto" w:fill="auto"/>
                  <w:noWrap/>
                  <w:vAlign w:val="center"/>
                </w:tcPr>
                <w:p w14:paraId="33ADF34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排放规律</w:t>
                  </w:r>
                </w:p>
              </w:tc>
              <w:tc>
                <w:tcPr>
                  <w:tcW w:w="2032" w:type="dxa"/>
                  <w:gridSpan w:val="3"/>
                  <w:tcBorders>
                    <w:tl2br w:val="nil"/>
                    <w:tr2bl w:val="nil"/>
                  </w:tcBorders>
                  <w:shd w:val="clear" w:color="auto" w:fill="auto"/>
                  <w:noWrap/>
                  <w:vAlign w:val="center"/>
                </w:tcPr>
                <w:p w14:paraId="13DDC84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污染治理设施</w:t>
                  </w:r>
                </w:p>
              </w:tc>
              <w:tc>
                <w:tcPr>
                  <w:tcW w:w="741" w:type="dxa"/>
                  <w:vMerge w:val="restart"/>
                  <w:tcBorders>
                    <w:tl2br w:val="nil"/>
                    <w:tr2bl w:val="nil"/>
                  </w:tcBorders>
                  <w:shd w:val="clear" w:color="auto" w:fill="auto"/>
                  <w:noWrap/>
                  <w:vAlign w:val="center"/>
                </w:tcPr>
                <w:p w14:paraId="583FCC2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排放口编号</w:t>
                  </w:r>
                </w:p>
              </w:tc>
              <w:tc>
                <w:tcPr>
                  <w:tcW w:w="670" w:type="dxa"/>
                  <w:vMerge w:val="restart"/>
                  <w:tcBorders>
                    <w:tl2br w:val="nil"/>
                    <w:tr2bl w:val="nil"/>
                  </w:tcBorders>
                  <w:shd w:val="clear" w:color="auto" w:fill="auto"/>
                  <w:noWrap/>
                  <w:vAlign w:val="center"/>
                </w:tcPr>
                <w:p w14:paraId="0ED1028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排放口设置是否符合要求</w:t>
                  </w:r>
                </w:p>
              </w:tc>
              <w:tc>
                <w:tcPr>
                  <w:tcW w:w="1649" w:type="dxa"/>
                  <w:vMerge w:val="restart"/>
                  <w:tcBorders>
                    <w:tl2br w:val="nil"/>
                    <w:tr2bl w:val="nil"/>
                  </w:tcBorders>
                  <w:shd w:val="clear" w:color="auto" w:fill="auto"/>
                  <w:noWrap/>
                  <w:vAlign w:val="center"/>
                </w:tcPr>
                <w:p w14:paraId="3BA618E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排放口</w:t>
                  </w:r>
                </w:p>
                <w:p w14:paraId="50035F5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类型</w:t>
                  </w:r>
                </w:p>
              </w:tc>
            </w:tr>
            <w:tr w14:paraId="0C98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429" w:type="dxa"/>
                  <w:vMerge w:val="continue"/>
                  <w:tcBorders>
                    <w:tl2br w:val="nil"/>
                    <w:tr2bl w:val="nil"/>
                  </w:tcBorders>
                  <w:shd w:val="clear" w:color="auto" w:fill="auto"/>
                  <w:noWrap/>
                  <w:vAlign w:val="center"/>
                </w:tcPr>
                <w:p w14:paraId="1DFBCC8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621" w:type="dxa"/>
                  <w:vMerge w:val="continue"/>
                  <w:tcBorders>
                    <w:tl2br w:val="nil"/>
                    <w:tr2bl w:val="nil"/>
                  </w:tcBorders>
                  <w:shd w:val="clear" w:color="auto" w:fill="auto"/>
                  <w:noWrap/>
                  <w:vAlign w:val="center"/>
                </w:tcPr>
                <w:p w14:paraId="12EE41C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725" w:type="dxa"/>
                  <w:vMerge w:val="continue"/>
                  <w:tcBorders>
                    <w:tl2br w:val="nil"/>
                    <w:tr2bl w:val="nil"/>
                  </w:tcBorders>
                  <w:shd w:val="clear" w:color="auto" w:fill="auto"/>
                  <w:noWrap/>
                  <w:vAlign w:val="center"/>
                </w:tcPr>
                <w:p w14:paraId="12DD216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576" w:type="dxa"/>
                  <w:vMerge w:val="continue"/>
                  <w:tcBorders>
                    <w:tl2br w:val="nil"/>
                    <w:tr2bl w:val="nil"/>
                  </w:tcBorders>
                  <w:shd w:val="clear" w:color="auto" w:fill="auto"/>
                  <w:noWrap/>
                  <w:vAlign w:val="center"/>
                </w:tcPr>
                <w:p w14:paraId="383A0F6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591" w:type="dxa"/>
                  <w:vMerge w:val="continue"/>
                  <w:tcBorders>
                    <w:tl2br w:val="nil"/>
                    <w:tr2bl w:val="nil"/>
                  </w:tcBorders>
                  <w:shd w:val="clear" w:color="auto" w:fill="auto"/>
                  <w:noWrap/>
                  <w:vAlign w:val="center"/>
                </w:tcPr>
                <w:p w14:paraId="6C3E1F0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635" w:type="dxa"/>
                  <w:tcBorders>
                    <w:tl2br w:val="nil"/>
                    <w:tr2bl w:val="nil"/>
                  </w:tcBorders>
                  <w:shd w:val="clear" w:color="auto" w:fill="auto"/>
                  <w:noWrap/>
                  <w:vAlign w:val="center"/>
                </w:tcPr>
                <w:p w14:paraId="631A743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污染治理设施编号</w:t>
                  </w:r>
                </w:p>
              </w:tc>
              <w:tc>
                <w:tcPr>
                  <w:tcW w:w="748" w:type="dxa"/>
                  <w:tcBorders>
                    <w:tl2br w:val="nil"/>
                    <w:tr2bl w:val="nil"/>
                  </w:tcBorders>
                  <w:shd w:val="clear" w:color="auto" w:fill="auto"/>
                  <w:noWrap/>
                  <w:vAlign w:val="center"/>
                </w:tcPr>
                <w:p w14:paraId="269EBDA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污染治理设施名称</w:t>
                  </w:r>
                </w:p>
              </w:tc>
              <w:tc>
                <w:tcPr>
                  <w:tcW w:w="649" w:type="dxa"/>
                  <w:tcBorders>
                    <w:tl2br w:val="nil"/>
                    <w:tr2bl w:val="nil"/>
                  </w:tcBorders>
                  <w:shd w:val="clear" w:color="auto" w:fill="auto"/>
                  <w:noWrap/>
                  <w:vAlign w:val="center"/>
                </w:tcPr>
                <w:p w14:paraId="38DE3B2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污染治理设施工艺</w:t>
                  </w:r>
                </w:p>
              </w:tc>
              <w:tc>
                <w:tcPr>
                  <w:tcW w:w="741" w:type="dxa"/>
                  <w:vMerge w:val="continue"/>
                  <w:tcBorders>
                    <w:tl2br w:val="nil"/>
                    <w:tr2bl w:val="nil"/>
                  </w:tcBorders>
                  <w:shd w:val="clear" w:color="auto" w:fill="auto"/>
                  <w:noWrap/>
                  <w:vAlign w:val="center"/>
                </w:tcPr>
                <w:p w14:paraId="283E22A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670" w:type="dxa"/>
                  <w:vMerge w:val="continue"/>
                  <w:tcBorders>
                    <w:tl2br w:val="nil"/>
                    <w:tr2bl w:val="nil"/>
                  </w:tcBorders>
                  <w:shd w:val="clear" w:color="auto" w:fill="auto"/>
                  <w:noWrap/>
                  <w:vAlign w:val="center"/>
                </w:tcPr>
                <w:p w14:paraId="4F0FA50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649" w:type="dxa"/>
                  <w:vMerge w:val="continue"/>
                  <w:tcBorders>
                    <w:tl2br w:val="nil"/>
                    <w:tr2bl w:val="nil"/>
                  </w:tcBorders>
                  <w:shd w:val="clear" w:color="auto" w:fill="auto"/>
                  <w:noWrap/>
                  <w:vAlign w:val="center"/>
                </w:tcPr>
                <w:p w14:paraId="6B2B13D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r>
            <w:tr w14:paraId="59C2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7" w:hRule="atLeast"/>
                <w:jc w:val="center"/>
              </w:trPr>
              <w:tc>
                <w:tcPr>
                  <w:tcW w:w="429" w:type="dxa"/>
                  <w:tcBorders>
                    <w:tl2br w:val="nil"/>
                    <w:tr2bl w:val="nil"/>
                  </w:tcBorders>
                  <w:shd w:val="clear" w:color="auto" w:fill="auto"/>
                  <w:noWrap/>
                  <w:vAlign w:val="center"/>
                </w:tcPr>
                <w:p w14:paraId="212FFEA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621" w:type="dxa"/>
                  <w:tcBorders>
                    <w:tl2br w:val="nil"/>
                    <w:tr2bl w:val="nil"/>
                  </w:tcBorders>
                  <w:shd w:val="clear" w:color="auto" w:fill="auto"/>
                  <w:noWrap/>
                  <w:vAlign w:val="center"/>
                </w:tcPr>
                <w:p w14:paraId="26999FF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生产</w:t>
                  </w:r>
                  <w:r>
                    <w:rPr>
                      <w:rFonts w:hint="eastAsia" w:ascii="Times New Roman" w:hAnsi="Times New Roman" w:eastAsia="宋体" w:cs="Times New Roman"/>
                      <w:color w:val="auto"/>
                      <w:kern w:val="0"/>
                      <w:sz w:val="21"/>
                      <w:szCs w:val="21"/>
                      <w:lang w:val="en-US" w:eastAsia="zh-CN" w:bidi="ar-SA"/>
                    </w:rPr>
                    <w:t>废水、生活污水</w:t>
                  </w:r>
                </w:p>
              </w:tc>
              <w:tc>
                <w:tcPr>
                  <w:tcW w:w="725" w:type="dxa"/>
                  <w:tcBorders>
                    <w:tl2br w:val="nil"/>
                    <w:tr2bl w:val="nil"/>
                  </w:tcBorders>
                  <w:shd w:val="clear" w:color="auto" w:fill="auto"/>
                  <w:noWrap/>
                  <w:vAlign w:val="center"/>
                </w:tcPr>
                <w:p w14:paraId="61CA829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COD</w:t>
                  </w:r>
                </w:p>
                <w:p w14:paraId="0D25C61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氨氮BOD</w:t>
                  </w:r>
                </w:p>
                <w:p w14:paraId="235234B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SS</w:t>
                  </w:r>
                </w:p>
              </w:tc>
              <w:tc>
                <w:tcPr>
                  <w:tcW w:w="576" w:type="dxa"/>
                  <w:tcBorders>
                    <w:tl2br w:val="nil"/>
                    <w:tr2bl w:val="nil"/>
                  </w:tcBorders>
                  <w:shd w:val="clear" w:color="auto" w:fill="auto"/>
                  <w:noWrap/>
                  <w:vAlign w:val="center"/>
                </w:tcPr>
                <w:p w14:paraId="4777537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叶县</w:t>
                  </w:r>
                  <w:r>
                    <w:rPr>
                      <w:rFonts w:hint="eastAsia" w:ascii="Times New Roman" w:hAnsi="Times New Roman" w:cs="Times New Roman"/>
                      <w:color w:val="auto"/>
                      <w:kern w:val="0"/>
                      <w:sz w:val="21"/>
                      <w:szCs w:val="21"/>
                      <w:lang w:val="en-US" w:eastAsia="zh-CN" w:bidi="ar-SA"/>
                    </w:rPr>
                    <w:t>廉村镇</w:t>
                  </w:r>
                  <w:r>
                    <w:rPr>
                      <w:rFonts w:hint="eastAsia" w:ascii="Times New Roman" w:hAnsi="Times New Roman" w:eastAsia="宋体" w:cs="Times New Roman"/>
                      <w:color w:val="auto"/>
                      <w:kern w:val="0"/>
                      <w:sz w:val="21"/>
                      <w:szCs w:val="21"/>
                      <w:lang w:val="en-US" w:eastAsia="zh-CN" w:bidi="ar-SA"/>
                    </w:rPr>
                    <w:t>污水处理</w:t>
                  </w:r>
                  <w:r>
                    <w:rPr>
                      <w:rFonts w:hint="eastAsia" w:ascii="Times New Roman" w:hAnsi="Times New Roman" w:cs="Times New Roman"/>
                      <w:color w:val="auto"/>
                      <w:kern w:val="0"/>
                      <w:sz w:val="21"/>
                      <w:szCs w:val="21"/>
                      <w:lang w:val="en-US" w:eastAsia="zh-CN" w:bidi="ar-SA"/>
                    </w:rPr>
                    <w:t>站</w:t>
                  </w:r>
                </w:p>
              </w:tc>
              <w:tc>
                <w:tcPr>
                  <w:tcW w:w="591" w:type="dxa"/>
                  <w:tcBorders>
                    <w:tl2br w:val="nil"/>
                    <w:tr2bl w:val="nil"/>
                  </w:tcBorders>
                  <w:shd w:val="clear" w:color="auto" w:fill="auto"/>
                  <w:noWrap/>
                  <w:vAlign w:val="center"/>
                </w:tcPr>
                <w:p w14:paraId="05D6396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间接排放</w:t>
                  </w:r>
                </w:p>
              </w:tc>
              <w:tc>
                <w:tcPr>
                  <w:tcW w:w="635" w:type="dxa"/>
                  <w:tcBorders>
                    <w:tl2br w:val="nil"/>
                    <w:tr2bl w:val="nil"/>
                  </w:tcBorders>
                  <w:shd w:val="clear" w:color="auto" w:fill="auto"/>
                  <w:noWrap/>
                  <w:vAlign w:val="center"/>
                </w:tcPr>
                <w:p w14:paraId="6C24DAC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TW 001</w:t>
                  </w:r>
                </w:p>
              </w:tc>
              <w:tc>
                <w:tcPr>
                  <w:tcW w:w="1397" w:type="dxa"/>
                  <w:gridSpan w:val="2"/>
                  <w:tcBorders>
                    <w:tl2br w:val="nil"/>
                    <w:tr2bl w:val="nil"/>
                  </w:tcBorders>
                  <w:shd w:val="clear" w:color="auto" w:fill="auto"/>
                  <w:noWrap/>
                  <w:vAlign w:val="center"/>
                </w:tcPr>
                <w:p w14:paraId="35B3988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废水处理设施</w:t>
                  </w:r>
                  <w:r>
                    <w:rPr>
                      <w:rFonts w:hint="eastAsia" w:ascii="Times New Roman" w:hAnsi="Times New Roman" w:eastAsia="宋体" w:cs="Times New Roman"/>
                      <w:color w:val="auto"/>
                      <w:kern w:val="0"/>
                      <w:sz w:val="21"/>
                      <w:szCs w:val="21"/>
                      <w:lang w:val="en-US" w:eastAsia="zh-CN" w:bidi="ar-SA"/>
                    </w:rPr>
                    <w:t>、</w:t>
                  </w:r>
                </w:p>
                <w:p w14:paraId="5454BF6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化粪池</w:t>
                  </w:r>
                </w:p>
              </w:tc>
              <w:tc>
                <w:tcPr>
                  <w:tcW w:w="741" w:type="dxa"/>
                  <w:tcBorders>
                    <w:tl2br w:val="nil"/>
                    <w:tr2bl w:val="nil"/>
                  </w:tcBorders>
                  <w:shd w:val="clear" w:color="auto" w:fill="auto"/>
                  <w:noWrap/>
                  <w:vAlign w:val="center"/>
                </w:tcPr>
                <w:p w14:paraId="02F2D7B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DW001</w:t>
                  </w:r>
                </w:p>
              </w:tc>
              <w:tc>
                <w:tcPr>
                  <w:tcW w:w="670" w:type="dxa"/>
                  <w:tcBorders>
                    <w:tl2br w:val="nil"/>
                    <w:tr2bl w:val="nil"/>
                  </w:tcBorders>
                  <w:shd w:val="clear" w:color="auto" w:fill="auto"/>
                  <w:noWrap/>
                  <w:vAlign w:val="center"/>
                </w:tcPr>
                <w:p w14:paraId="01867C0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sym w:font="Wingdings 2" w:char="0052"/>
                  </w:r>
                  <w:r>
                    <w:rPr>
                      <w:rFonts w:hint="eastAsia" w:ascii="Times New Roman" w:hAnsi="Times New Roman" w:eastAsia="宋体" w:cs="Times New Roman"/>
                      <w:color w:val="auto"/>
                      <w:kern w:val="0"/>
                      <w:sz w:val="21"/>
                      <w:szCs w:val="21"/>
                      <w:lang w:val="en-US" w:eastAsia="zh-CN" w:bidi="ar-SA"/>
                    </w:rPr>
                    <w:t>是</w:t>
                  </w:r>
                </w:p>
                <w:p w14:paraId="079ACAC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□否</w:t>
                  </w:r>
                </w:p>
              </w:tc>
              <w:tc>
                <w:tcPr>
                  <w:tcW w:w="1649" w:type="dxa"/>
                  <w:tcBorders>
                    <w:tl2br w:val="nil"/>
                    <w:tr2bl w:val="nil"/>
                  </w:tcBorders>
                  <w:shd w:val="clear" w:color="auto" w:fill="auto"/>
                  <w:noWrap/>
                  <w:vAlign w:val="center"/>
                </w:tcPr>
                <w:p w14:paraId="608613C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sym w:font="Wingdings 2" w:char="0052"/>
                  </w:r>
                  <w:r>
                    <w:rPr>
                      <w:rFonts w:hint="eastAsia" w:ascii="Times New Roman" w:hAnsi="Times New Roman" w:eastAsia="宋体" w:cs="Times New Roman"/>
                      <w:color w:val="auto"/>
                      <w:kern w:val="0"/>
                      <w:sz w:val="21"/>
                      <w:szCs w:val="21"/>
                      <w:lang w:val="en-US" w:eastAsia="zh-CN" w:bidi="ar-SA"/>
                    </w:rPr>
                    <w:t>企业总排</w:t>
                  </w:r>
                </w:p>
                <w:p w14:paraId="3BF3CAB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□雨水排放</w:t>
                  </w:r>
                </w:p>
                <w:p w14:paraId="7C3AD67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□淸净下水雛</w:t>
                  </w:r>
                </w:p>
                <w:p w14:paraId="6A06360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□温排水排放</w:t>
                  </w:r>
                </w:p>
                <w:p w14:paraId="2D3AA5C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□车间或车间处理设施排放口</w:t>
                  </w:r>
                </w:p>
              </w:tc>
            </w:tr>
          </w:tbl>
          <w:p w14:paraId="00ED59B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center"/>
              <w:textAlignment w:val="auto"/>
              <w:rPr>
                <w:rFonts w:hint="eastAsia" w:ascii="Times New Roman" w:hAnsi="Times New Roman" w:eastAsia="黑体" w:cs="黑体"/>
                <w:color w:val="auto"/>
                <w:kern w:val="0"/>
                <w:sz w:val="24"/>
                <w:szCs w:val="24"/>
                <w:highlight w:val="none"/>
                <w:lang w:val="en-US" w:eastAsia="zh-CN"/>
              </w:rPr>
            </w:pPr>
            <w:r>
              <w:rPr>
                <w:rFonts w:hint="eastAsia" w:ascii="Times New Roman" w:hAnsi="Times New Roman" w:eastAsia="黑体" w:cs="黑体"/>
                <w:color w:val="auto"/>
                <w:kern w:val="0"/>
                <w:sz w:val="24"/>
                <w:szCs w:val="24"/>
                <w:highlight w:val="none"/>
                <w:lang w:val="en-US" w:eastAsia="zh-CN"/>
              </w:rPr>
              <w:t>表4-8 废水间接排放口基本情况表</w:t>
            </w:r>
          </w:p>
          <w:tbl>
            <w:tblPr>
              <w:tblStyle w:val="21"/>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2"/>
              <w:gridCol w:w="792"/>
              <w:gridCol w:w="1010"/>
              <w:gridCol w:w="842"/>
              <w:gridCol w:w="764"/>
              <w:gridCol w:w="551"/>
              <w:gridCol w:w="885"/>
              <w:gridCol w:w="394"/>
              <w:gridCol w:w="523"/>
              <w:gridCol w:w="777"/>
              <w:gridCol w:w="1126"/>
            </w:tblGrid>
            <w:tr w14:paraId="235F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372" w:type="dxa"/>
                  <w:vMerge w:val="restart"/>
                  <w:tcBorders>
                    <w:top w:val="single" w:color="auto" w:sz="4" w:space="0"/>
                    <w:left w:val="single" w:color="auto" w:sz="4" w:space="0"/>
                    <w:bottom w:val="single" w:color="auto" w:sz="4" w:space="0"/>
                    <w:right w:val="single" w:color="auto" w:sz="4" w:space="0"/>
                  </w:tcBorders>
                  <w:noWrap w:val="0"/>
                  <w:vAlign w:val="center"/>
                </w:tcPr>
                <w:p w14:paraId="24191AB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序号</w:t>
                  </w:r>
                </w:p>
              </w:tc>
              <w:tc>
                <w:tcPr>
                  <w:tcW w:w="792" w:type="dxa"/>
                  <w:vMerge w:val="restart"/>
                  <w:tcBorders>
                    <w:top w:val="single" w:color="auto" w:sz="4" w:space="0"/>
                    <w:left w:val="single" w:color="auto" w:sz="4" w:space="0"/>
                    <w:bottom w:val="single" w:color="auto" w:sz="4" w:space="0"/>
                    <w:right w:val="single" w:color="auto" w:sz="4" w:space="0"/>
                  </w:tcBorders>
                  <w:noWrap w:val="0"/>
                  <w:vAlign w:val="center"/>
                </w:tcPr>
                <w:p w14:paraId="25A7A5D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排放口</w:t>
                  </w:r>
                </w:p>
                <w:p w14:paraId="1E22D76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编号</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6A9C4EF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排放口地理坐标</w:t>
                  </w:r>
                </w:p>
              </w:tc>
              <w:tc>
                <w:tcPr>
                  <w:tcW w:w="764" w:type="dxa"/>
                  <w:vMerge w:val="restart"/>
                  <w:tcBorders>
                    <w:top w:val="single" w:color="auto" w:sz="4" w:space="0"/>
                    <w:left w:val="single" w:color="auto" w:sz="4" w:space="0"/>
                    <w:bottom w:val="single" w:color="auto" w:sz="4" w:space="0"/>
                    <w:right w:val="single" w:color="auto" w:sz="4" w:space="0"/>
                  </w:tcBorders>
                  <w:noWrap w:val="0"/>
                  <w:vAlign w:val="center"/>
                </w:tcPr>
                <w:p w14:paraId="4255824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废水排放量</w:t>
                  </w:r>
                </w:p>
                <w:p w14:paraId="5B738B4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（t/a）</w:t>
                  </w:r>
                </w:p>
              </w:tc>
              <w:tc>
                <w:tcPr>
                  <w:tcW w:w="551" w:type="dxa"/>
                  <w:vMerge w:val="restart"/>
                  <w:tcBorders>
                    <w:top w:val="single" w:color="auto" w:sz="4" w:space="0"/>
                    <w:left w:val="single" w:color="auto" w:sz="4" w:space="0"/>
                    <w:bottom w:val="single" w:color="auto" w:sz="4" w:space="0"/>
                    <w:right w:val="single" w:color="auto" w:sz="4" w:space="0"/>
                  </w:tcBorders>
                  <w:noWrap w:val="0"/>
                  <w:vAlign w:val="center"/>
                </w:tcPr>
                <w:p w14:paraId="2D646A1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w:t>
                  </w:r>
                </w:p>
                <w:p w14:paraId="72D65F1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去向</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14:paraId="02D6266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w:t>
                  </w:r>
                </w:p>
                <w:p w14:paraId="499D82E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规律</w:t>
                  </w:r>
                </w:p>
              </w:tc>
              <w:tc>
                <w:tcPr>
                  <w:tcW w:w="394" w:type="dxa"/>
                  <w:vMerge w:val="restart"/>
                  <w:tcBorders>
                    <w:top w:val="single" w:color="auto" w:sz="4" w:space="0"/>
                    <w:left w:val="single" w:color="auto" w:sz="4" w:space="0"/>
                    <w:bottom w:val="single" w:color="auto" w:sz="4" w:space="0"/>
                    <w:right w:val="single" w:color="auto" w:sz="4" w:space="0"/>
                  </w:tcBorders>
                  <w:noWrap w:val="0"/>
                  <w:vAlign w:val="center"/>
                </w:tcPr>
                <w:p w14:paraId="389A067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间歇</w:t>
                  </w:r>
                </w:p>
                <w:p w14:paraId="3FB60CF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w:t>
                  </w:r>
                </w:p>
                <w:p w14:paraId="598C63B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时段</w:t>
                  </w:r>
                </w:p>
              </w:tc>
              <w:tc>
                <w:tcPr>
                  <w:tcW w:w="2426"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2B62AAF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受纳污水处理厂信息</w:t>
                  </w:r>
                </w:p>
              </w:tc>
            </w:tr>
            <w:tr w14:paraId="2FF5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65760D9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3D551D2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restart"/>
                  <w:tcBorders>
                    <w:top w:val="single" w:color="auto" w:sz="4" w:space="0"/>
                    <w:left w:val="single" w:color="auto" w:sz="4" w:space="0"/>
                    <w:bottom w:val="single" w:color="auto" w:sz="4" w:space="0"/>
                    <w:right w:val="single" w:color="auto" w:sz="4" w:space="0"/>
                  </w:tcBorders>
                  <w:noWrap w:val="0"/>
                  <w:vAlign w:val="center"/>
                </w:tcPr>
                <w:p w14:paraId="07A03CD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经度</w:t>
                  </w:r>
                </w:p>
              </w:tc>
              <w:tc>
                <w:tcPr>
                  <w:tcW w:w="842" w:type="dxa"/>
                  <w:vMerge w:val="restart"/>
                  <w:tcBorders>
                    <w:top w:val="single" w:color="auto" w:sz="4" w:space="0"/>
                    <w:left w:val="single" w:color="auto" w:sz="4" w:space="0"/>
                    <w:bottom w:val="single" w:color="auto" w:sz="4" w:space="0"/>
                    <w:right w:val="single" w:color="auto" w:sz="4" w:space="0"/>
                  </w:tcBorders>
                  <w:noWrap w:val="0"/>
                  <w:vAlign w:val="center"/>
                </w:tcPr>
                <w:p w14:paraId="5BF849A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纬度</w:t>
                  </w: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190276C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0AF5787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70C28B5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528BE9D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2426"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02102B8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r>
            <w:tr w14:paraId="0801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6"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54FAEF4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1EEEDB6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continue"/>
                  <w:tcBorders>
                    <w:top w:val="single" w:color="auto" w:sz="4" w:space="0"/>
                    <w:left w:val="single" w:color="auto" w:sz="4" w:space="0"/>
                    <w:bottom w:val="single" w:color="auto" w:sz="4" w:space="0"/>
                    <w:right w:val="single" w:color="auto" w:sz="4" w:space="0"/>
                  </w:tcBorders>
                  <w:noWrap w:val="0"/>
                  <w:vAlign w:val="center"/>
                </w:tcPr>
                <w:p w14:paraId="31142DA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14:paraId="51D0C33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6D64C1A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5A45EDB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0F13A86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1D0B69C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23" w:type="dxa"/>
                  <w:tcBorders>
                    <w:top w:val="single" w:color="auto" w:sz="4" w:space="0"/>
                    <w:left w:val="single" w:color="auto" w:sz="4" w:space="0"/>
                    <w:bottom w:val="single" w:color="auto" w:sz="4" w:space="0"/>
                    <w:right w:val="single" w:color="auto" w:sz="4" w:space="0"/>
                  </w:tcBorders>
                  <w:noWrap w:val="0"/>
                  <w:vAlign w:val="center"/>
                </w:tcPr>
                <w:p w14:paraId="68CB0F2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名称</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68B0700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污染物种类</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07FB13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国家或地方污染物排放</w:t>
                  </w:r>
                </w:p>
                <w:p w14:paraId="0D42761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标准浓度限值（mg/L）</w:t>
                  </w:r>
                </w:p>
              </w:tc>
            </w:tr>
            <w:tr w14:paraId="6F8E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372" w:type="dxa"/>
                  <w:vMerge w:val="restart"/>
                  <w:tcBorders>
                    <w:top w:val="single" w:color="auto" w:sz="4" w:space="0"/>
                    <w:left w:val="single" w:color="auto" w:sz="4" w:space="0"/>
                    <w:bottom w:val="single" w:color="auto" w:sz="4" w:space="0"/>
                    <w:right w:val="single" w:color="auto" w:sz="4" w:space="0"/>
                  </w:tcBorders>
                  <w:noWrap w:val="0"/>
                  <w:vAlign w:val="center"/>
                </w:tcPr>
                <w:p w14:paraId="4691E36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p>
              </w:tc>
              <w:tc>
                <w:tcPr>
                  <w:tcW w:w="792" w:type="dxa"/>
                  <w:vMerge w:val="restart"/>
                  <w:tcBorders>
                    <w:top w:val="single" w:color="auto" w:sz="4" w:space="0"/>
                    <w:left w:val="single" w:color="auto" w:sz="4" w:space="0"/>
                    <w:bottom w:val="single" w:color="auto" w:sz="4" w:space="0"/>
                    <w:right w:val="single" w:color="auto" w:sz="4" w:space="0"/>
                  </w:tcBorders>
                  <w:noWrap w:val="0"/>
                  <w:vAlign w:val="center"/>
                </w:tcPr>
                <w:p w14:paraId="3FEDC36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DW001</w:t>
                  </w:r>
                </w:p>
              </w:tc>
              <w:tc>
                <w:tcPr>
                  <w:tcW w:w="1010" w:type="dxa"/>
                  <w:vMerge w:val="restart"/>
                  <w:tcBorders>
                    <w:top w:val="single" w:color="auto" w:sz="4" w:space="0"/>
                    <w:left w:val="single" w:color="auto" w:sz="4" w:space="0"/>
                    <w:bottom w:val="single" w:color="auto" w:sz="4" w:space="0"/>
                    <w:right w:val="single" w:color="auto" w:sz="4" w:space="0"/>
                  </w:tcBorders>
                  <w:noWrap w:val="0"/>
                  <w:vAlign w:val="center"/>
                </w:tcPr>
                <w:p w14:paraId="01F1035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113</w:t>
                  </w:r>
                  <w:r>
                    <w:rPr>
                      <w:rFonts w:hint="eastAsia" w:ascii="Times New Roman" w:hAnsi="Times New Roman" w:eastAsia="宋体" w:cs="Times New Roman"/>
                      <w:sz w:val="21"/>
                      <w:szCs w:val="21"/>
                      <w:highlight w:val="none"/>
                      <w:u w:val="none"/>
                      <w:lang w:eastAsia="zh-CN"/>
                    </w:rPr>
                    <w:t>.</w:t>
                  </w:r>
                  <w:r>
                    <w:rPr>
                      <w:rFonts w:hint="eastAsia" w:ascii="Times New Roman" w:hAnsi="Times New Roman" w:eastAsia="宋体" w:cs="Times New Roman"/>
                      <w:sz w:val="21"/>
                      <w:szCs w:val="21"/>
                      <w:highlight w:val="none"/>
                      <w:u w:val="none"/>
                      <w:lang w:val="en-US" w:eastAsia="zh-CN"/>
                    </w:rPr>
                    <w:t>505</w:t>
                  </w:r>
                </w:p>
                <w:p w14:paraId="3226158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247</w:t>
                  </w:r>
                </w:p>
              </w:tc>
              <w:tc>
                <w:tcPr>
                  <w:tcW w:w="842" w:type="dxa"/>
                  <w:vMerge w:val="restart"/>
                  <w:tcBorders>
                    <w:top w:val="single" w:color="auto" w:sz="4" w:space="0"/>
                    <w:left w:val="single" w:color="auto" w:sz="4" w:space="0"/>
                    <w:bottom w:val="single" w:color="auto" w:sz="4" w:space="0"/>
                    <w:right w:val="single" w:color="auto" w:sz="4" w:space="0"/>
                  </w:tcBorders>
                  <w:noWrap w:val="0"/>
                  <w:vAlign w:val="center"/>
                </w:tcPr>
                <w:p w14:paraId="043B3CB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sz w:val="21"/>
                      <w:szCs w:val="21"/>
                      <w:highlight w:val="none"/>
                      <w:u w:val="none"/>
                      <w:lang w:val="en-US" w:eastAsia="zh-CN"/>
                    </w:rPr>
                    <w:t>33.6134496</w:t>
                  </w:r>
                </w:p>
              </w:tc>
              <w:tc>
                <w:tcPr>
                  <w:tcW w:w="764" w:type="dxa"/>
                  <w:vMerge w:val="restart"/>
                  <w:tcBorders>
                    <w:top w:val="single" w:color="auto" w:sz="4" w:space="0"/>
                    <w:left w:val="single" w:color="auto" w:sz="4" w:space="0"/>
                    <w:bottom w:val="single" w:color="auto" w:sz="4" w:space="0"/>
                    <w:right w:val="single" w:color="auto" w:sz="4" w:space="0"/>
                  </w:tcBorders>
                  <w:noWrap w:val="0"/>
                  <w:vAlign w:val="center"/>
                </w:tcPr>
                <w:p w14:paraId="1F4719F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2414.1</w:t>
                  </w:r>
                </w:p>
              </w:tc>
              <w:tc>
                <w:tcPr>
                  <w:tcW w:w="551" w:type="dxa"/>
                  <w:vMerge w:val="restart"/>
                  <w:tcBorders>
                    <w:top w:val="single" w:color="auto" w:sz="4" w:space="0"/>
                    <w:left w:val="single" w:color="auto" w:sz="4" w:space="0"/>
                    <w:bottom w:val="single" w:color="auto" w:sz="4" w:space="0"/>
                    <w:right w:val="single" w:color="auto" w:sz="4" w:space="0"/>
                  </w:tcBorders>
                  <w:noWrap w:val="0"/>
                  <w:vAlign w:val="center"/>
                </w:tcPr>
                <w:p w14:paraId="5DB20D6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叶县</w:t>
                  </w:r>
                  <w:r>
                    <w:rPr>
                      <w:rFonts w:hint="eastAsia" w:ascii="Times New Roman" w:hAnsi="Times New Roman" w:cs="Times New Roman"/>
                      <w:color w:val="auto"/>
                      <w:kern w:val="0"/>
                      <w:sz w:val="21"/>
                      <w:szCs w:val="21"/>
                      <w:highlight w:val="none"/>
                      <w:lang w:val="en-US" w:eastAsia="zh-CN" w:bidi="ar-SA"/>
                    </w:rPr>
                    <w:t>廉村镇</w:t>
                  </w:r>
                  <w:r>
                    <w:rPr>
                      <w:rFonts w:hint="eastAsia" w:ascii="Times New Roman" w:hAnsi="Times New Roman" w:eastAsia="宋体" w:cs="Times New Roman"/>
                      <w:color w:val="auto"/>
                      <w:kern w:val="0"/>
                      <w:sz w:val="21"/>
                      <w:szCs w:val="21"/>
                      <w:highlight w:val="none"/>
                      <w:lang w:val="en-US" w:eastAsia="zh-CN" w:bidi="ar-SA"/>
                    </w:rPr>
                    <w:t>污水处理</w:t>
                  </w:r>
                  <w:r>
                    <w:rPr>
                      <w:rFonts w:hint="eastAsia" w:ascii="Times New Roman" w:hAnsi="Times New Roman" w:cs="Times New Roman"/>
                      <w:color w:val="auto"/>
                      <w:kern w:val="0"/>
                      <w:sz w:val="21"/>
                      <w:szCs w:val="21"/>
                      <w:highlight w:val="none"/>
                      <w:lang w:val="en-US" w:eastAsia="zh-CN" w:bidi="ar-SA"/>
                    </w:rPr>
                    <w:t>站</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14:paraId="11C488B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间接</w:t>
                  </w:r>
                </w:p>
                <w:p w14:paraId="40F02E9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排放</w:t>
                  </w:r>
                </w:p>
              </w:tc>
              <w:tc>
                <w:tcPr>
                  <w:tcW w:w="394" w:type="dxa"/>
                  <w:vMerge w:val="restart"/>
                  <w:tcBorders>
                    <w:top w:val="single" w:color="auto" w:sz="4" w:space="0"/>
                    <w:left w:val="single" w:color="auto" w:sz="4" w:space="0"/>
                    <w:bottom w:val="single" w:color="auto" w:sz="4" w:space="0"/>
                    <w:right w:val="single" w:color="auto" w:sz="4" w:space="0"/>
                  </w:tcBorders>
                  <w:noWrap w:val="0"/>
                  <w:vAlign w:val="center"/>
                </w:tcPr>
                <w:p w14:paraId="5E0E7D0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23" w:type="dxa"/>
                  <w:vMerge w:val="restart"/>
                  <w:tcBorders>
                    <w:top w:val="single" w:color="auto" w:sz="4" w:space="0"/>
                    <w:left w:val="single" w:color="auto" w:sz="4" w:space="0"/>
                    <w:bottom w:val="single" w:color="auto" w:sz="4" w:space="0"/>
                    <w:right w:val="single" w:color="auto" w:sz="4" w:space="0"/>
                  </w:tcBorders>
                  <w:noWrap w:val="0"/>
                  <w:vAlign w:val="center"/>
                </w:tcPr>
                <w:p w14:paraId="6D514D7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叶县</w:t>
                  </w:r>
                  <w:r>
                    <w:rPr>
                      <w:rFonts w:hint="eastAsia" w:ascii="Times New Roman" w:hAnsi="Times New Roman" w:cs="Times New Roman"/>
                      <w:color w:val="auto"/>
                      <w:kern w:val="0"/>
                      <w:sz w:val="21"/>
                      <w:szCs w:val="21"/>
                      <w:highlight w:val="none"/>
                      <w:lang w:val="en-US" w:eastAsia="zh-CN" w:bidi="ar-SA"/>
                    </w:rPr>
                    <w:t>廉村镇</w:t>
                  </w:r>
                  <w:r>
                    <w:rPr>
                      <w:rFonts w:hint="eastAsia" w:ascii="Times New Roman" w:hAnsi="Times New Roman" w:eastAsia="宋体" w:cs="Times New Roman"/>
                      <w:color w:val="auto"/>
                      <w:kern w:val="0"/>
                      <w:sz w:val="21"/>
                      <w:szCs w:val="21"/>
                      <w:highlight w:val="none"/>
                      <w:lang w:val="en-US" w:eastAsia="zh-CN" w:bidi="ar-SA"/>
                    </w:rPr>
                    <w:t>污水处理</w:t>
                  </w:r>
                  <w:r>
                    <w:rPr>
                      <w:rFonts w:hint="eastAsia" w:ascii="Times New Roman" w:hAnsi="Times New Roman" w:cs="Times New Roman"/>
                      <w:color w:val="auto"/>
                      <w:kern w:val="0"/>
                      <w:sz w:val="21"/>
                      <w:szCs w:val="21"/>
                      <w:highlight w:val="none"/>
                      <w:lang w:val="en-US" w:eastAsia="zh-CN" w:bidi="ar-SA"/>
                    </w:rPr>
                    <w:t>站</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651FF8E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pH</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D5D02C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6.0~9.0</w:t>
                  </w:r>
                </w:p>
                <w:p w14:paraId="11D6332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（无量纲）</w:t>
                  </w:r>
                </w:p>
              </w:tc>
            </w:tr>
            <w:tr w14:paraId="2883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6E305D4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25D3BB7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continue"/>
                  <w:tcBorders>
                    <w:top w:val="single" w:color="auto" w:sz="4" w:space="0"/>
                    <w:left w:val="single" w:color="auto" w:sz="4" w:space="0"/>
                    <w:bottom w:val="single" w:color="auto" w:sz="4" w:space="0"/>
                    <w:right w:val="single" w:color="auto" w:sz="4" w:space="0"/>
                  </w:tcBorders>
                  <w:noWrap w:val="0"/>
                  <w:vAlign w:val="center"/>
                </w:tcPr>
                <w:p w14:paraId="7CC54F3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14:paraId="24749B7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1182059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1C9791E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54977A3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55F11CB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38F7E3F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30CFABD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COD</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BED1FF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100</w:t>
                  </w:r>
                </w:p>
              </w:tc>
            </w:tr>
            <w:tr w14:paraId="051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71CC51A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16FE069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continue"/>
                  <w:tcBorders>
                    <w:top w:val="single" w:color="auto" w:sz="4" w:space="0"/>
                    <w:left w:val="single" w:color="auto" w:sz="4" w:space="0"/>
                    <w:bottom w:val="single" w:color="auto" w:sz="4" w:space="0"/>
                    <w:right w:val="single" w:color="auto" w:sz="4" w:space="0"/>
                  </w:tcBorders>
                  <w:noWrap w:val="0"/>
                  <w:vAlign w:val="center"/>
                </w:tcPr>
                <w:p w14:paraId="0AD9271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14:paraId="7372C97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2B934BE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1E4BEE6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781858F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508C7C2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0F9A41E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0F64F9E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BOD</w:t>
                  </w:r>
                  <w:r>
                    <w:rPr>
                      <w:rFonts w:hint="eastAsia" w:ascii="Times New Roman" w:hAnsi="Times New Roman" w:eastAsia="宋体" w:cs="Times New Roman"/>
                      <w:color w:val="auto"/>
                      <w:kern w:val="0"/>
                      <w:sz w:val="21"/>
                      <w:szCs w:val="21"/>
                      <w:highlight w:val="none"/>
                      <w:vertAlign w:val="subscript"/>
                      <w:lang w:val="en-US" w:eastAsia="zh-CN" w:bidi="ar-SA"/>
                    </w:rPr>
                    <w:t>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BB94B6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w:t>
                  </w:r>
                </w:p>
              </w:tc>
            </w:tr>
            <w:tr w14:paraId="11F3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6A91BD0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050C697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continue"/>
                  <w:tcBorders>
                    <w:top w:val="single" w:color="auto" w:sz="4" w:space="0"/>
                    <w:left w:val="single" w:color="auto" w:sz="4" w:space="0"/>
                    <w:bottom w:val="single" w:color="auto" w:sz="4" w:space="0"/>
                    <w:right w:val="single" w:color="auto" w:sz="4" w:space="0"/>
                  </w:tcBorders>
                  <w:noWrap w:val="0"/>
                  <w:vAlign w:val="center"/>
                </w:tcPr>
                <w:p w14:paraId="01D6EEA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14:paraId="39015FD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11D0368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04CD985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2BE3B21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0C26B7F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4071BAC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1D06E2B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SS</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9A8D059">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50</w:t>
                  </w:r>
                </w:p>
              </w:tc>
            </w:tr>
            <w:tr w14:paraId="2EB3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jc w:val="center"/>
              </w:trPr>
              <w:tc>
                <w:tcPr>
                  <w:tcW w:w="372" w:type="dxa"/>
                  <w:vMerge w:val="continue"/>
                  <w:tcBorders>
                    <w:top w:val="single" w:color="auto" w:sz="4" w:space="0"/>
                    <w:left w:val="single" w:color="auto" w:sz="4" w:space="0"/>
                    <w:bottom w:val="single" w:color="auto" w:sz="4" w:space="0"/>
                    <w:right w:val="single" w:color="auto" w:sz="4" w:space="0"/>
                  </w:tcBorders>
                  <w:noWrap w:val="0"/>
                  <w:vAlign w:val="center"/>
                </w:tcPr>
                <w:p w14:paraId="539EC2B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1FBD96B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1010" w:type="dxa"/>
                  <w:vMerge w:val="continue"/>
                  <w:tcBorders>
                    <w:top w:val="single" w:color="auto" w:sz="4" w:space="0"/>
                    <w:left w:val="single" w:color="auto" w:sz="4" w:space="0"/>
                    <w:bottom w:val="single" w:color="auto" w:sz="4" w:space="0"/>
                    <w:right w:val="single" w:color="auto" w:sz="4" w:space="0"/>
                  </w:tcBorders>
                  <w:noWrap w:val="0"/>
                  <w:vAlign w:val="center"/>
                </w:tcPr>
                <w:p w14:paraId="6170EDE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14:paraId="3EE5C473">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14:paraId="055E246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51" w:type="dxa"/>
                  <w:vMerge w:val="continue"/>
                  <w:tcBorders>
                    <w:top w:val="single" w:color="auto" w:sz="4" w:space="0"/>
                    <w:left w:val="single" w:color="auto" w:sz="4" w:space="0"/>
                    <w:bottom w:val="single" w:color="auto" w:sz="4" w:space="0"/>
                    <w:right w:val="single" w:color="auto" w:sz="4" w:space="0"/>
                  </w:tcBorders>
                  <w:noWrap w:val="0"/>
                  <w:vAlign w:val="center"/>
                </w:tcPr>
                <w:p w14:paraId="3BF0BBBE">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14:paraId="3924535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394" w:type="dxa"/>
                  <w:vMerge w:val="continue"/>
                  <w:tcBorders>
                    <w:top w:val="single" w:color="auto" w:sz="4" w:space="0"/>
                    <w:left w:val="single" w:color="auto" w:sz="4" w:space="0"/>
                    <w:bottom w:val="single" w:color="auto" w:sz="4" w:space="0"/>
                    <w:right w:val="single" w:color="auto" w:sz="4" w:space="0"/>
                  </w:tcBorders>
                  <w:noWrap w:val="0"/>
                  <w:vAlign w:val="center"/>
                </w:tcPr>
                <w:p w14:paraId="5C84A62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61A4CF5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7C0690B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NH</w:t>
                  </w:r>
                  <w:r>
                    <w:rPr>
                      <w:rFonts w:hint="eastAsia" w:ascii="Times New Roman" w:hAnsi="Times New Roman" w:eastAsia="宋体" w:cs="Times New Roman"/>
                      <w:color w:val="auto"/>
                      <w:kern w:val="0"/>
                      <w:sz w:val="21"/>
                      <w:szCs w:val="21"/>
                      <w:highlight w:val="none"/>
                      <w:vertAlign w:val="sub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-N</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95BB2F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w:t>
                  </w:r>
                </w:p>
              </w:tc>
            </w:tr>
          </w:tbl>
          <w:p w14:paraId="21E2A15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center"/>
              <w:textAlignment w:val="auto"/>
              <w:rPr>
                <w:rFonts w:hint="eastAsia" w:ascii="Times New Roman" w:hAnsi="Times New Roman" w:eastAsia="黑体" w:cs="黑体"/>
                <w:color w:val="auto"/>
                <w:kern w:val="0"/>
                <w:sz w:val="24"/>
                <w:szCs w:val="24"/>
                <w:lang w:val="en-US" w:eastAsia="zh-CN"/>
              </w:rPr>
            </w:pPr>
            <w:r>
              <w:rPr>
                <w:rFonts w:hint="eastAsia" w:ascii="Times New Roman" w:hAnsi="Times New Roman" w:eastAsia="黑体" w:cs="黑体"/>
                <w:color w:val="auto"/>
                <w:kern w:val="0"/>
                <w:sz w:val="24"/>
                <w:szCs w:val="24"/>
                <w:lang w:val="en-US" w:eastAsia="zh-CN"/>
              </w:rPr>
              <w:t>表4-9 废水污染物排放信息表</w:t>
            </w:r>
          </w:p>
          <w:tbl>
            <w:tblPr>
              <w:tblStyle w:val="21"/>
              <w:tblW w:w="6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1591"/>
              <w:gridCol w:w="2119"/>
              <w:gridCol w:w="2126"/>
            </w:tblGrid>
            <w:tr w14:paraId="7DEE7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14:paraId="3E880A7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序号</w:t>
                  </w:r>
                </w:p>
              </w:tc>
              <w:tc>
                <w:tcPr>
                  <w:tcW w:w="1591" w:type="dxa"/>
                  <w:tcBorders>
                    <w:top w:val="single" w:color="000000" w:sz="4" w:space="0"/>
                    <w:left w:val="single" w:color="000000" w:sz="4" w:space="0"/>
                    <w:bottom w:val="single" w:color="000000" w:sz="4" w:space="0"/>
                    <w:right w:val="single" w:color="000000" w:sz="4" w:space="0"/>
                  </w:tcBorders>
                  <w:noWrap w:val="0"/>
                  <w:vAlign w:val="center"/>
                </w:tcPr>
                <w:p w14:paraId="76C1B33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排放口编号</w:t>
                  </w: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0282B727">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污染物种类</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7FF69AD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年排放量（t/a）</w:t>
                  </w:r>
                </w:p>
              </w:tc>
            </w:tr>
            <w:tr w14:paraId="47997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42" w:type="dxa"/>
                  <w:vMerge w:val="restart"/>
                  <w:tcBorders>
                    <w:top w:val="single" w:color="000000" w:sz="4" w:space="0"/>
                    <w:left w:val="single" w:color="000000" w:sz="4" w:space="0"/>
                    <w:right w:val="single" w:color="000000" w:sz="4" w:space="0"/>
                  </w:tcBorders>
                  <w:noWrap w:val="0"/>
                  <w:vAlign w:val="center"/>
                </w:tcPr>
                <w:p w14:paraId="065F175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591" w:type="dxa"/>
                  <w:vMerge w:val="restart"/>
                  <w:tcBorders>
                    <w:top w:val="single" w:color="000000" w:sz="4" w:space="0"/>
                    <w:left w:val="single" w:color="000000" w:sz="4" w:space="0"/>
                    <w:right w:val="single" w:color="000000" w:sz="4" w:space="0"/>
                  </w:tcBorders>
                  <w:noWrap w:val="0"/>
                  <w:vAlign w:val="center"/>
                </w:tcPr>
                <w:p w14:paraId="349D502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DW001</w:t>
                  </w: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64B53B4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COD</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472BD7B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0.7242</w:t>
                  </w:r>
                </w:p>
              </w:tc>
            </w:tr>
            <w:tr w14:paraId="39634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42" w:type="dxa"/>
                  <w:vMerge w:val="continue"/>
                  <w:tcBorders>
                    <w:left w:val="single" w:color="000000" w:sz="4" w:space="0"/>
                    <w:right w:val="single" w:color="000000" w:sz="4" w:space="0"/>
                  </w:tcBorders>
                  <w:noWrap w:val="0"/>
                  <w:vAlign w:val="center"/>
                </w:tcPr>
                <w:p w14:paraId="4F613BAD">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591" w:type="dxa"/>
                  <w:vMerge w:val="continue"/>
                  <w:tcBorders>
                    <w:left w:val="single" w:color="000000" w:sz="4" w:space="0"/>
                    <w:right w:val="single" w:color="000000" w:sz="4" w:space="0"/>
                  </w:tcBorders>
                  <w:noWrap w:val="0"/>
                  <w:vAlign w:val="center"/>
                </w:tcPr>
                <w:p w14:paraId="7BFCD71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042D2830">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BOD</w:t>
                  </w:r>
                  <w:r>
                    <w:rPr>
                      <w:rFonts w:hint="eastAsia" w:ascii="Times New Roman" w:hAnsi="Times New Roman" w:eastAsia="宋体" w:cs="Times New Roman"/>
                      <w:color w:val="auto"/>
                      <w:kern w:val="0"/>
                      <w:sz w:val="21"/>
                      <w:szCs w:val="21"/>
                      <w:vertAlign w:val="subscript"/>
                      <w:lang w:val="en-US" w:eastAsia="zh-CN" w:bidi="ar-SA"/>
                    </w:rPr>
                    <w:t>5</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388641C6">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0.4587</w:t>
                  </w:r>
                </w:p>
              </w:tc>
            </w:tr>
            <w:tr w14:paraId="3CCAF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42" w:type="dxa"/>
                  <w:vMerge w:val="continue"/>
                  <w:tcBorders>
                    <w:left w:val="single" w:color="000000" w:sz="4" w:space="0"/>
                    <w:right w:val="single" w:color="000000" w:sz="4" w:space="0"/>
                  </w:tcBorders>
                  <w:noWrap w:val="0"/>
                  <w:vAlign w:val="center"/>
                </w:tcPr>
                <w:p w14:paraId="6E71C672">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591" w:type="dxa"/>
                  <w:vMerge w:val="continue"/>
                  <w:tcBorders>
                    <w:left w:val="single" w:color="000000" w:sz="4" w:space="0"/>
                    <w:right w:val="single" w:color="000000" w:sz="4" w:space="0"/>
                  </w:tcBorders>
                  <w:noWrap w:val="0"/>
                  <w:vAlign w:val="center"/>
                </w:tcPr>
                <w:p w14:paraId="7654E544">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04EFCA3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SS</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01DD549F">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0.3863</w:t>
                  </w:r>
                </w:p>
              </w:tc>
            </w:tr>
            <w:tr w14:paraId="5641A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42" w:type="dxa"/>
                  <w:vMerge w:val="continue"/>
                  <w:tcBorders>
                    <w:left w:val="single" w:color="000000" w:sz="4" w:space="0"/>
                    <w:right w:val="single" w:color="000000" w:sz="4" w:space="0"/>
                  </w:tcBorders>
                  <w:noWrap w:val="0"/>
                  <w:vAlign w:val="center"/>
                </w:tcPr>
                <w:p w14:paraId="2AC28635">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591" w:type="dxa"/>
                  <w:vMerge w:val="continue"/>
                  <w:tcBorders>
                    <w:left w:val="single" w:color="000000" w:sz="4" w:space="0"/>
                    <w:right w:val="single" w:color="000000" w:sz="4" w:space="0"/>
                  </w:tcBorders>
                  <w:noWrap w:val="0"/>
                  <w:vAlign w:val="center"/>
                </w:tcPr>
                <w:p w14:paraId="5EB4D60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54862AC8">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NH</w:t>
                  </w:r>
                  <w:r>
                    <w:rPr>
                      <w:rFonts w:hint="eastAsia" w:ascii="Times New Roman" w:hAnsi="Times New Roman" w:eastAsia="宋体" w:cs="Times New Roman"/>
                      <w:color w:val="auto"/>
                      <w:kern w:val="0"/>
                      <w:sz w:val="21"/>
                      <w:szCs w:val="21"/>
                      <w:vertAlign w:val="subscript"/>
                      <w:lang w:val="en-US" w:eastAsia="zh-CN" w:bidi="ar-SA"/>
                    </w:rPr>
                    <w:t>3</w:t>
                  </w:r>
                  <w:r>
                    <w:rPr>
                      <w:rFonts w:hint="eastAsia" w:ascii="Times New Roman" w:hAnsi="Times New Roman" w:eastAsia="宋体" w:cs="Times New Roman"/>
                      <w:color w:val="auto"/>
                      <w:kern w:val="0"/>
                      <w:sz w:val="21"/>
                      <w:szCs w:val="21"/>
                      <w:vertAlign w:val="baseline"/>
                      <w:lang w:val="en-US" w:eastAsia="zh-CN" w:bidi="ar-SA"/>
                    </w:rPr>
                    <w:t>-</w:t>
                  </w:r>
                  <w:r>
                    <w:rPr>
                      <w:rFonts w:hint="eastAsia" w:ascii="Times New Roman" w:hAnsi="Times New Roman" w:eastAsia="宋体" w:cs="Times New Roman"/>
                      <w:color w:val="auto"/>
                      <w:kern w:val="0"/>
                      <w:sz w:val="21"/>
                      <w:szCs w:val="21"/>
                      <w:lang w:val="en-US" w:eastAsia="zh-CN" w:bidi="ar-SA"/>
                    </w:rPr>
                    <w:t>N</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023886E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0.0483</w:t>
                  </w:r>
                </w:p>
              </w:tc>
            </w:tr>
            <w:tr w14:paraId="0880C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42" w:type="dxa"/>
                  <w:vMerge w:val="continue"/>
                  <w:tcBorders>
                    <w:left w:val="single" w:color="000000" w:sz="4" w:space="0"/>
                    <w:bottom w:val="single" w:color="000000" w:sz="4" w:space="0"/>
                    <w:right w:val="single" w:color="000000" w:sz="4" w:space="0"/>
                  </w:tcBorders>
                  <w:noWrap w:val="0"/>
                  <w:vAlign w:val="center"/>
                </w:tcPr>
                <w:p w14:paraId="58247EEA">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1591" w:type="dxa"/>
                  <w:vMerge w:val="continue"/>
                  <w:tcBorders>
                    <w:left w:val="single" w:color="000000" w:sz="4" w:space="0"/>
                    <w:bottom w:val="single" w:color="000000" w:sz="4" w:space="0"/>
                    <w:right w:val="single" w:color="000000" w:sz="4" w:space="0"/>
                  </w:tcBorders>
                  <w:noWrap w:val="0"/>
                  <w:vAlign w:val="center"/>
                </w:tcPr>
                <w:p w14:paraId="0AA04A4B">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1"/>
                      <w:szCs w:val="21"/>
                      <w:lang w:val="en-US" w:eastAsia="zh-CN" w:bidi="ar-SA"/>
                    </w:rPr>
                  </w:pPr>
                </w:p>
              </w:tc>
              <w:tc>
                <w:tcPr>
                  <w:tcW w:w="2119" w:type="dxa"/>
                  <w:tcBorders>
                    <w:top w:val="single" w:color="000000" w:sz="4" w:space="0"/>
                    <w:left w:val="single" w:color="000000" w:sz="4" w:space="0"/>
                    <w:bottom w:val="single" w:color="000000" w:sz="4" w:space="0"/>
                    <w:right w:val="single" w:color="000000" w:sz="4" w:space="0"/>
                  </w:tcBorders>
                  <w:noWrap w:val="0"/>
                  <w:vAlign w:val="center"/>
                </w:tcPr>
                <w:p w14:paraId="609F72A1">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动植物油</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75D9BD7C">
                  <w:pPr>
                    <w:pStyle w:val="4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0.0241</w:t>
                  </w:r>
                </w:p>
              </w:tc>
            </w:tr>
          </w:tbl>
          <w:p w14:paraId="59BEB9AA">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baseline"/>
              <w:rPr>
                <w:rFonts w:hint="eastAsia" w:ascii="Times New Roman" w:hAnsi="Times New Roman"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rPr>
              <w:t>由</w:t>
            </w:r>
            <w:r>
              <w:rPr>
                <w:rFonts w:hint="eastAsia" w:ascii="Times New Roman" w:hAnsi="Times New Roman" w:cs="Times New Roman"/>
                <w:b w:val="0"/>
                <w:bCs w:val="0"/>
                <w:color w:val="000000"/>
                <w:sz w:val="24"/>
                <w:szCs w:val="24"/>
                <w:highlight w:val="none"/>
                <w:u w:val="none"/>
                <w:lang w:val="en-US" w:eastAsia="zh-CN"/>
              </w:rPr>
              <w:t>以上分析</w:t>
            </w:r>
            <w:r>
              <w:rPr>
                <w:rFonts w:hint="default" w:ascii="Times New Roman" w:hAnsi="Times New Roman" w:eastAsia="宋体" w:cs="Times New Roman"/>
                <w:b w:val="0"/>
                <w:bCs w:val="0"/>
                <w:color w:val="000000"/>
                <w:sz w:val="24"/>
                <w:szCs w:val="24"/>
                <w:highlight w:val="none"/>
                <w:u w:val="none"/>
              </w:rPr>
              <w:t>可知，本项</w:t>
            </w:r>
            <w:r>
              <w:rPr>
                <w:rFonts w:hint="default" w:ascii="Times New Roman" w:hAnsi="Times New Roman" w:eastAsia="宋体" w:cs="Times New Roman"/>
                <w:b w:val="0"/>
                <w:bCs w:val="0"/>
                <w:color w:val="000000"/>
                <w:sz w:val="24"/>
                <w:szCs w:val="24"/>
                <w:u w:val="none"/>
              </w:rPr>
              <w:t>目</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ascii="Times New Roman" w:hAnsi="Times New Roman" w:eastAsia="宋体"/>
                <w:b w:val="0"/>
                <w:bCs w:val="0"/>
                <w:color w:val="auto"/>
                <w:sz w:val="24"/>
                <w:highlight w:val="none"/>
                <w:u w:val="none"/>
                <w:lang w:eastAsia="zh-CN"/>
              </w:rPr>
              <w:t>。</w:t>
            </w:r>
            <w:r>
              <w:rPr>
                <w:rFonts w:hint="eastAsia"/>
                <w:sz w:val="24"/>
                <w:szCs w:val="24"/>
                <w:lang w:val="en-US" w:eastAsia="zh-CN"/>
              </w:rPr>
              <w:t>项目外排废水污染物浓度</w:t>
            </w:r>
            <w:r>
              <w:rPr>
                <w:rFonts w:hint="eastAsia" w:cs="Times New Roman"/>
                <w:b w:val="0"/>
                <w:bCs w:val="0"/>
                <w:color w:val="000000"/>
                <w:sz w:val="24"/>
                <w:szCs w:val="24"/>
                <w:u w:val="none"/>
                <w:lang w:val="en-US" w:eastAsia="zh-CN"/>
              </w:rPr>
              <w:t>能够满足</w:t>
            </w:r>
            <w:r>
              <w:rPr>
                <w:rFonts w:hint="eastAsia" w:cs="Times New Roman"/>
                <w:b w:val="0"/>
                <w:bCs w:val="0"/>
                <w:color w:val="auto"/>
                <w:sz w:val="24"/>
                <w:szCs w:val="24"/>
                <w:highlight w:val="none"/>
                <w:u w:val="none"/>
                <w:lang w:val="en-US" w:eastAsia="zh-CN"/>
              </w:rPr>
              <w:t>叶县廉村镇污水处理站进水水质标准和</w:t>
            </w:r>
            <w:r>
              <w:rPr>
                <w:rFonts w:hint="eastAsia" w:ascii="Times New Roman" w:hAnsi="Times New Roman" w:eastAsia="宋体" w:cs="Times New Roman"/>
                <w:color w:val="auto"/>
                <w:sz w:val="24"/>
                <w:szCs w:val="24"/>
              </w:rPr>
              <w:t>《污水综合排放标</w:t>
            </w:r>
            <w:r>
              <w:rPr>
                <w:rFonts w:hint="eastAsia" w:ascii="Times New Roman" w:hAnsi="Times New Roman" w:eastAsia="宋体" w:cs="Times New Roman"/>
                <w:color w:val="auto"/>
                <w:sz w:val="24"/>
                <w:szCs w:val="24"/>
                <w:highlight w:val="none"/>
              </w:rPr>
              <w:t>准》（GB8978-1996）表4三级</w:t>
            </w:r>
            <w:r>
              <w:rPr>
                <w:rFonts w:hint="eastAsia" w:ascii="Times New Roman" w:hAnsi="Times New Roman" w:eastAsia="宋体" w:cs="Times New Roman"/>
                <w:color w:val="auto"/>
                <w:sz w:val="24"/>
                <w:szCs w:val="24"/>
                <w:highlight w:val="none"/>
                <w:lang w:val="en-US" w:eastAsia="zh-CN"/>
              </w:rPr>
              <w:t>标准</w:t>
            </w:r>
            <w:r>
              <w:rPr>
                <w:rFonts w:hint="eastAsia" w:cs="Times New Roman"/>
                <w:color w:val="auto"/>
                <w:sz w:val="24"/>
                <w:szCs w:val="24"/>
                <w:highlight w:val="none"/>
                <w:lang w:val="en-US" w:eastAsia="zh-CN"/>
              </w:rPr>
              <w:t>要求。</w:t>
            </w:r>
            <w:r>
              <w:rPr>
                <w:rFonts w:hint="eastAsia"/>
                <w:color w:val="000000"/>
                <w:sz w:val="24"/>
                <w:szCs w:val="21"/>
                <w:highlight w:val="none"/>
                <w:u w:val="none"/>
              </w:rPr>
              <w:t>因此</w:t>
            </w:r>
            <w:r>
              <w:rPr>
                <w:rFonts w:hint="eastAsia"/>
                <w:color w:val="000000"/>
                <w:sz w:val="24"/>
                <w:szCs w:val="21"/>
                <w:highlight w:val="none"/>
                <w:u w:val="none"/>
                <w:lang w:eastAsia="zh-CN"/>
              </w:rPr>
              <w:t>，</w:t>
            </w:r>
            <w:r>
              <w:rPr>
                <w:rFonts w:hint="eastAsia"/>
                <w:color w:val="000000"/>
                <w:sz w:val="24"/>
                <w:szCs w:val="21"/>
                <w:highlight w:val="none"/>
                <w:u w:val="none"/>
              </w:rPr>
              <w:t>项目产生的废水不会对附近</w:t>
            </w:r>
            <w:r>
              <w:rPr>
                <w:rFonts w:hint="eastAsia"/>
                <w:color w:val="000000"/>
                <w:sz w:val="24"/>
                <w:szCs w:val="21"/>
                <w:highlight w:val="none"/>
                <w:u w:val="none"/>
                <w:lang w:val="en-US" w:eastAsia="zh-CN"/>
              </w:rPr>
              <w:t>清洁</w:t>
            </w:r>
            <w:r>
              <w:rPr>
                <w:rFonts w:hint="eastAsia"/>
                <w:color w:val="000000"/>
                <w:sz w:val="24"/>
                <w:szCs w:val="21"/>
                <w:highlight w:val="none"/>
                <w:u w:val="none"/>
              </w:rPr>
              <w:t>水体</w:t>
            </w:r>
            <w:r>
              <w:rPr>
                <w:rFonts w:hint="eastAsia"/>
                <w:color w:val="000000"/>
                <w:sz w:val="24"/>
                <w:szCs w:val="21"/>
                <w:highlight w:val="none"/>
                <w:u w:val="none"/>
                <w:lang w:val="en-US" w:eastAsia="zh-CN"/>
              </w:rPr>
              <w:t>和周围生态环境造成</w:t>
            </w:r>
            <w:r>
              <w:rPr>
                <w:rFonts w:hint="eastAsia"/>
                <w:color w:val="000000"/>
                <w:sz w:val="24"/>
                <w:szCs w:val="21"/>
                <w:highlight w:val="none"/>
                <w:u w:val="none"/>
              </w:rPr>
              <w:t>不良影响。</w:t>
            </w:r>
          </w:p>
          <w:p w14:paraId="1EE522F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Cs/>
                <w:iCs/>
                <w:color w:val="auto"/>
                <w:sz w:val="24"/>
                <w:szCs w:val="24"/>
                <w:highlight w:val="none"/>
              </w:rPr>
            </w:pPr>
            <w:r>
              <w:rPr>
                <w:rFonts w:hint="eastAsia" w:ascii="Times New Roman" w:hAnsi="Times New Roman" w:eastAsia="宋体"/>
                <w:b w:val="0"/>
                <w:color w:val="000000"/>
                <w:sz w:val="24"/>
                <w:szCs w:val="21"/>
                <w:highlight w:val="none"/>
                <w:lang w:val="en-US" w:eastAsia="zh-CN"/>
              </w:rPr>
              <w:t>2.4</w:t>
            </w:r>
            <w:r>
              <w:rPr>
                <w:rFonts w:hint="default" w:ascii="Times New Roman" w:hAnsi="Times New Roman" w:eastAsia="宋体" w:cs="Times New Roman"/>
                <w:bCs/>
                <w:iCs/>
                <w:color w:val="auto"/>
                <w:sz w:val="24"/>
                <w:szCs w:val="24"/>
                <w:highlight w:val="none"/>
              </w:rPr>
              <w:t>监测要求</w:t>
            </w:r>
          </w:p>
          <w:p w14:paraId="0E5E19B4">
            <w:pPr>
              <w:keepNext w:val="0"/>
              <w:keepLines w:val="0"/>
              <w:pageBreakBefore w:val="0"/>
              <w:widowControl w:val="0"/>
              <w:kinsoku/>
              <w:overflowPunct/>
              <w:topLinePunct w:val="0"/>
              <w:autoSpaceDE/>
              <w:autoSpaceDN/>
              <w:bidi w:val="0"/>
              <w:adjustRightInd/>
              <w:snapToGrid/>
              <w:spacing w:line="500" w:lineRule="exact"/>
              <w:ind w:firstLine="480" w:firstLineChars="200"/>
              <w:rPr>
                <w:rFonts w:hint="default" w:ascii="Times New Roman" w:hAnsi="Times New Roman" w:eastAsia="宋体" w:cs="Times New Roman"/>
                <w:bCs/>
                <w:iCs/>
                <w:color w:val="auto"/>
                <w:sz w:val="24"/>
                <w:szCs w:val="24"/>
                <w:lang w:eastAsia="zh-CN"/>
              </w:rPr>
            </w:pPr>
            <w:r>
              <w:rPr>
                <w:rFonts w:hint="default" w:ascii="Times New Roman" w:hAnsi="Times New Roman" w:eastAsia="宋体" w:cs="Times New Roman"/>
                <w:bCs/>
                <w:iCs/>
                <w:color w:val="auto"/>
                <w:sz w:val="24"/>
                <w:szCs w:val="24"/>
                <w:highlight w:val="none"/>
              </w:rPr>
              <w:t>根据</w:t>
            </w:r>
            <w:r>
              <w:rPr>
                <w:rFonts w:hint="default" w:ascii="Times New Roman" w:hAnsi="Times New Roman" w:eastAsia="宋体" w:cs="Times New Roman"/>
                <w:bCs/>
                <w:iCs/>
                <w:color w:val="auto"/>
                <w:sz w:val="24"/>
                <w:szCs w:val="24"/>
                <w:highlight w:val="none"/>
                <w:lang w:eastAsia="zh-CN"/>
              </w:rPr>
              <w:t>《排污</w:t>
            </w:r>
            <w:r>
              <w:rPr>
                <w:rFonts w:hint="eastAsia" w:ascii="Times New Roman" w:hAnsi="Times New Roman" w:eastAsia="宋体" w:cs="Times New Roman"/>
                <w:bCs/>
                <w:iCs/>
                <w:color w:val="auto"/>
                <w:sz w:val="24"/>
                <w:szCs w:val="24"/>
                <w:highlight w:val="none"/>
                <w:lang w:eastAsia="zh-CN"/>
              </w:rPr>
              <w:t>单位自行监测技术指南</w:t>
            </w:r>
            <w:r>
              <w:rPr>
                <w:rFonts w:hint="eastAsia" w:ascii="Times New Roman" w:hAnsi="Times New Roman" w:eastAsia="宋体" w:cs="Times New Roman"/>
                <w:bCs/>
                <w:iCs/>
                <w:color w:val="auto"/>
                <w:sz w:val="24"/>
                <w:szCs w:val="24"/>
                <w:highlight w:val="none"/>
                <w:lang w:val="en-US" w:eastAsia="zh-CN"/>
              </w:rPr>
              <w:t>总则</w:t>
            </w:r>
            <w:r>
              <w:rPr>
                <w:rFonts w:hint="default" w:ascii="Times New Roman" w:hAnsi="Times New Roman" w:eastAsia="宋体" w:cs="Times New Roman"/>
                <w:bCs/>
                <w:iCs/>
                <w:color w:val="auto"/>
                <w:sz w:val="24"/>
                <w:szCs w:val="24"/>
                <w:highlight w:val="none"/>
                <w:lang w:eastAsia="zh-CN"/>
              </w:rPr>
              <w:t>》（HJ</w:t>
            </w:r>
            <w:r>
              <w:rPr>
                <w:rFonts w:hint="eastAsia" w:ascii="Times New Roman" w:hAnsi="Times New Roman" w:eastAsia="宋体" w:cs="Times New Roman"/>
                <w:bCs/>
                <w:iCs/>
                <w:color w:val="auto"/>
                <w:sz w:val="24"/>
                <w:szCs w:val="24"/>
                <w:highlight w:val="none"/>
                <w:lang w:val="en-US" w:eastAsia="zh-CN"/>
              </w:rPr>
              <w:t>819</w:t>
            </w:r>
            <w:r>
              <w:rPr>
                <w:rFonts w:hint="default" w:ascii="Times New Roman" w:hAnsi="Times New Roman" w:eastAsia="宋体" w:cs="Times New Roman"/>
                <w:bCs/>
                <w:iCs/>
                <w:color w:val="auto"/>
                <w:sz w:val="24"/>
                <w:szCs w:val="24"/>
                <w:highlight w:val="none"/>
                <w:lang w:eastAsia="zh-CN"/>
              </w:rPr>
              <w:t>-</w:t>
            </w:r>
            <w:r>
              <w:rPr>
                <w:rFonts w:hint="eastAsia" w:ascii="Times New Roman" w:hAnsi="Times New Roman" w:eastAsia="宋体" w:cs="Times New Roman"/>
                <w:bCs/>
                <w:iCs/>
                <w:color w:val="auto"/>
                <w:sz w:val="24"/>
                <w:szCs w:val="24"/>
                <w:highlight w:val="none"/>
                <w:lang w:val="en-US" w:eastAsia="zh-CN"/>
              </w:rPr>
              <w:t>2017</w:t>
            </w:r>
            <w:r>
              <w:rPr>
                <w:rFonts w:hint="default" w:ascii="Times New Roman" w:hAnsi="Times New Roman" w:eastAsia="宋体" w:cs="Times New Roman"/>
                <w:bCs/>
                <w:iCs/>
                <w:color w:val="auto"/>
                <w:sz w:val="24"/>
                <w:szCs w:val="24"/>
                <w:highlight w:val="none"/>
                <w:lang w:eastAsia="zh-CN"/>
              </w:rPr>
              <w:t>）</w:t>
            </w:r>
            <w:r>
              <w:rPr>
                <w:rFonts w:hint="eastAsia" w:ascii="Times New Roman" w:hAnsi="Times New Roman" w:eastAsia="宋体" w:cs="Times New Roman"/>
                <w:bCs/>
                <w:iCs/>
                <w:color w:val="auto"/>
                <w:sz w:val="24"/>
                <w:szCs w:val="24"/>
                <w:highlight w:val="none"/>
                <w:lang w:val="en-US" w:eastAsia="zh-CN"/>
              </w:rPr>
              <w:t>和</w:t>
            </w:r>
            <w:r>
              <w:rPr>
                <w:rFonts w:hint="default" w:ascii="Times New Roman" w:hAnsi="Times New Roman" w:eastAsia="宋体" w:cs="Times New Roman"/>
                <w:bCs/>
                <w:iCs/>
                <w:color w:val="auto"/>
                <w:sz w:val="24"/>
                <w:szCs w:val="24"/>
                <w:highlight w:val="none"/>
                <w:lang w:eastAsia="zh-CN"/>
              </w:rPr>
              <w:t>《排污</w:t>
            </w:r>
            <w:r>
              <w:rPr>
                <w:rFonts w:hint="eastAsia" w:ascii="Times New Roman" w:hAnsi="Times New Roman" w:eastAsia="宋体" w:cs="Times New Roman"/>
                <w:bCs/>
                <w:iCs/>
                <w:color w:val="auto"/>
                <w:sz w:val="24"/>
                <w:szCs w:val="24"/>
                <w:highlight w:val="none"/>
                <w:lang w:eastAsia="zh-CN"/>
              </w:rPr>
              <w:t>单位自行监测技术指南</w:t>
            </w:r>
            <w:r>
              <w:rPr>
                <w:rFonts w:hint="eastAsia" w:ascii="Times New Roman" w:hAnsi="Times New Roman" w:eastAsia="宋体" w:cs="Times New Roman"/>
                <w:bCs/>
                <w:iCs/>
                <w:color w:val="auto"/>
                <w:sz w:val="24"/>
                <w:szCs w:val="24"/>
                <w:highlight w:val="none"/>
                <w:lang w:val="en-US" w:eastAsia="zh-CN"/>
              </w:rPr>
              <w:t xml:space="preserve"> </w:t>
            </w:r>
            <w:r>
              <w:rPr>
                <w:rFonts w:hint="eastAsia" w:cs="Times New Roman"/>
                <w:bCs/>
                <w:iCs/>
                <w:color w:val="auto"/>
                <w:sz w:val="24"/>
                <w:szCs w:val="24"/>
                <w:highlight w:val="none"/>
                <w:lang w:val="en-US" w:eastAsia="zh-CN"/>
              </w:rPr>
              <w:t>调味品、发酵品制造工业</w:t>
            </w:r>
            <w:r>
              <w:rPr>
                <w:rFonts w:hint="default" w:ascii="Times New Roman" w:hAnsi="Times New Roman" w:eastAsia="宋体" w:cs="Times New Roman"/>
                <w:bCs/>
                <w:iCs/>
                <w:color w:val="auto"/>
                <w:sz w:val="24"/>
                <w:szCs w:val="24"/>
                <w:highlight w:val="none"/>
                <w:lang w:eastAsia="zh-CN"/>
              </w:rPr>
              <w:t>》（HJ</w:t>
            </w:r>
            <w:r>
              <w:rPr>
                <w:rFonts w:hint="eastAsia" w:cs="Times New Roman"/>
                <w:bCs/>
                <w:iCs/>
                <w:color w:val="auto"/>
                <w:sz w:val="24"/>
                <w:szCs w:val="24"/>
                <w:highlight w:val="none"/>
                <w:lang w:val="en-US" w:eastAsia="zh-CN"/>
              </w:rPr>
              <w:t>1030.2</w:t>
            </w:r>
            <w:r>
              <w:rPr>
                <w:rFonts w:hint="default" w:ascii="Times New Roman" w:hAnsi="Times New Roman" w:eastAsia="宋体" w:cs="Times New Roman"/>
                <w:bCs/>
                <w:iCs/>
                <w:color w:val="auto"/>
                <w:sz w:val="24"/>
                <w:szCs w:val="24"/>
                <w:highlight w:val="none"/>
                <w:lang w:eastAsia="zh-CN"/>
              </w:rPr>
              <w:t>-</w:t>
            </w:r>
            <w:r>
              <w:rPr>
                <w:rFonts w:hint="eastAsia" w:ascii="Times New Roman" w:hAnsi="Times New Roman" w:eastAsia="宋体" w:cs="Times New Roman"/>
                <w:bCs/>
                <w:iCs/>
                <w:color w:val="auto"/>
                <w:sz w:val="24"/>
                <w:szCs w:val="24"/>
                <w:highlight w:val="none"/>
                <w:lang w:val="en-US" w:eastAsia="zh-CN"/>
              </w:rPr>
              <w:t>201</w:t>
            </w:r>
            <w:r>
              <w:rPr>
                <w:rFonts w:hint="eastAsia" w:cs="Times New Roman"/>
                <w:bCs/>
                <w:iCs/>
                <w:color w:val="auto"/>
                <w:sz w:val="24"/>
                <w:szCs w:val="24"/>
                <w:highlight w:val="none"/>
                <w:lang w:val="en-US" w:eastAsia="zh-CN"/>
              </w:rPr>
              <w:t>9</w:t>
            </w:r>
            <w:r>
              <w:rPr>
                <w:rFonts w:hint="default" w:ascii="Times New Roman" w:hAnsi="Times New Roman" w:eastAsia="宋体" w:cs="Times New Roman"/>
                <w:bCs/>
                <w:iCs/>
                <w:color w:val="auto"/>
                <w:sz w:val="24"/>
                <w:szCs w:val="24"/>
                <w:highlight w:val="none"/>
                <w:lang w:eastAsia="zh-CN"/>
              </w:rPr>
              <w:t>）</w:t>
            </w:r>
            <w:r>
              <w:rPr>
                <w:rFonts w:hint="default" w:ascii="Times New Roman" w:hAnsi="Times New Roman" w:eastAsia="宋体" w:cs="Times New Roman"/>
                <w:bCs/>
                <w:iCs/>
                <w:color w:val="auto"/>
                <w:sz w:val="24"/>
                <w:szCs w:val="24"/>
              </w:rPr>
              <w:t>，本项目</w:t>
            </w:r>
            <w:r>
              <w:rPr>
                <w:rFonts w:hint="eastAsia" w:ascii="Times New Roman" w:hAnsi="Times New Roman" w:eastAsia="宋体" w:cs="Times New Roman"/>
                <w:bCs/>
                <w:iCs/>
                <w:color w:val="auto"/>
                <w:sz w:val="24"/>
                <w:szCs w:val="24"/>
                <w:lang w:eastAsia="zh-CN"/>
              </w:rPr>
              <w:t>废水</w:t>
            </w:r>
            <w:r>
              <w:rPr>
                <w:rFonts w:hint="default" w:ascii="Times New Roman" w:hAnsi="Times New Roman" w:eastAsia="宋体" w:cs="Times New Roman"/>
                <w:bCs/>
                <w:iCs/>
                <w:color w:val="auto"/>
                <w:sz w:val="24"/>
                <w:szCs w:val="24"/>
              </w:rPr>
              <w:t>排放监测要求见</w:t>
            </w:r>
            <w:r>
              <w:rPr>
                <w:rFonts w:hint="default" w:ascii="Times New Roman" w:hAnsi="Times New Roman" w:eastAsia="宋体" w:cs="Times New Roman"/>
                <w:bCs/>
                <w:iCs/>
                <w:color w:val="auto"/>
                <w:sz w:val="24"/>
                <w:szCs w:val="24"/>
                <w:lang w:eastAsia="zh-CN"/>
              </w:rPr>
              <w:t>下表：</w:t>
            </w:r>
          </w:p>
          <w:p w14:paraId="0DB2B8B3">
            <w:pPr>
              <w:pStyle w:val="6"/>
              <w:keepNext w:val="0"/>
              <w:keepLines w:val="0"/>
              <w:pageBreakBefore w:val="0"/>
              <w:widowControl w:val="0"/>
              <w:kinsoku/>
              <w:overflowPunct/>
              <w:topLinePunct w:val="0"/>
              <w:autoSpaceDE/>
              <w:autoSpaceDN/>
              <w:bidi w:val="0"/>
              <w:adjustRightInd/>
              <w:snapToGrid/>
              <w:spacing w:line="500" w:lineRule="exact"/>
              <w:ind w:left="0" w:leftChars="0" w:firstLine="0" w:firstLineChars="0"/>
              <w:jc w:val="center"/>
              <w:rPr>
                <w:rFonts w:hint="default" w:ascii="Times New Roman" w:hAnsi="Times New Roman" w:eastAsia="黑体" w:cs="Times New Roman"/>
                <w:b w:val="0"/>
                <w:bCs/>
                <w:color w:val="auto"/>
                <w:kern w:val="0"/>
                <w:sz w:val="24"/>
                <w:szCs w:val="24"/>
                <w:lang w:val="en-US" w:eastAsia="zh-CN"/>
              </w:rPr>
            </w:pPr>
            <w:r>
              <w:rPr>
                <w:rFonts w:hint="default" w:ascii="Times New Roman" w:hAnsi="Times New Roman" w:eastAsia="黑体" w:cs="Times New Roman"/>
                <w:b w:val="0"/>
                <w:bCs/>
                <w:color w:val="auto"/>
                <w:kern w:val="0"/>
                <w:sz w:val="24"/>
                <w:szCs w:val="24"/>
                <w:lang w:val="en-US" w:eastAsia="zh-CN"/>
              </w:rPr>
              <w:t>表</w:t>
            </w:r>
            <w:r>
              <w:rPr>
                <w:rFonts w:hint="eastAsia" w:ascii="Times New Roman" w:hAnsi="Times New Roman" w:eastAsia="黑体" w:cs="Times New Roman"/>
                <w:b w:val="0"/>
                <w:bCs/>
                <w:color w:val="auto"/>
                <w:kern w:val="0"/>
                <w:sz w:val="24"/>
                <w:szCs w:val="24"/>
                <w:lang w:val="en-US" w:eastAsia="zh-CN"/>
              </w:rPr>
              <w:t>4-</w:t>
            </w:r>
            <w:r>
              <w:rPr>
                <w:rFonts w:hint="eastAsia" w:eastAsia="黑体" w:cs="Times New Roman"/>
                <w:b w:val="0"/>
                <w:bCs/>
                <w:color w:val="auto"/>
                <w:kern w:val="0"/>
                <w:sz w:val="24"/>
                <w:szCs w:val="24"/>
                <w:lang w:val="en-US" w:eastAsia="zh-CN"/>
              </w:rPr>
              <w:t>10</w:t>
            </w:r>
            <w:r>
              <w:rPr>
                <w:rFonts w:hint="default" w:ascii="Times New Roman" w:hAnsi="Times New Roman" w:eastAsia="黑体" w:cs="Times New Roman"/>
                <w:b w:val="0"/>
                <w:bCs/>
                <w:color w:val="auto"/>
                <w:kern w:val="0"/>
                <w:sz w:val="24"/>
                <w:szCs w:val="24"/>
                <w:lang w:val="en-US" w:eastAsia="zh-CN"/>
              </w:rPr>
              <w:t xml:space="preserve">  </w:t>
            </w:r>
            <w:r>
              <w:rPr>
                <w:rFonts w:hint="eastAsia" w:ascii="Times New Roman" w:hAnsi="Times New Roman" w:eastAsia="黑体" w:cs="Times New Roman"/>
                <w:b w:val="0"/>
                <w:bCs/>
                <w:color w:val="auto"/>
                <w:kern w:val="0"/>
                <w:sz w:val="24"/>
                <w:szCs w:val="24"/>
                <w:lang w:val="en-US" w:eastAsia="zh-CN"/>
              </w:rPr>
              <w:t>本项目废水</w:t>
            </w:r>
            <w:r>
              <w:rPr>
                <w:rFonts w:hint="default" w:ascii="Times New Roman" w:hAnsi="Times New Roman" w:eastAsia="黑体" w:cs="Times New Roman"/>
                <w:b w:val="0"/>
                <w:bCs/>
                <w:color w:val="auto"/>
                <w:kern w:val="0"/>
                <w:sz w:val="24"/>
                <w:szCs w:val="24"/>
                <w:lang w:val="en-US" w:eastAsia="zh-CN"/>
              </w:rPr>
              <w:t>排放监测指标及最低监测频次</w:t>
            </w:r>
          </w:p>
          <w:tbl>
            <w:tblPr>
              <w:tblStyle w:val="21"/>
              <w:tblW w:w="8064"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1449"/>
              <w:gridCol w:w="3490"/>
              <w:gridCol w:w="1143"/>
              <w:gridCol w:w="1982"/>
            </w:tblGrid>
            <w:tr w14:paraId="261F9F71">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97" w:hRule="atLeast"/>
                <w:jc w:val="center"/>
              </w:trPr>
              <w:tc>
                <w:tcPr>
                  <w:tcW w:w="1449" w:type="dxa"/>
                  <w:tcBorders>
                    <w:tl2br w:val="nil"/>
                    <w:tr2bl w:val="nil"/>
                  </w:tcBorders>
                  <w:noWrap w:val="0"/>
                  <w:vAlign w:val="center"/>
                </w:tcPr>
                <w:p w14:paraId="6C40BA9A">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3490" w:type="dxa"/>
                  <w:tcBorders>
                    <w:tl2br w:val="nil"/>
                    <w:tr2bl w:val="nil"/>
                  </w:tcBorders>
                  <w:noWrap w:val="0"/>
                  <w:vAlign w:val="center"/>
                </w:tcPr>
                <w:p w14:paraId="62412F12">
                  <w:pPr>
                    <w:keepNext w:val="0"/>
                    <w:keepLines w:val="0"/>
                    <w:pageBreakBefore w:val="0"/>
                    <w:widowControl/>
                    <w:kinsoku/>
                    <w:wordWrap/>
                    <w:overflowPunct/>
                    <w:topLinePunct w:val="0"/>
                    <w:autoSpaceDE/>
                    <w:autoSpaceDN/>
                    <w:bidi w:val="0"/>
                    <w:adjustRightInd/>
                    <w:snapToGrid/>
                    <w:spacing w:before="20" w:line="240" w:lineRule="atLeast"/>
                    <w:ind w:firstLine="210" w:firstLineChars="10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监测</w:t>
                  </w:r>
                  <w:r>
                    <w:rPr>
                      <w:rFonts w:hint="eastAsia" w:ascii="Times New Roman" w:hAnsi="Times New Roman" w:eastAsia="宋体" w:cs="Times New Roman"/>
                      <w:color w:val="auto"/>
                      <w:sz w:val="21"/>
                      <w:szCs w:val="21"/>
                      <w:highlight w:val="none"/>
                      <w:lang w:eastAsia="zh-CN"/>
                    </w:rPr>
                    <w:t>指标</w:t>
                  </w:r>
                </w:p>
              </w:tc>
              <w:tc>
                <w:tcPr>
                  <w:tcW w:w="1143" w:type="dxa"/>
                  <w:tcBorders>
                    <w:tl2br w:val="nil"/>
                    <w:tr2bl w:val="nil"/>
                  </w:tcBorders>
                  <w:noWrap w:val="0"/>
                  <w:vAlign w:val="center"/>
                </w:tcPr>
                <w:p w14:paraId="5B00294F">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排放</w:t>
                  </w:r>
                  <w:r>
                    <w:rPr>
                      <w:rFonts w:hint="eastAsia" w:ascii="Times New Roman" w:hAnsi="Times New Roman" w:eastAsia="宋体" w:cs="Times New Roman"/>
                      <w:color w:val="auto"/>
                      <w:sz w:val="21"/>
                      <w:szCs w:val="21"/>
                      <w:lang w:val="en-US" w:eastAsia="zh-CN"/>
                    </w:rPr>
                    <w:t>口</w:t>
                  </w:r>
                </w:p>
                <w:p w14:paraId="59EA9E3E">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类型</w:t>
                  </w:r>
                </w:p>
              </w:tc>
              <w:tc>
                <w:tcPr>
                  <w:tcW w:w="1982" w:type="dxa"/>
                  <w:tcBorders>
                    <w:tl2br w:val="nil"/>
                    <w:tr2bl w:val="nil"/>
                  </w:tcBorders>
                  <w:noWrap w:val="0"/>
                  <w:vAlign w:val="center"/>
                </w:tcPr>
                <w:p w14:paraId="4C352441">
                  <w:pPr>
                    <w:keepNext w:val="0"/>
                    <w:keepLines w:val="0"/>
                    <w:pageBreakBefore w:val="0"/>
                    <w:widowControl/>
                    <w:kinsoku/>
                    <w:wordWrap/>
                    <w:overflowPunct/>
                    <w:topLinePunct w:val="0"/>
                    <w:autoSpaceDE/>
                    <w:autoSpaceDN/>
                    <w:bidi w:val="0"/>
                    <w:adjustRightInd/>
                    <w:snapToGrid/>
                    <w:spacing w:before="20" w:line="240" w:lineRule="atLeast"/>
                    <w:ind w:firstLine="210" w:firstLineChars="10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监测频次</w:t>
                  </w:r>
                </w:p>
              </w:tc>
            </w:tr>
            <w:tr w14:paraId="6FD848F0">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97" w:hRule="atLeast"/>
                <w:jc w:val="center"/>
              </w:trPr>
              <w:tc>
                <w:tcPr>
                  <w:tcW w:w="1449" w:type="dxa"/>
                  <w:tcBorders>
                    <w:tl2br w:val="nil"/>
                    <w:tr2bl w:val="nil"/>
                  </w:tcBorders>
                  <w:noWrap w:val="0"/>
                  <w:vAlign w:val="center"/>
                </w:tcPr>
                <w:p w14:paraId="16367351">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污水总排口</w:t>
                  </w:r>
                </w:p>
              </w:tc>
              <w:tc>
                <w:tcPr>
                  <w:tcW w:w="3490" w:type="dxa"/>
                  <w:tcBorders>
                    <w:tl2br w:val="nil"/>
                    <w:tr2bl w:val="nil"/>
                  </w:tcBorders>
                  <w:noWrap w:val="0"/>
                  <w:vAlign w:val="center"/>
                </w:tcPr>
                <w:p w14:paraId="55C7BD48">
                  <w:pPr>
                    <w:keepNext w:val="0"/>
                    <w:keepLines w:val="0"/>
                    <w:pageBreakBefore w:val="0"/>
                    <w:widowControl/>
                    <w:kinsoku/>
                    <w:wordWrap/>
                    <w:overflowPunct/>
                    <w:topLinePunct w:val="0"/>
                    <w:autoSpaceDE/>
                    <w:autoSpaceDN/>
                    <w:bidi w:val="0"/>
                    <w:adjustRightInd/>
                    <w:snapToGrid/>
                    <w:spacing w:before="20" w:line="240" w:lineRule="atLeast"/>
                    <w:ind w:firstLine="210" w:firstLineChars="10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pH、SS、COD、BOD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、氨氮、</w:t>
                  </w:r>
                  <w:r>
                    <w:rPr>
                      <w:rFonts w:hint="eastAsia" w:cs="Times New Roman"/>
                      <w:color w:val="auto"/>
                      <w:sz w:val="21"/>
                      <w:szCs w:val="21"/>
                      <w:lang w:val="en-US" w:eastAsia="zh-CN"/>
                    </w:rPr>
                    <w:t>总氮、总磷</w:t>
                  </w:r>
                  <w:r>
                    <w:rPr>
                      <w:rFonts w:hint="default" w:ascii="Times New Roman" w:hAnsi="Times New Roman" w:eastAsia="宋体" w:cs="Times New Roman"/>
                      <w:color w:val="auto"/>
                      <w:sz w:val="21"/>
                      <w:szCs w:val="21"/>
                      <w:lang w:val="en-US" w:eastAsia="zh-CN"/>
                    </w:rPr>
                    <w:t>、动植物油</w:t>
                  </w:r>
                </w:p>
              </w:tc>
              <w:tc>
                <w:tcPr>
                  <w:tcW w:w="1143" w:type="dxa"/>
                  <w:tcBorders>
                    <w:tl2br w:val="nil"/>
                    <w:tr2bl w:val="nil"/>
                  </w:tcBorders>
                  <w:noWrap w:val="0"/>
                  <w:vAlign w:val="center"/>
                </w:tcPr>
                <w:p w14:paraId="58D5D86F">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一般</w:t>
                  </w:r>
                </w:p>
                <w:p w14:paraId="50E74ADA">
                  <w:pPr>
                    <w:keepNext w:val="0"/>
                    <w:keepLines w:val="0"/>
                    <w:pageBreakBefore w:val="0"/>
                    <w:widowControl/>
                    <w:kinsoku/>
                    <w:wordWrap/>
                    <w:overflowPunct/>
                    <w:topLinePunct w:val="0"/>
                    <w:autoSpaceDE/>
                    <w:autoSpaceDN/>
                    <w:bidi w:val="0"/>
                    <w:adjustRightInd/>
                    <w:snapToGrid/>
                    <w:spacing w:before="20" w:line="240" w:lineRule="atLeast"/>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排放口</w:t>
                  </w:r>
                </w:p>
              </w:tc>
              <w:tc>
                <w:tcPr>
                  <w:tcW w:w="1982" w:type="dxa"/>
                  <w:tcBorders>
                    <w:tl2br w:val="nil"/>
                    <w:tr2bl w:val="nil"/>
                  </w:tcBorders>
                  <w:noWrap w:val="0"/>
                  <w:vAlign w:val="center"/>
                </w:tcPr>
                <w:p w14:paraId="35AC0082">
                  <w:pPr>
                    <w:keepNext w:val="0"/>
                    <w:keepLines w:val="0"/>
                    <w:pageBreakBefore w:val="0"/>
                    <w:widowControl/>
                    <w:kinsoku/>
                    <w:wordWrap/>
                    <w:overflowPunct/>
                    <w:topLinePunct w:val="0"/>
                    <w:autoSpaceDE/>
                    <w:autoSpaceDN/>
                    <w:bidi w:val="0"/>
                    <w:adjustRightInd/>
                    <w:snapToGrid/>
                    <w:spacing w:before="20" w:line="240" w:lineRule="atLeast"/>
                    <w:ind w:firstLine="210" w:firstLineChars="10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000000"/>
                      <w:sz w:val="21"/>
                      <w:szCs w:val="21"/>
                      <w:highlight w:val="none"/>
                      <w:lang w:val="en-US" w:eastAsia="zh-CN"/>
                    </w:rPr>
                    <w:t>1次/半年</w:t>
                  </w:r>
                </w:p>
              </w:tc>
            </w:tr>
          </w:tbl>
          <w:p w14:paraId="7391830D">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p w14:paraId="580F01D2">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141595" cy="3322320"/>
                  <wp:effectExtent l="0" t="0" r="952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6"/>
                          <a:stretch>
                            <a:fillRect/>
                          </a:stretch>
                        </pic:blipFill>
                        <pic:spPr>
                          <a:xfrm>
                            <a:off x="0" y="0"/>
                            <a:ext cx="5141595" cy="3322320"/>
                          </a:xfrm>
                          <a:prstGeom prst="rect">
                            <a:avLst/>
                          </a:prstGeom>
                          <a:noFill/>
                          <a:ln>
                            <a:noFill/>
                          </a:ln>
                        </pic:spPr>
                      </pic:pic>
                    </a:graphicData>
                  </a:graphic>
                </wp:inline>
              </w:drawing>
            </w:r>
          </w:p>
          <w:p w14:paraId="3331D827">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bCs/>
                <w:highlight w:val="none"/>
                <w:lang w:val="en-US"/>
              </w:rPr>
            </w:pPr>
            <w:r>
              <w:rPr>
                <w:rFonts w:hint="default" w:ascii="Times New Roman" w:hAnsi="Times New Roman" w:eastAsia="黑体" w:cs="Times New Roman"/>
                <w:highlight w:val="none"/>
              </w:rPr>
              <w:t>图</w:t>
            </w:r>
            <w:r>
              <w:rPr>
                <w:rFonts w:hint="eastAsia" w:hAnsi="Times New Roman" w:eastAsia="黑体" w:cs="Times New Roman"/>
                <w:highlight w:val="none"/>
                <w:lang w:val="en-US" w:eastAsia="zh-CN"/>
              </w:rPr>
              <w:t>8</w:t>
            </w:r>
            <w:r>
              <w:rPr>
                <w:rFonts w:hint="default" w:ascii="Times New Roman" w:hAnsi="Times New Roman" w:eastAsia="黑体" w:cs="Times New Roman"/>
                <w:highlight w:val="none"/>
              </w:rPr>
              <w:t xml:space="preserve"> </w:t>
            </w:r>
            <w:r>
              <w:rPr>
                <w:rFonts w:hint="eastAsia" w:ascii="Calibri" w:hAnsi="Calibri" w:eastAsia="黑体"/>
                <w:highlight w:val="none"/>
                <w:lang w:val="en-US" w:eastAsia="zh-CN"/>
              </w:rPr>
              <w:t>项目厂区废水处理流程图  单</w:t>
            </w:r>
            <w:r>
              <w:rPr>
                <w:rFonts w:hint="default" w:ascii="Times New Roman" w:hAnsi="Times New Roman" w:eastAsia="黑体" w:cs="Times New Roman"/>
                <w:highlight w:val="none"/>
                <w:lang w:val="en-US" w:eastAsia="zh-CN"/>
              </w:rPr>
              <w:t>位m</w:t>
            </w:r>
            <w:r>
              <w:rPr>
                <w:rFonts w:hint="default" w:ascii="Times New Roman" w:hAnsi="Times New Roman" w:eastAsia="黑体" w:cs="Times New Roman"/>
                <w:highlight w:val="none"/>
                <w:vertAlign w:val="superscript"/>
                <w:lang w:val="en-US" w:eastAsia="zh-CN"/>
              </w:rPr>
              <w:t>3</w:t>
            </w:r>
            <w:r>
              <w:rPr>
                <w:rFonts w:hint="default" w:ascii="Times New Roman" w:hAnsi="Times New Roman" w:eastAsia="黑体" w:cs="Times New Roman"/>
                <w:highlight w:val="none"/>
                <w:lang w:val="en-US" w:eastAsia="zh-CN"/>
              </w:rPr>
              <w:t>/d</w:t>
            </w:r>
          </w:p>
          <w:p w14:paraId="7CEA316D">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b/>
                <w:kern w:val="0"/>
                <w:highlight w:val="none"/>
                <w:lang w:val="en-US" w:eastAsia="zh-CN"/>
              </w:rPr>
            </w:pPr>
            <w:r>
              <w:rPr>
                <w:rFonts w:hint="default" w:ascii="Times New Roman" w:hAnsi="Times New Roman" w:cs="Times New Roman"/>
                <w:b/>
                <w:kern w:val="0"/>
                <w:highlight w:val="none"/>
              </w:rPr>
              <w:t>3、噪声</w:t>
            </w:r>
            <w:r>
              <w:rPr>
                <w:rFonts w:hint="default" w:ascii="Times New Roman" w:hAnsi="Times New Roman" w:cs="Times New Roman"/>
                <w:b/>
                <w:kern w:val="0"/>
                <w:highlight w:val="none"/>
                <w:lang w:val="en-US" w:eastAsia="zh-CN"/>
              </w:rPr>
              <w:t>环境影响分析</w:t>
            </w:r>
          </w:p>
          <w:p w14:paraId="259CF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cs="Times New Roman"/>
                <w:b w:val="0"/>
                <w:bCs w:val="0"/>
                <w:color w:val="000000"/>
                <w:sz w:val="24"/>
                <w:highlight w:val="none"/>
                <w:lang w:val="en-US" w:eastAsia="zh-CN"/>
              </w:rPr>
              <w:t>3.1</w:t>
            </w:r>
            <w:r>
              <w:rPr>
                <w:rFonts w:hint="default" w:ascii="Times New Roman" w:hAnsi="Times New Roman" w:cs="Times New Roman"/>
                <w:b w:val="0"/>
                <w:bCs w:val="0"/>
                <w:color w:val="000000"/>
                <w:sz w:val="24"/>
                <w:highlight w:val="none"/>
              </w:rPr>
              <w:t>噪声污染源</w:t>
            </w:r>
            <w:r>
              <w:rPr>
                <w:rFonts w:hint="default" w:ascii="Times New Roman" w:hAnsi="Times New Roman" w:cs="Times New Roman"/>
                <w:b w:val="0"/>
                <w:bCs w:val="0"/>
                <w:color w:val="000000"/>
                <w:sz w:val="24"/>
                <w:highlight w:val="none"/>
                <w:lang w:val="en-US" w:eastAsia="zh-CN"/>
              </w:rPr>
              <w:t>调查情况</w:t>
            </w:r>
          </w:p>
          <w:p w14:paraId="611E126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本项目噪声主要</w:t>
            </w:r>
            <w:r>
              <w:rPr>
                <w:rFonts w:hint="eastAsia" w:cs="Times New Roman"/>
                <w:bCs/>
                <w:color w:val="auto"/>
                <w:sz w:val="24"/>
                <w:highlight w:val="none"/>
                <w:lang w:val="en-US" w:eastAsia="zh-CN"/>
              </w:rPr>
              <w:t>来自于两间生产车间内生产设备和锅炉房内蒸汽锅炉运转的噪声，化验室在检验时整体产生的噪声较小可以忽略不计，未检测时无噪声源，生产加工主要设备有粉碎机、切菜机、过滤器、打包机、搅拌锅、炒制锅、灌装机以及风机</w:t>
            </w:r>
            <w:r>
              <w:rPr>
                <w:rFonts w:ascii="Times New Roman" w:hAnsi="Times New Roman"/>
                <w:color w:val="auto"/>
                <w:sz w:val="24"/>
                <w:highlight w:val="none"/>
              </w:rPr>
              <w:t>，</w:t>
            </w:r>
            <w:r>
              <w:rPr>
                <w:rFonts w:ascii="Times New Roman" w:hAnsi="Times New Roman" w:cs="Times New Roman"/>
                <w:bCs/>
                <w:color w:val="auto"/>
                <w:sz w:val="24"/>
                <w:highlight w:val="none"/>
              </w:rPr>
              <w:t>经分析，噪声声级值为7</w:t>
            </w:r>
            <w:r>
              <w:rPr>
                <w:rFonts w:hint="eastAsia" w:ascii="Times New Roman" w:hAnsi="Times New Roman" w:cs="Times New Roman"/>
                <w:bCs/>
                <w:color w:val="auto"/>
                <w:sz w:val="24"/>
                <w:highlight w:val="none"/>
                <w:lang w:val="en-US" w:eastAsia="zh-CN"/>
              </w:rPr>
              <w:t>0</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val="en-US" w:eastAsia="zh-CN"/>
              </w:rPr>
              <w:t>85</w:t>
            </w:r>
            <w:r>
              <w:rPr>
                <w:rFonts w:hint="eastAsia" w:ascii="Times New Roman" w:hAnsi="Times New Roman" w:cs="Times New Roman"/>
                <w:bCs/>
                <w:color w:val="auto"/>
                <w:sz w:val="24"/>
                <w:highlight w:val="none"/>
              </w:rPr>
              <w:t>dB</w:t>
            </w:r>
            <w:r>
              <w:rPr>
                <w:rFonts w:ascii="Times New Roman" w:hAnsi="Times New Roman" w:cs="Times New Roman"/>
                <w:bCs/>
                <w:color w:val="auto"/>
                <w:sz w:val="24"/>
                <w:highlight w:val="none"/>
              </w:rPr>
              <w:t>(A)。设备为固定噪声源，</w:t>
            </w:r>
            <w:r>
              <w:rPr>
                <w:rFonts w:hint="eastAsia" w:cs="Times New Roman"/>
                <w:bCs/>
                <w:color w:val="auto"/>
                <w:sz w:val="24"/>
                <w:highlight w:val="none"/>
                <w:lang w:val="en-US" w:eastAsia="zh-CN"/>
              </w:rPr>
              <w:t>除去油烟风机和锅炉风机置于车间外，其他</w:t>
            </w:r>
            <w:r>
              <w:rPr>
                <w:rFonts w:ascii="Times New Roman" w:hAnsi="Times New Roman" w:cs="Times New Roman"/>
                <w:bCs/>
                <w:color w:val="auto"/>
                <w:sz w:val="24"/>
                <w:highlight w:val="none"/>
              </w:rPr>
              <w:t>全</w:t>
            </w:r>
            <w:r>
              <w:rPr>
                <w:rFonts w:hint="eastAsia" w:cs="Times New Roman"/>
                <w:bCs/>
                <w:color w:val="auto"/>
                <w:sz w:val="24"/>
                <w:highlight w:val="none"/>
                <w:lang w:val="en-US" w:eastAsia="zh-CN"/>
              </w:rPr>
              <w:t>部</w:t>
            </w:r>
            <w:r>
              <w:rPr>
                <w:rFonts w:ascii="Times New Roman" w:hAnsi="Times New Roman" w:cs="Times New Roman"/>
                <w:bCs/>
                <w:color w:val="auto"/>
                <w:sz w:val="24"/>
                <w:highlight w:val="none"/>
              </w:rPr>
              <w:t>置于生产车间内。</w:t>
            </w:r>
            <w:r>
              <w:rPr>
                <w:rFonts w:hint="eastAsia" w:cs="Times New Roman"/>
                <w:bCs/>
                <w:color w:val="auto"/>
                <w:sz w:val="24"/>
                <w:highlight w:val="none"/>
                <w:lang w:val="en-US" w:eastAsia="zh-CN"/>
              </w:rPr>
              <w:t>本</w:t>
            </w:r>
            <w:r>
              <w:rPr>
                <w:rFonts w:ascii="Times New Roman" w:hAnsi="Times New Roman" w:cs="Times New Roman"/>
                <w:bCs/>
                <w:color w:val="auto"/>
                <w:sz w:val="24"/>
                <w:highlight w:val="none"/>
              </w:rPr>
              <w:t>项目设备产生的噪声值及治理措施见表</w:t>
            </w:r>
            <w:r>
              <w:rPr>
                <w:rFonts w:hint="eastAsia" w:cs="Times New Roman"/>
                <w:bCs/>
                <w:color w:val="auto"/>
                <w:sz w:val="24"/>
                <w:highlight w:val="none"/>
                <w:lang w:val="en-US" w:eastAsia="zh-CN"/>
              </w:rPr>
              <w:t>4-10</w:t>
            </w:r>
            <w:r>
              <w:rPr>
                <w:rFonts w:ascii="Times New Roman" w:hAnsi="Times New Roman" w:cs="Times New Roman"/>
                <w:bCs/>
                <w:color w:val="auto"/>
                <w:sz w:val="24"/>
                <w:highlight w:val="none"/>
              </w:rPr>
              <w:t>。</w:t>
            </w:r>
          </w:p>
          <w:p w14:paraId="4D83E60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根据《环境影响评价技术导则</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声环境》（HJ</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2.4-</w:t>
            </w:r>
            <w:r>
              <w:rPr>
                <w:rFonts w:hint="default" w:ascii="Times New Roman" w:hAnsi="Times New Roman" w:eastAsia="宋体" w:cs="Times New Roman"/>
                <w:color w:val="000000"/>
                <w:kern w:val="2"/>
                <w:sz w:val="24"/>
                <w:szCs w:val="24"/>
                <w:highlight w:val="none"/>
                <w:lang w:val="en-US" w:eastAsia="zh-CN" w:bidi="ar-SA"/>
              </w:rPr>
              <w:t>2021</w:t>
            </w:r>
            <w:r>
              <w:rPr>
                <w:rFonts w:hint="eastAsia" w:ascii="Times New Roman" w:hAnsi="Times New Roman" w:eastAsia="宋体" w:cs="Times New Roman"/>
                <w:color w:val="000000"/>
                <w:kern w:val="2"/>
                <w:sz w:val="24"/>
                <w:szCs w:val="24"/>
                <w:highlight w:val="none"/>
                <w:lang w:val="en-US" w:eastAsia="zh-CN" w:bidi="ar-SA"/>
              </w:rPr>
              <w:t>）要求，本项目运营期主要噪声源设备位置及噪声源强见下表，</w:t>
            </w:r>
            <w:r>
              <w:rPr>
                <w:rFonts w:hint="default" w:ascii="Times New Roman" w:hAnsi="Times New Roman" w:eastAsia="宋体" w:cs="Times New Roman"/>
                <w:color w:val="000000"/>
                <w:kern w:val="2"/>
                <w:sz w:val="24"/>
                <w:szCs w:val="24"/>
                <w:highlight w:val="none"/>
                <w:lang w:val="en-US" w:eastAsia="zh-CN" w:bidi="ar-SA"/>
              </w:rPr>
              <w:t>空间位置以</w:t>
            </w:r>
            <w:r>
              <w:rPr>
                <w:rFonts w:hint="eastAsia" w:cs="Times New Roman"/>
                <w:color w:val="000000"/>
                <w:kern w:val="2"/>
                <w:sz w:val="24"/>
                <w:szCs w:val="24"/>
                <w:highlight w:val="none"/>
                <w:lang w:val="en-US" w:eastAsia="zh-CN" w:bidi="ar-SA"/>
              </w:rPr>
              <w:t>每个厂房中心</w:t>
            </w:r>
            <w:r>
              <w:rPr>
                <w:rFonts w:hint="default" w:ascii="Times New Roman" w:hAnsi="Times New Roman" w:eastAsia="宋体" w:cs="Times New Roman"/>
                <w:color w:val="000000"/>
                <w:kern w:val="2"/>
                <w:sz w:val="24"/>
                <w:szCs w:val="24"/>
                <w:highlight w:val="none"/>
                <w:lang w:val="en-US" w:eastAsia="zh-CN" w:bidi="ar-SA"/>
              </w:rPr>
              <w:t>为</w:t>
            </w:r>
            <w:r>
              <w:rPr>
                <w:rFonts w:hint="eastAsia" w:ascii="Times New Roman" w:hAnsi="Times New Roman" w:eastAsia="宋体" w:cs="Times New Roman"/>
                <w:color w:val="000000"/>
                <w:kern w:val="2"/>
                <w:sz w:val="24"/>
                <w:szCs w:val="24"/>
                <w:highlight w:val="none"/>
                <w:lang w:val="en-US" w:eastAsia="zh-CN" w:bidi="ar-SA"/>
              </w:rPr>
              <w:t>起始点。</w:t>
            </w:r>
          </w:p>
          <w:p w14:paraId="7C0E6942">
            <w:pPr>
              <w:pStyle w:val="6"/>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Times New Roman" w:hAnsi="Times New Roman" w:eastAsia="黑体" w:cs="Times New Roman"/>
                <w:b w:val="0"/>
                <w:bCs w:val="0"/>
                <w:sz w:val="24"/>
                <w:szCs w:val="24"/>
                <w:highlight w:val="none"/>
                <w:lang w:val="en-US" w:eastAsia="zh-CN"/>
              </w:rPr>
            </w:pPr>
            <w:bookmarkStart w:id="10" w:name="OLE_LINK17"/>
            <w:r>
              <w:rPr>
                <w:rFonts w:hint="eastAsia" w:ascii="Times New Roman" w:hAnsi="Times New Roman" w:eastAsia="黑体" w:cs="Times New Roman"/>
                <w:b w:val="0"/>
                <w:bCs w:val="0"/>
                <w:sz w:val="24"/>
                <w:szCs w:val="24"/>
                <w:highlight w:val="none"/>
                <w:lang w:val="en-US" w:eastAsia="zh-CN"/>
              </w:rPr>
              <w:t>表4-</w:t>
            </w:r>
            <w:r>
              <w:rPr>
                <w:rFonts w:hint="eastAsia" w:eastAsia="黑体" w:cs="Times New Roman"/>
                <w:b w:val="0"/>
                <w:bCs w:val="0"/>
                <w:sz w:val="24"/>
                <w:szCs w:val="24"/>
                <w:highlight w:val="none"/>
                <w:lang w:val="en-US" w:eastAsia="zh-CN"/>
              </w:rPr>
              <w:t>10</w:t>
            </w:r>
            <w:bookmarkEnd w:id="10"/>
            <w:r>
              <w:rPr>
                <w:rFonts w:hint="eastAsia" w:ascii="Times New Roman" w:hAnsi="Times New Roman" w:eastAsia="黑体" w:cs="Times New Roman"/>
                <w:b w:val="0"/>
                <w:bCs w:val="0"/>
                <w:sz w:val="24"/>
                <w:szCs w:val="24"/>
                <w:highlight w:val="none"/>
                <w:lang w:val="en-US" w:eastAsia="zh-CN"/>
              </w:rPr>
              <w:t xml:space="preserve"> 室内主要声源调查清单</w:t>
            </w:r>
          </w:p>
          <w:tbl>
            <w:tblPr>
              <w:tblStyle w:val="21"/>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576"/>
              <w:gridCol w:w="768"/>
              <w:gridCol w:w="468"/>
              <w:gridCol w:w="541"/>
              <w:gridCol w:w="516"/>
              <w:gridCol w:w="732"/>
              <w:gridCol w:w="756"/>
              <w:gridCol w:w="403"/>
              <w:gridCol w:w="688"/>
              <w:gridCol w:w="804"/>
              <w:gridCol w:w="720"/>
            </w:tblGrid>
            <w:tr w14:paraId="22BB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1" w:type="pct"/>
                  <w:vMerge w:val="restart"/>
                  <w:tcBorders>
                    <w:tl2br w:val="nil"/>
                    <w:tr2bl w:val="nil"/>
                  </w:tcBorders>
                  <w:noWrap w:val="0"/>
                  <w:vAlign w:val="center"/>
                </w:tcPr>
                <w:p w14:paraId="3C4D322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b/>
                      <w:bCs/>
                      <w:sz w:val="21"/>
                      <w:szCs w:val="21"/>
                      <w:highlight w:val="none"/>
                    </w:rPr>
                    <w:t>位置</w:t>
                  </w:r>
                </w:p>
              </w:tc>
              <w:tc>
                <w:tcPr>
                  <w:tcW w:w="396" w:type="pct"/>
                  <w:vMerge w:val="restart"/>
                  <w:tcBorders>
                    <w:tl2br w:val="nil"/>
                    <w:tr2bl w:val="nil"/>
                  </w:tcBorders>
                  <w:noWrap w:val="0"/>
                  <w:vAlign w:val="center"/>
                </w:tcPr>
                <w:p w14:paraId="405375D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b/>
                      <w:bCs/>
                      <w:sz w:val="21"/>
                      <w:szCs w:val="21"/>
                      <w:highlight w:val="none"/>
                    </w:rPr>
                    <w:t>声源名称</w:t>
                  </w:r>
                </w:p>
              </w:tc>
              <w:tc>
                <w:tcPr>
                  <w:tcW w:w="358" w:type="pct"/>
                  <w:vMerge w:val="restart"/>
                  <w:tcBorders>
                    <w:tl2br w:val="nil"/>
                    <w:tr2bl w:val="nil"/>
                  </w:tcBorders>
                  <w:noWrap w:val="0"/>
                  <w:tcMar>
                    <w:left w:w="11" w:type="dxa"/>
                    <w:right w:w="11" w:type="dxa"/>
                  </w:tcMar>
                  <w:vAlign w:val="center"/>
                </w:tcPr>
                <w:p w14:paraId="47E2054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声源</w:t>
                  </w:r>
                  <w:r>
                    <w:rPr>
                      <w:b/>
                      <w:bCs/>
                      <w:sz w:val="21"/>
                      <w:szCs w:val="21"/>
                      <w:highlight w:val="none"/>
                    </w:rPr>
                    <w:t>源强</w:t>
                  </w:r>
                  <w:r>
                    <w:rPr>
                      <w:rFonts w:hint="eastAsia"/>
                      <w:b/>
                      <w:bCs/>
                      <w:sz w:val="21"/>
                      <w:szCs w:val="21"/>
                      <w:highlight w:val="none"/>
                    </w:rPr>
                    <w:t>dB（A）</w:t>
                  </w:r>
                </w:p>
              </w:tc>
              <w:tc>
                <w:tcPr>
                  <w:tcW w:w="478" w:type="pct"/>
                  <w:vMerge w:val="restart"/>
                  <w:tcBorders>
                    <w:tl2br w:val="nil"/>
                    <w:tr2bl w:val="nil"/>
                  </w:tcBorders>
                  <w:noWrap w:val="0"/>
                  <w:vAlign w:val="center"/>
                </w:tcPr>
                <w:p w14:paraId="79EE138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b/>
                      <w:bCs/>
                      <w:sz w:val="21"/>
                      <w:szCs w:val="21"/>
                      <w:highlight w:val="none"/>
                    </w:rPr>
                    <w:t>声源控制措施</w:t>
                  </w:r>
                </w:p>
              </w:tc>
              <w:tc>
                <w:tcPr>
                  <w:tcW w:w="949" w:type="pct"/>
                  <w:gridSpan w:val="3"/>
                  <w:tcBorders>
                    <w:tl2br w:val="nil"/>
                    <w:tr2bl w:val="nil"/>
                  </w:tcBorders>
                  <w:noWrap w:val="0"/>
                  <w:tcMar>
                    <w:left w:w="11" w:type="dxa"/>
                    <w:right w:w="11" w:type="dxa"/>
                  </w:tcMar>
                  <w:vAlign w:val="center"/>
                </w:tcPr>
                <w:p w14:paraId="2044DB2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空间</w:t>
                  </w:r>
                  <w:r>
                    <w:rPr>
                      <w:b/>
                      <w:bCs/>
                      <w:sz w:val="21"/>
                      <w:szCs w:val="21"/>
                      <w:highlight w:val="none"/>
                    </w:rPr>
                    <w:t>相对位置</w:t>
                  </w:r>
                </w:p>
              </w:tc>
              <w:tc>
                <w:tcPr>
                  <w:tcW w:w="455" w:type="pct"/>
                  <w:vMerge w:val="restart"/>
                  <w:tcBorders>
                    <w:tl2br w:val="nil"/>
                    <w:tr2bl w:val="nil"/>
                  </w:tcBorders>
                  <w:noWrap w:val="0"/>
                  <w:tcMar>
                    <w:left w:w="11" w:type="dxa"/>
                    <w:right w:w="11" w:type="dxa"/>
                  </w:tcMar>
                  <w:vAlign w:val="center"/>
                </w:tcPr>
                <w:p w14:paraId="1E9C155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距室内边界距离</w:t>
                  </w:r>
                  <w:r>
                    <w:rPr>
                      <w:rFonts w:hint="eastAsia"/>
                      <w:b/>
                      <w:bCs/>
                      <w:sz w:val="21"/>
                      <w:szCs w:val="21"/>
                      <w:highlight w:val="none"/>
                      <w:lang w:val="en-US" w:eastAsia="zh-CN"/>
                    </w:rPr>
                    <w:t>（m）</w:t>
                  </w:r>
                </w:p>
              </w:tc>
              <w:tc>
                <w:tcPr>
                  <w:tcW w:w="470" w:type="pct"/>
                  <w:vMerge w:val="restart"/>
                  <w:tcBorders>
                    <w:tl2br w:val="nil"/>
                    <w:tr2bl w:val="nil"/>
                  </w:tcBorders>
                  <w:noWrap w:val="0"/>
                  <w:tcMar>
                    <w:left w:w="11" w:type="dxa"/>
                    <w:right w:w="11" w:type="dxa"/>
                  </w:tcMar>
                  <w:vAlign w:val="center"/>
                </w:tcPr>
                <w:p w14:paraId="0CA4AFC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室内边界声级dB（A）</w:t>
                  </w:r>
                </w:p>
              </w:tc>
              <w:tc>
                <w:tcPr>
                  <w:tcW w:w="250" w:type="pct"/>
                  <w:vMerge w:val="restart"/>
                  <w:tcBorders>
                    <w:tl2br w:val="nil"/>
                    <w:tr2bl w:val="nil"/>
                  </w:tcBorders>
                  <w:noWrap w:val="0"/>
                  <w:vAlign w:val="center"/>
                </w:tcPr>
                <w:p w14:paraId="6624986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运行时段</w:t>
                  </w:r>
                </w:p>
              </w:tc>
              <w:tc>
                <w:tcPr>
                  <w:tcW w:w="428" w:type="pct"/>
                  <w:vMerge w:val="restart"/>
                  <w:tcBorders>
                    <w:tl2br w:val="nil"/>
                    <w:tr2bl w:val="nil"/>
                  </w:tcBorders>
                  <w:noWrap w:val="0"/>
                  <w:vAlign w:val="center"/>
                </w:tcPr>
                <w:p w14:paraId="73198BF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建筑物插入损失dB（A）</w:t>
                  </w:r>
                </w:p>
              </w:tc>
              <w:tc>
                <w:tcPr>
                  <w:tcW w:w="949" w:type="pct"/>
                  <w:gridSpan w:val="2"/>
                  <w:tcBorders>
                    <w:tl2br w:val="nil"/>
                    <w:tr2bl w:val="nil"/>
                  </w:tcBorders>
                  <w:noWrap w:val="0"/>
                  <w:vAlign w:val="center"/>
                </w:tcPr>
                <w:p w14:paraId="72FD53B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rPr>
                    <w:t>建筑物外</w:t>
                  </w:r>
                  <w:r>
                    <w:rPr>
                      <w:rFonts w:hint="eastAsia"/>
                      <w:b/>
                      <w:bCs/>
                      <w:highlight w:val="none"/>
                      <w:lang w:val="en-US" w:eastAsia="zh-CN"/>
                    </w:rPr>
                    <w:t>噪声</w:t>
                  </w:r>
                </w:p>
              </w:tc>
            </w:tr>
            <w:tr w14:paraId="227A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1" w:type="pct"/>
                  <w:vMerge w:val="continue"/>
                  <w:tcBorders>
                    <w:tl2br w:val="nil"/>
                    <w:tr2bl w:val="nil"/>
                  </w:tcBorders>
                  <w:noWrap w:val="0"/>
                  <w:vAlign w:val="center"/>
                </w:tcPr>
                <w:p w14:paraId="508E5C4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396" w:type="pct"/>
                  <w:vMerge w:val="continue"/>
                  <w:tcBorders>
                    <w:tl2br w:val="nil"/>
                    <w:tr2bl w:val="nil"/>
                  </w:tcBorders>
                  <w:noWrap w:val="0"/>
                  <w:vAlign w:val="center"/>
                </w:tcPr>
                <w:p w14:paraId="20F734B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358" w:type="pct"/>
                  <w:vMerge w:val="continue"/>
                  <w:tcBorders>
                    <w:tl2br w:val="nil"/>
                    <w:tr2bl w:val="nil"/>
                  </w:tcBorders>
                  <w:noWrap w:val="0"/>
                  <w:tcMar>
                    <w:left w:w="11" w:type="dxa"/>
                    <w:right w:w="11" w:type="dxa"/>
                  </w:tcMar>
                  <w:vAlign w:val="center"/>
                </w:tcPr>
                <w:p w14:paraId="6D8C00C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478" w:type="pct"/>
                  <w:vMerge w:val="continue"/>
                  <w:tcBorders>
                    <w:tl2br w:val="nil"/>
                    <w:tr2bl w:val="nil"/>
                  </w:tcBorders>
                  <w:noWrap w:val="0"/>
                  <w:vAlign w:val="center"/>
                </w:tcPr>
                <w:p w14:paraId="307744A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291" w:type="pct"/>
                  <w:tcBorders>
                    <w:tl2br w:val="nil"/>
                    <w:tr2bl w:val="nil"/>
                  </w:tcBorders>
                  <w:noWrap w:val="0"/>
                  <w:tcMar>
                    <w:left w:w="11" w:type="dxa"/>
                    <w:right w:w="11" w:type="dxa"/>
                  </w:tcMar>
                  <w:vAlign w:val="center"/>
                </w:tcPr>
                <w:p w14:paraId="484A26F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X</w:t>
                  </w:r>
                </w:p>
              </w:tc>
              <w:tc>
                <w:tcPr>
                  <w:tcW w:w="336" w:type="pct"/>
                  <w:tcBorders>
                    <w:tl2br w:val="nil"/>
                    <w:tr2bl w:val="nil"/>
                  </w:tcBorders>
                  <w:noWrap w:val="0"/>
                  <w:vAlign w:val="center"/>
                </w:tcPr>
                <w:p w14:paraId="7F590E9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Y</w:t>
                  </w:r>
                </w:p>
              </w:tc>
              <w:tc>
                <w:tcPr>
                  <w:tcW w:w="321" w:type="pct"/>
                  <w:tcBorders>
                    <w:tl2br w:val="nil"/>
                    <w:tr2bl w:val="nil"/>
                  </w:tcBorders>
                  <w:noWrap w:val="0"/>
                  <w:vAlign w:val="center"/>
                </w:tcPr>
                <w:p w14:paraId="27C13E6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b/>
                      <w:bCs/>
                      <w:sz w:val="21"/>
                      <w:szCs w:val="21"/>
                      <w:highlight w:val="none"/>
                    </w:rPr>
                  </w:pPr>
                  <w:r>
                    <w:rPr>
                      <w:rFonts w:hint="eastAsia"/>
                      <w:b/>
                      <w:bCs/>
                      <w:sz w:val="21"/>
                      <w:szCs w:val="21"/>
                      <w:highlight w:val="none"/>
                    </w:rPr>
                    <w:t>Z</w:t>
                  </w:r>
                </w:p>
              </w:tc>
              <w:tc>
                <w:tcPr>
                  <w:tcW w:w="455" w:type="pct"/>
                  <w:vMerge w:val="continue"/>
                  <w:tcBorders>
                    <w:tl2br w:val="nil"/>
                    <w:tr2bl w:val="nil"/>
                  </w:tcBorders>
                  <w:noWrap w:val="0"/>
                  <w:tcMar>
                    <w:left w:w="11" w:type="dxa"/>
                    <w:right w:w="11" w:type="dxa"/>
                  </w:tcMar>
                  <w:vAlign w:val="center"/>
                </w:tcPr>
                <w:p w14:paraId="3D89FA0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470" w:type="pct"/>
                  <w:vMerge w:val="continue"/>
                  <w:tcBorders>
                    <w:tl2br w:val="nil"/>
                    <w:tr2bl w:val="nil"/>
                  </w:tcBorders>
                  <w:noWrap w:val="0"/>
                  <w:tcMar>
                    <w:left w:w="11" w:type="dxa"/>
                    <w:right w:w="11" w:type="dxa"/>
                  </w:tcMar>
                  <w:vAlign w:val="center"/>
                </w:tcPr>
                <w:p w14:paraId="2AAA287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250" w:type="pct"/>
                  <w:vMerge w:val="continue"/>
                  <w:tcBorders>
                    <w:tl2br w:val="nil"/>
                    <w:tr2bl w:val="nil"/>
                  </w:tcBorders>
                  <w:noWrap w:val="0"/>
                  <w:vAlign w:val="center"/>
                </w:tcPr>
                <w:p w14:paraId="65BF0D1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428" w:type="pct"/>
                  <w:vMerge w:val="continue"/>
                  <w:tcBorders>
                    <w:tl2br w:val="nil"/>
                    <w:tr2bl w:val="nil"/>
                  </w:tcBorders>
                  <w:noWrap w:val="0"/>
                  <w:vAlign w:val="center"/>
                </w:tcPr>
                <w:p w14:paraId="1850D5B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500" w:type="pct"/>
                  <w:tcBorders>
                    <w:tl2br w:val="nil"/>
                    <w:tr2bl w:val="nil"/>
                  </w:tcBorders>
                  <w:noWrap w:val="0"/>
                  <w:vAlign w:val="center"/>
                </w:tcPr>
                <w:p w14:paraId="46EB494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r>
                    <w:rPr>
                      <w:rFonts w:hint="eastAsia"/>
                      <w:b/>
                      <w:bCs/>
                      <w:sz w:val="21"/>
                      <w:szCs w:val="21"/>
                      <w:highlight w:val="none"/>
                    </w:rPr>
                    <w:t>声压级dB（A）</w:t>
                  </w:r>
                </w:p>
              </w:tc>
              <w:tc>
                <w:tcPr>
                  <w:tcW w:w="448" w:type="pct"/>
                  <w:tcBorders>
                    <w:tl2br w:val="nil"/>
                    <w:tr2bl w:val="nil"/>
                  </w:tcBorders>
                  <w:noWrap w:val="0"/>
                  <w:vAlign w:val="center"/>
                </w:tcPr>
                <w:p w14:paraId="5A7E3C8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sz w:val="21"/>
                      <w:szCs w:val="21"/>
                      <w:highlight w:val="none"/>
                      <w:lang w:val="en-US" w:eastAsia="zh-CN"/>
                    </w:rPr>
                  </w:pPr>
                  <w:r>
                    <w:rPr>
                      <w:rFonts w:hint="eastAsia"/>
                      <w:b/>
                      <w:bCs/>
                      <w:sz w:val="21"/>
                      <w:szCs w:val="21"/>
                      <w:highlight w:val="none"/>
                      <w:lang w:val="en-US" w:eastAsia="zh-CN"/>
                    </w:rPr>
                    <w:t>建筑外距离</w:t>
                  </w:r>
                </w:p>
              </w:tc>
            </w:tr>
            <w:tr w14:paraId="3BAF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restart"/>
                  <w:tcBorders>
                    <w:tl2br w:val="nil"/>
                    <w:tr2bl w:val="nil"/>
                  </w:tcBorders>
                  <w:noWrap w:val="0"/>
                  <w:vAlign w:val="center"/>
                </w:tcPr>
                <w:p w14:paraId="3EC6C2A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r>
                    <w:rPr>
                      <w:rFonts w:hint="eastAsia"/>
                      <w:sz w:val="21"/>
                      <w:szCs w:val="21"/>
                      <w:highlight w:val="none"/>
                      <w:lang w:val="en-US" w:eastAsia="zh-CN"/>
                    </w:rPr>
                    <w:t>#1</w:t>
                  </w:r>
                  <w:r>
                    <w:rPr>
                      <w:rFonts w:hint="eastAsia"/>
                      <w:sz w:val="21"/>
                      <w:szCs w:val="21"/>
                      <w:highlight w:val="none"/>
                    </w:rPr>
                    <w:t>生产</w:t>
                  </w:r>
                  <w:r>
                    <w:rPr>
                      <w:sz w:val="21"/>
                      <w:szCs w:val="21"/>
                      <w:highlight w:val="none"/>
                    </w:rPr>
                    <w:t>车间</w:t>
                  </w:r>
                </w:p>
              </w:tc>
              <w:tc>
                <w:tcPr>
                  <w:tcW w:w="396" w:type="pct"/>
                  <w:tcBorders>
                    <w:tl2br w:val="nil"/>
                    <w:tr2bl w:val="nil"/>
                  </w:tcBorders>
                  <w:noWrap w:val="0"/>
                  <w:tcMar>
                    <w:left w:w="11" w:type="dxa"/>
                    <w:right w:w="11" w:type="dxa"/>
                  </w:tcMar>
                  <w:vAlign w:val="center"/>
                </w:tcPr>
                <w:p w14:paraId="64BF339D">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粉碎机</w:t>
                  </w:r>
                </w:p>
              </w:tc>
              <w:tc>
                <w:tcPr>
                  <w:tcW w:w="358" w:type="pct"/>
                  <w:tcBorders>
                    <w:tl2br w:val="nil"/>
                    <w:tr2bl w:val="nil"/>
                  </w:tcBorders>
                  <w:noWrap w:val="0"/>
                  <w:tcMar>
                    <w:left w:w="11" w:type="dxa"/>
                    <w:right w:w="11" w:type="dxa"/>
                  </w:tcMar>
                  <w:vAlign w:val="center"/>
                </w:tcPr>
                <w:p w14:paraId="7B90DEA6">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478" w:type="pct"/>
                  <w:vMerge w:val="restart"/>
                  <w:tcBorders>
                    <w:tl2br w:val="nil"/>
                    <w:tr2bl w:val="nil"/>
                  </w:tcBorders>
                  <w:noWrap w:val="0"/>
                  <w:vAlign w:val="center"/>
                </w:tcPr>
                <w:p w14:paraId="1FB8638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r>
                    <w:rPr>
                      <w:rFonts w:hint="eastAsia" w:ascii="Times New Roman" w:hAnsi="Times New Roman" w:eastAsia="宋体" w:cs="Times New Roman"/>
                      <w:color w:val="auto"/>
                      <w:sz w:val="21"/>
                      <w:szCs w:val="21"/>
                      <w:highlight w:val="none"/>
                      <w:u w:val="none"/>
                    </w:rPr>
                    <w:t>选用低噪音设备；</w:t>
                  </w:r>
                  <w:r>
                    <w:rPr>
                      <w:rFonts w:hint="eastAsia" w:ascii="Times New Roman" w:hAnsi="Times New Roman" w:eastAsia="宋体" w:cs="Times New Roman"/>
                      <w:color w:val="auto"/>
                      <w:sz w:val="21"/>
                      <w:szCs w:val="21"/>
                      <w:highlight w:val="none"/>
                      <w:u w:val="none"/>
                      <w:lang w:val="en-US" w:eastAsia="zh-CN"/>
                    </w:rPr>
                    <w:t>基础减震、</w:t>
                  </w:r>
                  <w:r>
                    <w:rPr>
                      <w:rFonts w:hint="eastAsia" w:ascii="Times New Roman" w:hAnsi="Times New Roman" w:eastAsia="宋体" w:cs="Times New Roman"/>
                      <w:color w:val="auto"/>
                      <w:sz w:val="21"/>
                      <w:szCs w:val="21"/>
                      <w:highlight w:val="none"/>
                      <w:u w:val="none"/>
                    </w:rPr>
                    <w:t>减振垫；</w:t>
                  </w:r>
                  <w:r>
                    <w:rPr>
                      <w:rFonts w:hint="eastAsia" w:ascii="Times New Roman" w:hAnsi="Times New Roman" w:eastAsia="宋体" w:cs="Times New Roman"/>
                      <w:color w:val="auto"/>
                      <w:sz w:val="21"/>
                      <w:szCs w:val="21"/>
                      <w:highlight w:val="none"/>
                      <w:u w:val="none"/>
                      <w:lang w:val="en-US" w:eastAsia="zh-CN"/>
                    </w:rPr>
                    <w:t>合理布局、</w:t>
                  </w:r>
                  <w:r>
                    <w:rPr>
                      <w:rFonts w:hint="eastAsia" w:ascii="Times New Roman" w:hAnsi="Times New Roman" w:eastAsia="宋体" w:cs="Times New Roman"/>
                      <w:color w:val="auto"/>
                      <w:sz w:val="21"/>
                      <w:szCs w:val="21"/>
                      <w:highlight w:val="none"/>
                      <w:u w:val="none"/>
                    </w:rPr>
                    <w:t>利用</w:t>
                  </w:r>
                  <w:r>
                    <w:rPr>
                      <w:rFonts w:hint="eastAsia" w:ascii="Times New Roman" w:hAnsi="Times New Roman" w:eastAsia="宋体" w:cs="Times New Roman"/>
                      <w:color w:val="auto"/>
                      <w:sz w:val="21"/>
                      <w:szCs w:val="21"/>
                      <w:highlight w:val="none"/>
                      <w:u w:val="none"/>
                      <w:lang w:val="en-US" w:eastAsia="zh-CN"/>
                    </w:rPr>
                    <w:t>厂房</w:t>
                  </w:r>
                  <w:r>
                    <w:rPr>
                      <w:rFonts w:hint="eastAsia" w:ascii="Times New Roman" w:hAnsi="Times New Roman" w:eastAsia="宋体" w:cs="Times New Roman"/>
                      <w:color w:val="auto"/>
                      <w:sz w:val="21"/>
                      <w:szCs w:val="21"/>
                      <w:highlight w:val="none"/>
                      <w:u w:val="none"/>
                    </w:rPr>
                    <w:t>建筑物隔声屏蔽</w:t>
                  </w:r>
                </w:p>
              </w:tc>
              <w:tc>
                <w:tcPr>
                  <w:tcW w:w="291" w:type="pct"/>
                  <w:tcBorders>
                    <w:tl2br w:val="nil"/>
                    <w:tr2bl w:val="nil"/>
                  </w:tcBorders>
                  <w:noWrap w:val="0"/>
                  <w:tcMar>
                    <w:left w:w="11" w:type="dxa"/>
                    <w:right w:w="11" w:type="dxa"/>
                  </w:tcMar>
                  <w:vAlign w:val="center"/>
                </w:tcPr>
                <w:p w14:paraId="217BC898">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336" w:type="pct"/>
                  <w:tcBorders>
                    <w:tl2br w:val="nil"/>
                    <w:tr2bl w:val="nil"/>
                  </w:tcBorders>
                  <w:noWrap w:val="0"/>
                  <w:vAlign w:val="center"/>
                </w:tcPr>
                <w:p w14:paraId="4C56397C">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321" w:type="pct"/>
                  <w:tcBorders>
                    <w:tl2br w:val="nil"/>
                    <w:tr2bl w:val="nil"/>
                  </w:tcBorders>
                  <w:noWrap w:val="0"/>
                  <w:vAlign w:val="center"/>
                </w:tcPr>
                <w:p w14:paraId="5ABEB103">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455" w:type="pct"/>
                  <w:tcBorders>
                    <w:tl2br w:val="nil"/>
                    <w:tr2bl w:val="nil"/>
                  </w:tcBorders>
                  <w:noWrap w:val="0"/>
                  <w:tcMar>
                    <w:left w:w="11" w:type="dxa"/>
                    <w:right w:w="11" w:type="dxa"/>
                  </w:tcMar>
                  <w:vAlign w:val="center"/>
                </w:tcPr>
                <w:p w14:paraId="3E17358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100</w:t>
                  </w:r>
                </w:p>
                <w:p w14:paraId="1886660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467711D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w:t>
                  </w:r>
                </w:p>
                <w:p w14:paraId="51099B4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noWrap w:val="0"/>
                  <w:tcMar>
                    <w:left w:w="11" w:type="dxa"/>
                    <w:right w:w="11" w:type="dxa"/>
                  </w:tcMar>
                  <w:vAlign w:val="center"/>
                </w:tcPr>
                <w:p w14:paraId="337A70C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21.7</w:t>
                  </w:r>
                </w:p>
                <w:p w14:paraId="744A156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72.5</w:t>
                  </w:r>
                </w:p>
                <w:p w14:paraId="451A625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74.6</w:t>
                  </w:r>
                </w:p>
                <w:p w14:paraId="37467DB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68.3</w:t>
                  </w:r>
                </w:p>
              </w:tc>
              <w:tc>
                <w:tcPr>
                  <w:tcW w:w="250" w:type="pct"/>
                  <w:vMerge w:val="restart"/>
                  <w:tcBorders>
                    <w:tl2br w:val="nil"/>
                    <w:tr2bl w:val="nil"/>
                  </w:tcBorders>
                  <w:noWrap w:val="0"/>
                  <w:vAlign w:val="center"/>
                </w:tcPr>
                <w:p w14:paraId="5233CB0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工作时间</w:t>
                  </w:r>
                </w:p>
              </w:tc>
              <w:tc>
                <w:tcPr>
                  <w:tcW w:w="428" w:type="pct"/>
                  <w:tcBorders>
                    <w:tl2br w:val="nil"/>
                    <w:tr2bl w:val="nil"/>
                  </w:tcBorders>
                  <w:noWrap w:val="0"/>
                  <w:vAlign w:val="center"/>
                </w:tcPr>
                <w:p w14:paraId="6312E6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noWrap w:val="0"/>
                  <w:vAlign w:val="center"/>
                </w:tcPr>
                <w:p w14:paraId="5209F2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6.7</w:t>
                  </w:r>
                </w:p>
                <w:p w14:paraId="23DACE9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57.5</w:t>
                  </w:r>
                </w:p>
                <w:p w14:paraId="6D61EDE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59.6</w:t>
                  </w:r>
                </w:p>
                <w:p w14:paraId="20A17EC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53.3</w:t>
                  </w:r>
                </w:p>
              </w:tc>
              <w:tc>
                <w:tcPr>
                  <w:tcW w:w="448" w:type="pct"/>
                  <w:tcBorders>
                    <w:tl2br w:val="nil"/>
                    <w:tr2bl w:val="nil"/>
                  </w:tcBorders>
                  <w:noWrap w:val="0"/>
                  <w:vAlign w:val="center"/>
                </w:tcPr>
                <w:p w14:paraId="4BCC52B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7AF2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continue"/>
                  <w:tcBorders>
                    <w:tl2br w:val="nil"/>
                    <w:tr2bl w:val="nil"/>
                  </w:tcBorders>
                  <w:noWrap w:val="0"/>
                  <w:vAlign w:val="center"/>
                </w:tcPr>
                <w:p w14:paraId="0150308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0FADACB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358" w:type="pct"/>
                  <w:tcBorders>
                    <w:tl2br w:val="nil"/>
                    <w:tr2bl w:val="nil"/>
                  </w:tcBorders>
                  <w:shd w:val="clear" w:color="auto" w:fill="auto"/>
                  <w:noWrap w:val="0"/>
                  <w:tcMar>
                    <w:left w:w="11" w:type="dxa"/>
                    <w:right w:w="11" w:type="dxa"/>
                  </w:tcMar>
                  <w:vAlign w:val="center"/>
                </w:tcPr>
                <w:p w14:paraId="2FF6445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7E8A033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177F9DB6">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shd w:val="clear" w:color="auto" w:fill="auto"/>
                  <w:noWrap w:val="0"/>
                  <w:vAlign w:val="center"/>
                </w:tcPr>
                <w:p w14:paraId="29F6C7EF">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-40</w:t>
                  </w:r>
                </w:p>
              </w:tc>
              <w:tc>
                <w:tcPr>
                  <w:tcW w:w="321" w:type="pct"/>
                  <w:tcBorders>
                    <w:tl2br w:val="nil"/>
                    <w:tr2bl w:val="nil"/>
                  </w:tcBorders>
                  <w:shd w:val="clear" w:color="auto" w:fill="auto"/>
                  <w:noWrap w:val="0"/>
                  <w:vAlign w:val="center"/>
                </w:tcPr>
                <w:p w14:paraId="31EC4FB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w:t>
                  </w:r>
                </w:p>
              </w:tc>
              <w:tc>
                <w:tcPr>
                  <w:tcW w:w="455" w:type="pct"/>
                  <w:tcBorders>
                    <w:tl2br w:val="nil"/>
                    <w:tr2bl w:val="nil"/>
                  </w:tcBorders>
                  <w:shd w:val="clear" w:color="auto" w:fill="auto"/>
                  <w:noWrap w:val="0"/>
                  <w:tcMar>
                    <w:left w:w="11" w:type="dxa"/>
                    <w:right w:w="11" w:type="dxa"/>
                  </w:tcMar>
                  <w:vAlign w:val="center"/>
                </w:tcPr>
                <w:p w14:paraId="1112844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80</w:t>
                  </w:r>
                </w:p>
                <w:p w14:paraId="4DE7F76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5708FE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25</w:t>
                  </w:r>
                </w:p>
                <w:p w14:paraId="63114E5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20</w:t>
                  </w:r>
                </w:p>
              </w:tc>
              <w:tc>
                <w:tcPr>
                  <w:tcW w:w="470" w:type="pct"/>
                  <w:tcBorders>
                    <w:tl2br w:val="nil"/>
                    <w:tr2bl w:val="nil"/>
                  </w:tcBorders>
                  <w:shd w:val="clear" w:color="auto" w:fill="auto"/>
                  <w:noWrap w:val="0"/>
                  <w:tcMar>
                    <w:left w:w="11" w:type="dxa"/>
                    <w:right w:w="11" w:type="dxa"/>
                  </w:tcMar>
                  <w:vAlign w:val="center"/>
                </w:tcPr>
                <w:p w14:paraId="2595AC1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29.3</w:t>
                  </w:r>
                </w:p>
                <w:p w14:paraId="6B50BAB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66.8</w:t>
                  </w:r>
                </w:p>
                <w:p w14:paraId="7C115F1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52.0</w:t>
                  </w:r>
                </w:p>
                <w:p w14:paraId="3951ACC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55.0</w:t>
                  </w:r>
                </w:p>
              </w:tc>
              <w:tc>
                <w:tcPr>
                  <w:tcW w:w="250" w:type="pct"/>
                  <w:vMerge w:val="continue"/>
                  <w:tcBorders>
                    <w:tl2br w:val="nil"/>
                    <w:tr2bl w:val="nil"/>
                  </w:tcBorders>
                  <w:shd w:val="clear" w:color="auto" w:fill="auto"/>
                  <w:noWrap w:val="0"/>
                  <w:vAlign w:val="center"/>
                </w:tcPr>
                <w:p w14:paraId="227E456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7C06494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68AFAE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eastAsia="宋体"/>
                      <w:color w:val="auto"/>
                      <w:sz w:val="21"/>
                      <w:szCs w:val="21"/>
                      <w:highlight w:val="none"/>
                      <w:lang w:val="en-US" w:eastAsia="zh-CN" w:bidi="ar"/>
                    </w:rPr>
                    <w:t>14.3</w:t>
                  </w:r>
                </w:p>
                <w:p w14:paraId="211F4A9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51.8</w:t>
                  </w:r>
                </w:p>
                <w:p w14:paraId="4B976C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37.0</w:t>
                  </w:r>
                </w:p>
                <w:p w14:paraId="5BDE04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40.0</w:t>
                  </w:r>
                </w:p>
              </w:tc>
              <w:tc>
                <w:tcPr>
                  <w:tcW w:w="448" w:type="pct"/>
                  <w:tcBorders>
                    <w:tl2br w:val="nil"/>
                    <w:tr2bl w:val="nil"/>
                  </w:tcBorders>
                  <w:shd w:val="clear" w:color="auto" w:fill="auto"/>
                  <w:noWrap w:val="0"/>
                  <w:vAlign w:val="center"/>
                </w:tcPr>
                <w:p w14:paraId="6D68C6D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61F0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continue"/>
                  <w:tcBorders>
                    <w:tl2br w:val="nil"/>
                    <w:tr2bl w:val="nil"/>
                  </w:tcBorders>
                  <w:noWrap w:val="0"/>
                  <w:vAlign w:val="center"/>
                </w:tcPr>
                <w:p w14:paraId="79F1F6E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5C0CDE1F">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压力蒸煮锅</w:t>
                  </w:r>
                </w:p>
              </w:tc>
              <w:tc>
                <w:tcPr>
                  <w:tcW w:w="358" w:type="pct"/>
                  <w:tcBorders>
                    <w:tl2br w:val="nil"/>
                    <w:tr2bl w:val="nil"/>
                  </w:tcBorders>
                  <w:shd w:val="clear" w:color="auto" w:fill="auto"/>
                  <w:noWrap w:val="0"/>
                  <w:tcMar>
                    <w:left w:w="11" w:type="dxa"/>
                    <w:right w:w="11" w:type="dxa"/>
                  </w:tcMar>
                  <w:vAlign w:val="center"/>
                </w:tcPr>
                <w:p w14:paraId="5122E05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236B17E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52CE46E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5</w:t>
                  </w:r>
                </w:p>
              </w:tc>
              <w:tc>
                <w:tcPr>
                  <w:tcW w:w="336" w:type="pct"/>
                  <w:tcBorders>
                    <w:tl2br w:val="nil"/>
                    <w:tr2bl w:val="nil"/>
                  </w:tcBorders>
                  <w:shd w:val="clear" w:color="auto" w:fill="auto"/>
                  <w:noWrap w:val="0"/>
                  <w:vAlign w:val="center"/>
                </w:tcPr>
                <w:p w14:paraId="287DCB2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-40</w:t>
                  </w:r>
                </w:p>
              </w:tc>
              <w:tc>
                <w:tcPr>
                  <w:tcW w:w="321" w:type="pct"/>
                  <w:tcBorders>
                    <w:tl2br w:val="nil"/>
                    <w:tr2bl w:val="nil"/>
                  </w:tcBorders>
                  <w:shd w:val="clear" w:color="auto" w:fill="auto"/>
                  <w:noWrap w:val="0"/>
                  <w:vAlign w:val="center"/>
                </w:tcPr>
                <w:p w14:paraId="7F5E0A4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w:t>
                  </w:r>
                </w:p>
              </w:tc>
              <w:tc>
                <w:tcPr>
                  <w:tcW w:w="455" w:type="pct"/>
                  <w:tcBorders>
                    <w:tl2br w:val="nil"/>
                    <w:tr2bl w:val="nil"/>
                  </w:tcBorders>
                  <w:shd w:val="clear" w:color="auto" w:fill="auto"/>
                  <w:noWrap w:val="0"/>
                  <w:tcMar>
                    <w:left w:w="11" w:type="dxa"/>
                    <w:right w:w="11" w:type="dxa"/>
                  </w:tcMar>
                  <w:vAlign w:val="center"/>
                </w:tcPr>
                <w:p w14:paraId="2D10B10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80</w:t>
                  </w:r>
                </w:p>
                <w:p w14:paraId="4266EDE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41CC875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25</w:t>
                  </w:r>
                </w:p>
                <w:p w14:paraId="2783BF7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shd w:val="clear" w:color="auto" w:fill="auto"/>
                  <w:noWrap w:val="0"/>
                  <w:tcMar>
                    <w:left w:w="11" w:type="dxa"/>
                    <w:right w:w="11" w:type="dxa"/>
                  </w:tcMar>
                  <w:vAlign w:val="center"/>
                </w:tcPr>
                <w:p w14:paraId="627773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29.3</w:t>
                  </w:r>
                </w:p>
                <w:p w14:paraId="55C773D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63.0</w:t>
                  </w:r>
                </w:p>
                <w:p w14:paraId="1010B49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52.0</w:t>
                  </w:r>
                </w:p>
                <w:p w14:paraId="214D49F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59.2</w:t>
                  </w:r>
                </w:p>
              </w:tc>
              <w:tc>
                <w:tcPr>
                  <w:tcW w:w="250" w:type="pct"/>
                  <w:vMerge w:val="continue"/>
                  <w:tcBorders>
                    <w:tl2br w:val="nil"/>
                    <w:tr2bl w:val="nil"/>
                  </w:tcBorders>
                  <w:shd w:val="clear" w:color="auto" w:fill="auto"/>
                  <w:noWrap w:val="0"/>
                  <w:vAlign w:val="center"/>
                </w:tcPr>
                <w:p w14:paraId="778A9CE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6484C79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2DA0400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eastAsia="宋体"/>
                      <w:color w:val="auto"/>
                      <w:sz w:val="21"/>
                      <w:szCs w:val="21"/>
                      <w:highlight w:val="none"/>
                      <w:lang w:val="en-US" w:eastAsia="zh-CN" w:bidi="ar"/>
                    </w:rPr>
                    <w:t>14.3</w:t>
                  </w:r>
                </w:p>
                <w:p w14:paraId="0B90FE8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48.0</w:t>
                  </w:r>
                </w:p>
                <w:p w14:paraId="0B4792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37.0</w:t>
                  </w:r>
                </w:p>
                <w:p w14:paraId="4DD4AC6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44.2</w:t>
                  </w:r>
                </w:p>
              </w:tc>
              <w:tc>
                <w:tcPr>
                  <w:tcW w:w="448" w:type="pct"/>
                  <w:tcBorders>
                    <w:tl2br w:val="nil"/>
                    <w:tr2bl w:val="nil"/>
                  </w:tcBorders>
                  <w:shd w:val="clear" w:color="auto" w:fill="auto"/>
                  <w:noWrap w:val="0"/>
                  <w:vAlign w:val="center"/>
                </w:tcPr>
                <w:p w14:paraId="6D38892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09D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continue"/>
                  <w:tcBorders>
                    <w:tl2br w:val="nil"/>
                    <w:tr2bl w:val="nil"/>
                  </w:tcBorders>
                  <w:noWrap w:val="0"/>
                  <w:vAlign w:val="center"/>
                </w:tcPr>
                <w:p w14:paraId="230BBAB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213F547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#1静置罐</w:t>
                  </w:r>
                </w:p>
              </w:tc>
              <w:tc>
                <w:tcPr>
                  <w:tcW w:w="358" w:type="pct"/>
                  <w:tcBorders>
                    <w:tl2br w:val="nil"/>
                    <w:tr2bl w:val="nil"/>
                  </w:tcBorders>
                  <w:shd w:val="clear" w:color="auto" w:fill="auto"/>
                  <w:noWrap w:val="0"/>
                  <w:tcMar>
                    <w:left w:w="11" w:type="dxa"/>
                    <w:right w:w="11" w:type="dxa"/>
                  </w:tcMar>
                  <w:vAlign w:val="center"/>
                </w:tcPr>
                <w:p w14:paraId="454D50B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49CF167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0A192C1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5</w:t>
                  </w:r>
                </w:p>
              </w:tc>
              <w:tc>
                <w:tcPr>
                  <w:tcW w:w="336" w:type="pct"/>
                  <w:tcBorders>
                    <w:tl2br w:val="nil"/>
                    <w:tr2bl w:val="nil"/>
                  </w:tcBorders>
                  <w:shd w:val="clear" w:color="auto" w:fill="auto"/>
                  <w:noWrap w:val="0"/>
                  <w:vAlign w:val="center"/>
                </w:tcPr>
                <w:p w14:paraId="2221FFFD">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-35</w:t>
                  </w:r>
                </w:p>
              </w:tc>
              <w:tc>
                <w:tcPr>
                  <w:tcW w:w="321" w:type="pct"/>
                  <w:tcBorders>
                    <w:tl2br w:val="nil"/>
                    <w:tr2bl w:val="nil"/>
                  </w:tcBorders>
                  <w:shd w:val="clear" w:color="auto" w:fill="auto"/>
                  <w:noWrap w:val="0"/>
                  <w:vAlign w:val="center"/>
                </w:tcPr>
                <w:p w14:paraId="1F9125D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w:t>
                  </w:r>
                </w:p>
              </w:tc>
              <w:tc>
                <w:tcPr>
                  <w:tcW w:w="455" w:type="pct"/>
                  <w:tcBorders>
                    <w:tl2br w:val="nil"/>
                    <w:tr2bl w:val="nil"/>
                  </w:tcBorders>
                  <w:shd w:val="clear" w:color="auto" w:fill="auto"/>
                  <w:noWrap w:val="0"/>
                  <w:tcMar>
                    <w:left w:w="11" w:type="dxa"/>
                    <w:right w:w="11" w:type="dxa"/>
                  </w:tcMar>
                  <w:vAlign w:val="center"/>
                </w:tcPr>
                <w:p w14:paraId="6C392AC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75</w:t>
                  </w:r>
                </w:p>
                <w:p w14:paraId="2321E33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031019F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30</w:t>
                  </w:r>
                </w:p>
                <w:p w14:paraId="04976E8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shd w:val="clear" w:color="auto" w:fill="auto"/>
                  <w:noWrap w:val="0"/>
                  <w:tcMar>
                    <w:left w:w="11" w:type="dxa"/>
                    <w:right w:w="11" w:type="dxa"/>
                  </w:tcMar>
                  <w:vAlign w:val="center"/>
                </w:tcPr>
                <w:p w14:paraId="4CA19B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32.5</w:t>
                  </w:r>
                </w:p>
                <w:p w14:paraId="0E9B376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63.0</w:t>
                  </w:r>
                </w:p>
                <w:p w14:paraId="6BC3402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49.0</w:t>
                  </w:r>
                </w:p>
                <w:p w14:paraId="75ADE5F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63.0</w:t>
                  </w:r>
                </w:p>
              </w:tc>
              <w:tc>
                <w:tcPr>
                  <w:tcW w:w="250" w:type="pct"/>
                  <w:vMerge w:val="continue"/>
                  <w:tcBorders>
                    <w:tl2br w:val="nil"/>
                    <w:tr2bl w:val="nil"/>
                  </w:tcBorders>
                  <w:shd w:val="clear" w:color="auto" w:fill="auto"/>
                  <w:noWrap w:val="0"/>
                  <w:vAlign w:val="center"/>
                </w:tcPr>
                <w:p w14:paraId="7E2C13B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3C797F0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38A789F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eastAsia="宋体"/>
                      <w:color w:val="auto"/>
                      <w:sz w:val="21"/>
                      <w:szCs w:val="21"/>
                      <w:highlight w:val="none"/>
                      <w:lang w:val="en-US" w:eastAsia="zh-CN" w:bidi="ar"/>
                    </w:rPr>
                    <w:t>17.5</w:t>
                  </w:r>
                </w:p>
                <w:p w14:paraId="7AF102C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48.0</w:t>
                  </w:r>
                </w:p>
                <w:p w14:paraId="1F268E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34.0</w:t>
                  </w:r>
                </w:p>
                <w:p w14:paraId="3EF208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48.0</w:t>
                  </w:r>
                </w:p>
              </w:tc>
              <w:tc>
                <w:tcPr>
                  <w:tcW w:w="448" w:type="pct"/>
                  <w:tcBorders>
                    <w:tl2br w:val="nil"/>
                    <w:tr2bl w:val="nil"/>
                  </w:tcBorders>
                  <w:shd w:val="clear" w:color="auto" w:fill="auto"/>
                  <w:noWrap w:val="0"/>
                  <w:vAlign w:val="center"/>
                </w:tcPr>
                <w:p w14:paraId="1B11F1B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6EC1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continue"/>
                  <w:tcBorders>
                    <w:tl2br w:val="nil"/>
                    <w:tr2bl w:val="nil"/>
                  </w:tcBorders>
                  <w:noWrap w:val="0"/>
                  <w:vAlign w:val="center"/>
                </w:tcPr>
                <w:p w14:paraId="4C88EBD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55358F4D">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#2静置罐</w:t>
                  </w:r>
                </w:p>
              </w:tc>
              <w:tc>
                <w:tcPr>
                  <w:tcW w:w="358" w:type="pct"/>
                  <w:tcBorders>
                    <w:tl2br w:val="nil"/>
                    <w:tr2bl w:val="nil"/>
                  </w:tcBorders>
                  <w:shd w:val="clear" w:color="auto" w:fill="auto"/>
                  <w:noWrap w:val="0"/>
                  <w:tcMar>
                    <w:left w:w="11" w:type="dxa"/>
                    <w:right w:w="11" w:type="dxa"/>
                  </w:tcMar>
                  <w:vAlign w:val="center"/>
                </w:tcPr>
                <w:p w14:paraId="5DA7124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48A4AD1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66EBDB93">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shd w:val="clear" w:color="auto" w:fill="auto"/>
                  <w:noWrap w:val="0"/>
                  <w:vAlign w:val="center"/>
                </w:tcPr>
                <w:p w14:paraId="60B9D90A">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-35</w:t>
                  </w:r>
                </w:p>
              </w:tc>
              <w:tc>
                <w:tcPr>
                  <w:tcW w:w="321" w:type="pct"/>
                  <w:tcBorders>
                    <w:tl2br w:val="nil"/>
                    <w:tr2bl w:val="nil"/>
                  </w:tcBorders>
                  <w:shd w:val="clear" w:color="auto" w:fill="auto"/>
                  <w:noWrap w:val="0"/>
                  <w:vAlign w:val="center"/>
                </w:tcPr>
                <w:p w14:paraId="5E929974">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w:t>
                  </w:r>
                </w:p>
              </w:tc>
              <w:tc>
                <w:tcPr>
                  <w:tcW w:w="455" w:type="pct"/>
                  <w:tcBorders>
                    <w:tl2br w:val="nil"/>
                    <w:tr2bl w:val="nil"/>
                  </w:tcBorders>
                  <w:shd w:val="clear" w:color="auto" w:fill="auto"/>
                  <w:noWrap w:val="0"/>
                  <w:tcMar>
                    <w:left w:w="11" w:type="dxa"/>
                    <w:right w:w="11" w:type="dxa"/>
                  </w:tcMar>
                  <w:vAlign w:val="center"/>
                </w:tcPr>
                <w:p w14:paraId="022C6C2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75</w:t>
                  </w:r>
                </w:p>
                <w:p w14:paraId="79ADFFF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75EC6F1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30</w:t>
                  </w:r>
                </w:p>
                <w:p w14:paraId="3B7EC1D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shd w:val="clear" w:color="auto" w:fill="auto"/>
                  <w:noWrap w:val="0"/>
                  <w:tcMar>
                    <w:left w:w="11" w:type="dxa"/>
                    <w:right w:w="11" w:type="dxa"/>
                  </w:tcMar>
                  <w:vAlign w:val="center"/>
                </w:tcPr>
                <w:p w14:paraId="5DC1A6A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32.5</w:t>
                  </w:r>
                </w:p>
                <w:p w14:paraId="0E0A3EB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66.8</w:t>
                  </w:r>
                </w:p>
                <w:p w14:paraId="201439D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49.0</w:t>
                  </w:r>
                </w:p>
                <w:p w14:paraId="3EAC734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59.2</w:t>
                  </w:r>
                </w:p>
              </w:tc>
              <w:tc>
                <w:tcPr>
                  <w:tcW w:w="250" w:type="pct"/>
                  <w:vMerge w:val="continue"/>
                  <w:tcBorders>
                    <w:tl2br w:val="nil"/>
                    <w:tr2bl w:val="nil"/>
                  </w:tcBorders>
                  <w:shd w:val="clear" w:color="auto" w:fill="auto"/>
                  <w:noWrap w:val="0"/>
                  <w:vAlign w:val="center"/>
                </w:tcPr>
                <w:p w14:paraId="4E0EECA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5AEA4CA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69B0B61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eastAsia="宋体"/>
                      <w:color w:val="auto"/>
                      <w:sz w:val="21"/>
                      <w:szCs w:val="21"/>
                      <w:highlight w:val="none"/>
                      <w:lang w:val="en-US" w:eastAsia="zh-CN" w:bidi="ar"/>
                    </w:rPr>
                    <w:t>17.5</w:t>
                  </w:r>
                </w:p>
                <w:p w14:paraId="604B943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51.8</w:t>
                  </w:r>
                </w:p>
                <w:p w14:paraId="433E15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34.0</w:t>
                  </w:r>
                </w:p>
                <w:p w14:paraId="319602E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44.2</w:t>
                  </w:r>
                </w:p>
              </w:tc>
              <w:tc>
                <w:tcPr>
                  <w:tcW w:w="448" w:type="pct"/>
                  <w:tcBorders>
                    <w:tl2br w:val="nil"/>
                    <w:tr2bl w:val="nil"/>
                  </w:tcBorders>
                  <w:shd w:val="clear" w:color="auto" w:fill="auto"/>
                  <w:noWrap w:val="0"/>
                  <w:vAlign w:val="center"/>
                </w:tcPr>
                <w:p w14:paraId="20036B7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19ED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61" w:type="pct"/>
                  <w:vMerge w:val="continue"/>
                  <w:tcBorders>
                    <w:tl2br w:val="nil"/>
                    <w:tr2bl w:val="nil"/>
                  </w:tcBorders>
                  <w:noWrap w:val="0"/>
                  <w:vAlign w:val="center"/>
                </w:tcPr>
                <w:p w14:paraId="2525EBB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4818338C">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浓缩锅</w:t>
                  </w:r>
                </w:p>
              </w:tc>
              <w:tc>
                <w:tcPr>
                  <w:tcW w:w="358" w:type="pct"/>
                  <w:tcBorders>
                    <w:tl2br w:val="nil"/>
                    <w:tr2bl w:val="nil"/>
                  </w:tcBorders>
                  <w:shd w:val="clear" w:color="auto" w:fill="auto"/>
                  <w:noWrap w:val="0"/>
                  <w:tcMar>
                    <w:left w:w="11" w:type="dxa"/>
                    <w:right w:w="11" w:type="dxa"/>
                  </w:tcMar>
                  <w:vAlign w:val="center"/>
                </w:tcPr>
                <w:p w14:paraId="42D85B5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2ECF329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1D68BF3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36" w:type="pct"/>
                  <w:tcBorders>
                    <w:tl2br w:val="nil"/>
                    <w:tr2bl w:val="nil"/>
                  </w:tcBorders>
                  <w:shd w:val="clear" w:color="auto" w:fill="auto"/>
                  <w:noWrap w:val="0"/>
                  <w:vAlign w:val="center"/>
                </w:tcPr>
                <w:p w14:paraId="15482B61">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-35</w:t>
                  </w:r>
                </w:p>
              </w:tc>
              <w:tc>
                <w:tcPr>
                  <w:tcW w:w="321" w:type="pct"/>
                  <w:tcBorders>
                    <w:tl2br w:val="nil"/>
                    <w:tr2bl w:val="nil"/>
                  </w:tcBorders>
                  <w:shd w:val="clear" w:color="auto" w:fill="auto"/>
                  <w:noWrap w:val="0"/>
                  <w:vAlign w:val="center"/>
                </w:tcPr>
                <w:p w14:paraId="7E11AD35">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w:t>
                  </w:r>
                </w:p>
              </w:tc>
              <w:tc>
                <w:tcPr>
                  <w:tcW w:w="455" w:type="pct"/>
                  <w:tcBorders>
                    <w:tl2br w:val="nil"/>
                    <w:tr2bl w:val="nil"/>
                  </w:tcBorders>
                  <w:shd w:val="clear" w:color="auto" w:fill="auto"/>
                  <w:noWrap w:val="0"/>
                  <w:tcMar>
                    <w:left w:w="11" w:type="dxa"/>
                    <w:right w:w="11" w:type="dxa"/>
                  </w:tcMar>
                  <w:vAlign w:val="center"/>
                </w:tcPr>
                <w:p w14:paraId="733B32C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75</w:t>
                  </w:r>
                </w:p>
                <w:p w14:paraId="38674BA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15</w:t>
                  </w:r>
                </w:p>
                <w:p w14:paraId="4F199A6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33</w:t>
                  </w:r>
                </w:p>
                <w:p w14:paraId="78E467E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shd w:val="clear" w:color="auto" w:fill="auto"/>
                  <w:noWrap w:val="0"/>
                  <w:tcMar>
                    <w:left w:w="11" w:type="dxa"/>
                    <w:right w:w="11" w:type="dxa"/>
                  </w:tcMar>
                  <w:vAlign w:val="center"/>
                </w:tcPr>
                <w:p w14:paraId="7DB5BFB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32.5</w:t>
                  </w:r>
                </w:p>
                <w:p w14:paraId="3CF96EF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59.2</w:t>
                  </w:r>
                </w:p>
                <w:p w14:paraId="712EF4F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47.5</w:t>
                  </w:r>
                </w:p>
                <w:p w14:paraId="548725D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63.0</w:t>
                  </w:r>
                </w:p>
              </w:tc>
              <w:tc>
                <w:tcPr>
                  <w:tcW w:w="250" w:type="pct"/>
                  <w:vMerge w:val="continue"/>
                  <w:tcBorders>
                    <w:tl2br w:val="nil"/>
                    <w:tr2bl w:val="nil"/>
                  </w:tcBorders>
                  <w:shd w:val="clear" w:color="auto" w:fill="auto"/>
                  <w:noWrap w:val="0"/>
                  <w:vAlign w:val="center"/>
                </w:tcPr>
                <w:p w14:paraId="52824EE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0A097C2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17EEEA6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eastAsia="宋体"/>
                      <w:color w:val="auto"/>
                      <w:sz w:val="21"/>
                      <w:szCs w:val="21"/>
                      <w:highlight w:val="none"/>
                      <w:lang w:val="en-US" w:eastAsia="zh-CN" w:bidi="ar"/>
                    </w:rPr>
                    <w:t>17.5</w:t>
                  </w:r>
                </w:p>
                <w:p w14:paraId="06317ED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44.2</w:t>
                  </w:r>
                </w:p>
                <w:p w14:paraId="0CB059D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32.5</w:t>
                  </w:r>
                </w:p>
                <w:p w14:paraId="33B6482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48.0</w:t>
                  </w:r>
                </w:p>
              </w:tc>
              <w:tc>
                <w:tcPr>
                  <w:tcW w:w="448" w:type="pct"/>
                  <w:tcBorders>
                    <w:tl2br w:val="nil"/>
                    <w:tr2bl w:val="nil"/>
                  </w:tcBorders>
                  <w:shd w:val="clear" w:color="auto" w:fill="auto"/>
                  <w:noWrap w:val="0"/>
                  <w:vAlign w:val="center"/>
                </w:tcPr>
                <w:p w14:paraId="365D1A7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7BA2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61" w:type="pct"/>
                  <w:vMerge w:val="continue"/>
                  <w:tcBorders>
                    <w:tl2br w:val="nil"/>
                    <w:tr2bl w:val="nil"/>
                  </w:tcBorders>
                  <w:noWrap w:val="0"/>
                  <w:vAlign w:val="center"/>
                </w:tcPr>
                <w:p w14:paraId="539A2EA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009457EA">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过滤器</w:t>
                  </w:r>
                </w:p>
              </w:tc>
              <w:tc>
                <w:tcPr>
                  <w:tcW w:w="358" w:type="pct"/>
                  <w:tcBorders>
                    <w:tl2br w:val="nil"/>
                    <w:tr2bl w:val="nil"/>
                  </w:tcBorders>
                  <w:noWrap w:val="0"/>
                  <w:tcMar>
                    <w:left w:w="11" w:type="dxa"/>
                    <w:right w:w="11" w:type="dxa"/>
                  </w:tcMar>
                  <w:vAlign w:val="center"/>
                </w:tcPr>
                <w:p w14:paraId="7D0039B7">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478" w:type="pct"/>
                  <w:vMerge w:val="continue"/>
                  <w:tcBorders>
                    <w:tl2br w:val="nil"/>
                    <w:tr2bl w:val="nil"/>
                  </w:tcBorders>
                  <w:noWrap w:val="0"/>
                  <w:vAlign w:val="center"/>
                </w:tcPr>
                <w:p w14:paraId="56BE042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sz w:val="21"/>
                      <w:szCs w:val="21"/>
                      <w:highlight w:val="none"/>
                    </w:rPr>
                  </w:pPr>
                </w:p>
              </w:tc>
              <w:tc>
                <w:tcPr>
                  <w:tcW w:w="291" w:type="pct"/>
                  <w:tcBorders>
                    <w:tl2br w:val="nil"/>
                    <w:tr2bl w:val="nil"/>
                  </w:tcBorders>
                  <w:noWrap w:val="0"/>
                  <w:tcMar>
                    <w:left w:w="11" w:type="dxa"/>
                    <w:right w:w="11" w:type="dxa"/>
                  </w:tcMar>
                  <w:vAlign w:val="center"/>
                </w:tcPr>
                <w:p w14:paraId="36D69323">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22EE23E2">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-45</w:t>
                  </w:r>
                </w:p>
              </w:tc>
              <w:tc>
                <w:tcPr>
                  <w:tcW w:w="321" w:type="pct"/>
                  <w:tcBorders>
                    <w:tl2br w:val="nil"/>
                    <w:tr2bl w:val="nil"/>
                  </w:tcBorders>
                  <w:noWrap w:val="0"/>
                  <w:vAlign w:val="center"/>
                </w:tcPr>
                <w:p w14:paraId="1211D09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1</w:t>
                  </w:r>
                  <w:r>
                    <w:rPr>
                      <w:rFonts w:hint="eastAsia" w:cs="Times New Roman"/>
                      <w:color w:val="auto"/>
                      <w:kern w:val="0"/>
                      <w:szCs w:val="21"/>
                      <w:highlight w:val="none"/>
                      <w:lang w:val="en-US" w:eastAsia="zh-CN"/>
                    </w:rPr>
                    <w:t>.0</w:t>
                  </w:r>
                </w:p>
              </w:tc>
              <w:tc>
                <w:tcPr>
                  <w:tcW w:w="455" w:type="pct"/>
                  <w:tcBorders>
                    <w:tl2br w:val="nil"/>
                    <w:tr2bl w:val="nil"/>
                  </w:tcBorders>
                  <w:noWrap w:val="0"/>
                  <w:tcMar>
                    <w:left w:w="11" w:type="dxa"/>
                    <w:right w:w="11" w:type="dxa"/>
                  </w:tcMar>
                  <w:vAlign w:val="center"/>
                </w:tcPr>
                <w:p w14:paraId="5F3054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80</w:t>
                  </w:r>
                </w:p>
                <w:p w14:paraId="263E5F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0F3C1C3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30</w:t>
                  </w:r>
                </w:p>
                <w:p w14:paraId="1138FD6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noWrap w:val="0"/>
                  <w:tcMar>
                    <w:left w:w="11" w:type="dxa"/>
                    <w:right w:w="11" w:type="dxa"/>
                  </w:tcMar>
                  <w:vAlign w:val="center"/>
                </w:tcPr>
                <w:p w14:paraId="4D2E3C3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25.6</w:t>
                  </w:r>
                </w:p>
                <w:p w14:paraId="7E07CF3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67.4</w:t>
                  </w:r>
                </w:p>
                <w:p w14:paraId="370EAC7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53.2</w:t>
                  </w:r>
                </w:p>
                <w:p w14:paraId="4D341B6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63.2</w:t>
                  </w:r>
                </w:p>
              </w:tc>
              <w:tc>
                <w:tcPr>
                  <w:tcW w:w="250" w:type="pct"/>
                  <w:vMerge w:val="continue"/>
                  <w:tcBorders>
                    <w:tl2br w:val="nil"/>
                    <w:tr2bl w:val="nil"/>
                  </w:tcBorders>
                  <w:noWrap w:val="0"/>
                  <w:vAlign w:val="center"/>
                </w:tcPr>
                <w:p w14:paraId="3F82B95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p>
              </w:tc>
              <w:tc>
                <w:tcPr>
                  <w:tcW w:w="428" w:type="pct"/>
                  <w:tcBorders>
                    <w:tl2br w:val="nil"/>
                    <w:tr2bl w:val="nil"/>
                  </w:tcBorders>
                  <w:noWrap w:val="0"/>
                  <w:vAlign w:val="center"/>
                </w:tcPr>
                <w:p w14:paraId="1B98F2F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noWrap w:val="0"/>
                  <w:vAlign w:val="center"/>
                </w:tcPr>
                <w:p w14:paraId="7CC97F8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10.6</w:t>
                  </w:r>
                </w:p>
                <w:p w14:paraId="6574041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52.4</w:t>
                  </w:r>
                </w:p>
                <w:p w14:paraId="48ED409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38.2</w:t>
                  </w:r>
                </w:p>
                <w:p w14:paraId="347425C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olor w:val="auto"/>
                      <w:sz w:val="21"/>
                      <w:szCs w:val="21"/>
                      <w:highlight w:val="none"/>
                      <w:lang w:val="en-US"/>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48.2</w:t>
                  </w:r>
                </w:p>
              </w:tc>
              <w:tc>
                <w:tcPr>
                  <w:tcW w:w="448" w:type="pct"/>
                  <w:tcBorders>
                    <w:tl2br w:val="nil"/>
                    <w:tr2bl w:val="nil"/>
                  </w:tcBorders>
                  <w:noWrap w:val="0"/>
                  <w:vAlign w:val="center"/>
                </w:tcPr>
                <w:p w14:paraId="741240B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429F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noWrap w:val="0"/>
                  <w:vAlign w:val="center"/>
                </w:tcPr>
                <w:p w14:paraId="18B63C2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28BD3A02">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高压均质机</w:t>
                  </w:r>
                </w:p>
              </w:tc>
              <w:tc>
                <w:tcPr>
                  <w:tcW w:w="358" w:type="pct"/>
                  <w:tcBorders>
                    <w:tl2br w:val="nil"/>
                    <w:tr2bl w:val="nil"/>
                  </w:tcBorders>
                  <w:noWrap w:val="0"/>
                  <w:tcMar>
                    <w:left w:w="11" w:type="dxa"/>
                    <w:right w:w="11" w:type="dxa"/>
                  </w:tcMar>
                  <w:vAlign w:val="center"/>
                </w:tcPr>
                <w:p w14:paraId="6FA89A74">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noWrap w:val="0"/>
                  <w:vAlign w:val="center"/>
                </w:tcPr>
                <w:p w14:paraId="5F7F7AB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rPr>
                  </w:pPr>
                </w:p>
              </w:tc>
              <w:tc>
                <w:tcPr>
                  <w:tcW w:w="291" w:type="pct"/>
                  <w:tcBorders>
                    <w:tl2br w:val="nil"/>
                    <w:tr2bl w:val="nil"/>
                  </w:tcBorders>
                  <w:noWrap w:val="0"/>
                  <w:tcMar>
                    <w:left w:w="11" w:type="dxa"/>
                    <w:right w:w="11" w:type="dxa"/>
                  </w:tcMar>
                  <w:vAlign w:val="center"/>
                </w:tcPr>
                <w:p w14:paraId="012BB63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c>
                <w:tcPr>
                  <w:tcW w:w="336" w:type="pct"/>
                  <w:tcBorders>
                    <w:tl2br w:val="nil"/>
                    <w:tr2bl w:val="nil"/>
                  </w:tcBorders>
                  <w:noWrap w:val="0"/>
                  <w:vAlign w:val="center"/>
                </w:tcPr>
                <w:p w14:paraId="1DC6FE0B">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w:t>
                  </w:r>
                </w:p>
              </w:tc>
              <w:tc>
                <w:tcPr>
                  <w:tcW w:w="321" w:type="pct"/>
                  <w:tcBorders>
                    <w:tl2br w:val="nil"/>
                    <w:tr2bl w:val="nil"/>
                  </w:tcBorders>
                  <w:noWrap w:val="0"/>
                  <w:vAlign w:val="center"/>
                </w:tcPr>
                <w:p w14:paraId="50EE079D">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455" w:type="pct"/>
                  <w:tcBorders>
                    <w:tl2br w:val="nil"/>
                    <w:tr2bl w:val="nil"/>
                  </w:tcBorders>
                  <w:noWrap w:val="0"/>
                  <w:tcMar>
                    <w:left w:w="11" w:type="dxa"/>
                    <w:right w:w="11" w:type="dxa"/>
                  </w:tcMar>
                  <w:vAlign w:val="center"/>
                </w:tcPr>
                <w:p w14:paraId="5C0986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75</w:t>
                  </w:r>
                </w:p>
                <w:p w14:paraId="14475B3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15</w:t>
                  </w:r>
                </w:p>
                <w:p w14:paraId="0D67F9D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33</w:t>
                  </w:r>
                </w:p>
                <w:p w14:paraId="272507D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noWrap w:val="0"/>
                  <w:tcMar>
                    <w:left w:w="11" w:type="dxa"/>
                    <w:right w:w="11" w:type="dxa"/>
                  </w:tcMar>
                  <w:vAlign w:val="center"/>
                </w:tcPr>
                <w:p w14:paraId="78A4326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32.5</w:t>
                  </w:r>
                </w:p>
                <w:p w14:paraId="3EDE25D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59.2</w:t>
                  </w:r>
                </w:p>
                <w:p w14:paraId="068F6F0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47.5</w:t>
                  </w:r>
                </w:p>
                <w:p w14:paraId="4E2E8E0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63.0</w:t>
                  </w:r>
                </w:p>
              </w:tc>
              <w:tc>
                <w:tcPr>
                  <w:tcW w:w="250" w:type="pct"/>
                  <w:vMerge w:val="continue"/>
                  <w:tcBorders>
                    <w:tl2br w:val="nil"/>
                    <w:tr2bl w:val="nil"/>
                  </w:tcBorders>
                  <w:noWrap w:val="0"/>
                  <w:vAlign w:val="center"/>
                </w:tcPr>
                <w:p w14:paraId="0EA84C3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1"/>
                      <w:szCs w:val="21"/>
                      <w:highlight w:val="none"/>
                      <w:lang w:val="en-US" w:eastAsia="zh-CN"/>
                    </w:rPr>
                  </w:pPr>
                </w:p>
              </w:tc>
              <w:tc>
                <w:tcPr>
                  <w:tcW w:w="428" w:type="pct"/>
                  <w:tcBorders>
                    <w:tl2br w:val="nil"/>
                    <w:tr2bl w:val="nil"/>
                  </w:tcBorders>
                  <w:noWrap w:val="0"/>
                  <w:vAlign w:val="center"/>
                </w:tcPr>
                <w:p w14:paraId="75C8667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noWrap w:val="0"/>
                  <w:vAlign w:val="center"/>
                </w:tcPr>
                <w:p w14:paraId="273BA4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17.5</w:t>
                  </w:r>
                </w:p>
                <w:p w14:paraId="32BAD04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44.2</w:t>
                  </w:r>
                </w:p>
                <w:p w14:paraId="0E272E7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32.5</w:t>
                  </w:r>
                </w:p>
                <w:p w14:paraId="6DA72E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48.0</w:t>
                  </w:r>
                </w:p>
              </w:tc>
              <w:tc>
                <w:tcPr>
                  <w:tcW w:w="448" w:type="pct"/>
                  <w:tcBorders>
                    <w:tl2br w:val="nil"/>
                    <w:tr2bl w:val="nil"/>
                  </w:tcBorders>
                  <w:noWrap w:val="0"/>
                  <w:vAlign w:val="center"/>
                </w:tcPr>
                <w:p w14:paraId="30BDB33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2C20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61" w:type="pct"/>
                  <w:vMerge w:val="continue"/>
                  <w:tcBorders>
                    <w:tl2br w:val="nil"/>
                    <w:tr2bl w:val="nil"/>
                  </w:tcBorders>
                  <w:noWrap w:val="0"/>
                  <w:vAlign w:val="center"/>
                </w:tcPr>
                <w:p w14:paraId="29FD926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7C865E7A">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调配罐</w:t>
                  </w:r>
                </w:p>
              </w:tc>
              <w:tc>
                <w:tcPr>
                  <w:tcW w:w="358" w:type="pct"/>
                  <w:tcBorders>
                    <w:tl2br w:val="nil"/>
                    <w:tr2bl w:val="nil"/>
                  </w:tcBorders>
                  <w:noWrap w:val="0"/>
                  <w:tcMar>
                    <w:left w:w="11" w:type="dxa"/>
                    <w:right w:w="11" w:type="dxa"/>
                  </w:tcMar>
                  <w:vAlign w:val="center"/>
                </w:tcPr>
                <w:p w14:paraId="4071192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noWrap w:val="0"/>
                  <w:vAlign w:val="center"/>
                </w:tcPr>
                <w:p w14:paraId="010FE26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noWrap w:val="0"/>
                  <w:tcMar>
                    <w:left w:w="11" w:type="dxa"/>
                    <w:right w:w="11" w:type="dxa"/>
                  </w:tcMar>
                  <w:vAlign w:val="center"/>
                </w:tcPr>
                <w:p w14:paraId="406ED2C8">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4A96E358">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321" w:type="pct"/>
                  <w:tcBorders>
                    <w:tl2br w:val="nil"/>
                    <w:tr2bl w:val="nil"/>
                  </w:tcBorders>
                  <w:noWrap w:val="0"/>
                  <w:vAlign w:val="center"/>
                </w:tcPr>
                <w:p w14:paraId="5BEC976B">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1</w:t>
                  </w:r>
                  <w:r>
                    <w:rPr>
                      <w:rFonts w:hint="eastAsia" w:cs="Times New Roman"/>
                      <w:color w:val="auto"/>
                      <w:kern w:val="0"/>
                      <w:szCs w:val="21"/>
                      <w:highlight w:val="none"/>
                      <w:lang w:val="en-US" w:eastAsia="zh-CN"/>
                    </w:rPr>
                    <w:t>.0</w:t>
                  </w:r>
                </w:p>
              </w:tc>
              <w:tc>
                <w:tcPr>
                  <w:tcW w:w="455" w:type="pct"/>
                  <w:tcBorders>
                    <w:tl2br w:val="nil"/>
                    <w:tr2bl w:val="nil"/>
                  </w:tcBorders>
                  <w:noWrap w:val="0"/>
                  <w:tcMar>
                    <w:left w:w="11" w:type="dxa"/>
                    <w:right w:w="11" w:type="dxa"/>
                  </w:tcMar>
                  <w:vAlign w:val="center"/>
                </w:tcPr>
                <w:p w14:paraId="3029B72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85</w:t>
                  </w:r>
                </w:p>
                <w:p w14:paraId="73CE106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20</w:t>
                  </w:r>
                </w:p>
                <w:p w14:paraId="47DF04B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25</w:t>
                  </w:r>
                </w:p>
                <w:p w14:paraId="051FF9B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w:t>
                  </w:r>
                </w:p>
              </w:tc>
              <w:tc>
                <w:tcPr>
                  <w:tcW w:w="470" w:type="pct"/>
                  <w:tcBorders>
                    <w:tl2br w:val="nil"/>
                    <w:tr2bl w:val="nil"/>
                  </w:tcBorders>
                  <w:noWrap w:val="0"/>
                  <w:tcMar>
                    <w:left w:w="11" w:type="dxa"/>
                    <w:right w:w="11" w:type="dxa"/>
                  </w:tcMar>
                  <w:vAlign w:val="center"/>
                </w:tcPr>
                <w:p w14:paraId="02333CB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26.7</w:t>
                  </w:r>
                </w:p>
                <w:p w14:paraId="2A457FE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55.0</w:t>
                  </w:r>
                </w:p>
                <w:p w14:paraId="6594521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52.0</w:t>
                  </w:r>
                </w:p>
                <w:p w14:paraId="4AF7E2F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65.5</w:t>
                  </w:r>
                </w:p>
              </w:tc>
              <w:tc>
                <w:tcPr>
                  <w:tcW w:w="250" w:type="pct"/>
                  <w:vMerge w:val="continue"/>
                  <w:tcBorders>
                    <w:tl2br w:val="nil"/>
                    <w:tr2bl w:val="nil"/>
                  </w:tcBorders>
                  <w:noWrap w:val="0"/>
                  <w:vAlign w:val="center"/>
                </w:tcPr>
                <w:p w14:paraId="1F7EF8C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1"/>
                      <w:szCs w:val="21"/>
                      <w:highlight w:val="none"/>
                      <w:lang w:val="en-US" w:eastAsia="zh-CN"/>
                    </w:rPr>
                  </w:pPr>
                </w:p>
              </w:tc>
              <w:tc>
                <w:tcPr>
                  <w:tcW w:w="428" w:type="pct"/>
                  <w:tcBorders>
                    <w:tl2br w:val="nil"/>
                    <w:tr2bl w:val="nil"/>
                  </w:tcBorders>
                  <w:noWrap w:val="0"/>
                  <w:vAlign w:val="center"/>
                </w:tcPr>
                <w:p w14:paraId="41695D8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noWrap w:val="0"/>
                  <w:vAlign w:val="center"/>
                </w:tcPr>
                <w:p w14:paraId="7167288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11.7</w:t>
                  </w:r>
                </w:p>
                <w:p w14:paraId="5A18774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40.0</w:t>
                  </w:r>
                </w:p>
                <w:p w14:paraId="1C12B17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37.0</w:t>
                  </w:r>
                </w:p>
                <w:p w14:paraId="4CFE0A1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50.5</w:t>
                  </w:r>
                </w:p>
              </w:tc>
              <w:tc>
                <w:tcPr>
                  <w:tcW w:w="448" w:type="pct"/>
                  <w:tcBorders>
                    <w:tl2br w:val="nil"/>
                    <w:tr2bl w:val="nil"/>
                  </w:tcBorders>
                  <w:noWrap w:val="0"/>
                  <w:vAlign w:val="center"/>
                </w:tcPr>
                <w:p w14:paraId="75ED394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7D5F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61" w:type="pct"/>
                  <w:vMerge w:val="continue"/>
                  <w:tcBorders>
                    <w:tl2br w:val="nil"/>
                    <w:tr2bl w:val="nil"/>
                  </w:tcBorders>
                  <w:noWrap w:val="0"/>
                  <w:vAlign w:val="center"/>
                </w:tcPr>
                <w:p w14:paraId="261E4CB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48D032F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灌装车</w:t>
                  </w:r>
                </w:p>
              </w:tc>
              <w:tc>
                <w:tcPr>
                  <w:tcW w:w="358" w:type="pct"/>
                  <w:tcBorders>
                    <w:tl2br w:val="nil"/>
                    <w:tr2bl w:val="nil"/>
                  </w:tcBorders>
                  <w:noWrap w:val="0"/>
                  <w:tcMar>
                    <w:left w:w="11" w:type="dxa"/>
                    <w:right w:w="11" w:type="dxa"/>
                  </w:tcMar>
                  <w:vAlign w:val="center"/>
                </w:tcPr>
                <w:p w14:paraId="54F92B46">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478" w:type="pct"/>
                  <w:vMerge w:val="continue"/>
                  <w:tcBorders>
                    <w:tl2br w:val="nil"/>
                    <w:tr2bl w:val="nil"/>
                  </w:tcBorders>
                  <w:noWrap w:val="0"/>
                  <w:vAlign w:val="center"/>
                </w:tcPr>
                <w:p w14:paraId="1082B21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noWrap w:val="0"/>
                  <w:tcMar>
                    <w:left w:w="11" w:type="dxa"/>
                    <w:right w:w="11" w:type="dxa"/>
                  </w:tcMar>
                  <w:vAlign w:val="center"/>
                </w:tcPr>
                <w:p w14:paraId="7AC3777F">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p>
              </w:tc>
              <w:tc>
                <w:tcPr>
                  <w:tcW w:w="336" w:type="pct"/>
                  <w:tcBorders>
                    <w:tl2br w:val="nil"/>
                    <w:tr2bl w:val="nil"/>
                  </w:tcBorders>
                  <w:noWrap w:val="0"/>
                  <w:vAlign w:val="center"/>
                </w:tcPr>
                <w:p w14:paraId="164D74C1">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20</w:t>
                  </w:r>
                </w:p>
              </w:tc>
              <w:tc>
                <w:tcPr>
                  <w:tcW w:w="321" w:type="pct"/>
                  <w:tcBorders>
                    <w:tl2br w:val="nil"/>
                    <w:tr2bl w:val="nil"/>
                  </w:tcBorders>
                  <w:noWrap w:val="0"/>
                  <w:vAlign w:val="center"/>
                </w:tcPr>
                <w:p w14:paraId="292AFB5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455" w:type="pct"/>
                  <w:tcBorders>
                    <w:tl2br w:val="nil"/>
                    <w:tr2bl w:val="nil"/>
                  </w:tcBorders>
                  <w:noWrap w:val="0"/>
                  <w:tcMar>
                    <w:left w:w="11" w:type="dxa"/>
                    <w:right w:w="11" w:type="dxa"/>
                  </w:tcMar>
                  <w:vAlign w:val="center"/>
                </w:tcPr>
                <w:p w14:paraId="329AF7F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35</w:t>
                  </w:r>
                </w:p>
                <w:p w14:paraId="44B1977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0C4CCB1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70</w:t>
                  </w:r>
                </w:p>
                <w:p w14:paraId="740BFA5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noWrap w:val="0"/>
                  <w:tcMar>
                    <w:left w:w="11" w:type="dxa"/>
                    <w:right w:w="11" w:type="dxa"/>
                  </w:tcMar>
                  <w:vAlign w:val="center"/>
                </w:tcPr>
                <w:p w14:paraId="3E9A4D4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49.0</w:t>
                  </w:r>
                </w:p>
                <w:p w14:paraId="2892392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67.4</w:t>
                  </w:r>
                </w:p>
                <w:p w14:paraId="4794E3C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32.3</w:t>
                  </w:r>
                </w:p>
                <w:p w14:paraId="1EB555F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63.2</w:t>
                  </w:r>
                </w:p>
              </w:tc>
              <w:tc>
                <w:tcPr>
                  <w:tcW w:w="250" w:type="pct"/>
                  <w:vMerge w:val="continue"/>
                  <w:tcBorders>
                    <w:tl2br w:val="nil"/>
                    <w:tr2bl w:val="nil"/>
                  </w:tcBorders>
                  <w:noWrap w:val="0"/>
                  <w:vAlign w:val="center"/>
                </w:tcPr>
                <w:p w14:paraId="73B6B17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1"/>
                      <w:szCs w:val="21"/>
                      <w:highlight w:val="none"/>
                      <w:lang w:val="en-US" w:eastAsia="zh-CN"/>
                    </w:rPr>
                  </w:pPr>
                </w:p>
              </w:tc>
              <w:tc>
                <w:tcPr>
                  <w:tcW w:w="428" w:type="pct"/>
                  <w:tcBorders>
                    <w:tl2br w:val="nil"/>
                    <w:tr2bl w:val="nil"/>
                  </w:tcBorders>
                  <w:noWrap w:val="0"/>
                  <w:vAlign w:val="center"/>
                </w:tcPr>
                <w:p w14:paraId="3FE1CC5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3CB4B2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34.0</w:t>
                  </w:r>
                </w:p>
                <w:p w14:paraId="627A0E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52.4</w:t>
                  </w:r>
                </w:p>
                <w:p w14:paraId="07D674C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17.3</w:t>
                  </w:r>
                </w:p>
                <w:p w14:paraId="7B1C96F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48.2</w:t>
                  </w:r>
                </w:p>
              </w:tc>
              <w:tc>
                <w:tcPr>
                  <w:tcW w:w="448" w:type="pct"/>
                  <w:tcBorders>
                    <w:tl2br w:val="nil"/>
                    <w:tr2bl w:val="nil"/>
                  </w:tcBorders>
                  <w:noWrap w:val="0"/>
                  <w:vAlign w:val="center"/>
                </w:tcPr>
                <w:p w14:paraId="225F399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5A61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61" w:type="pct"/>
                  <w:vMerge w:val="continue"/>
                  <w:tcBorders>
                    <w:tl2br w:val="nil"/>
                    <w:tr2bl w:val="nil"/>
                  </w:tcBorders>
                  <w:noWrap w:val="0"/>
                  <w:vAlign w:val="center"/>
                </w:tcPr>
                <w:p w14:paraId="4129D18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02CD93BC">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热水罐</w:t>
                  </w:r>
                </w:p>
              </w:tc>
              <w:tc>
                <w:tcPr>
                  <w:tcW w:w="358" w:type="pct"/>
                  <w:tcBorders>
                    <w:tl2br w:val="nil"/>
                    <w:tr2bl w:val="nil"/>
                  </w:tcBorders>
                  <w:shd w:val="clear" w:color="auto" w:fill="auto"/>
                  <w:noWrap w:val="0"/>
                  <w:tcMar>
                    <w:left w:w="11" w:type="dxa"/>
                    <w:right w:w="11" w:type="dxa"/>
                  </w:tcMar>
                  <w:vAlign w:val="center"/>
                </w:tcPr>
                <w:p w14:paraId="3AA63ECF">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shd w:val="clear" w:color="auto" w:fill="auto"/>
                  <w:noWrap w:val="0"/>
                  <w:vAlign w:val="center"/>
                </w:tcPr>
                <w:p w14:paraId="2055F0A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18AFBB7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shd w:val="clear" w:color="auto" w:fill="auto"/>
                  <w:noWrap w:val="0"/>
                  <w:vAlign w:val="center"/>
                </w:tcPr>
                <w:p w14:paraId="1DA2D340">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25</w:t>
                  </w:r>
                </w:p>
              </w:tc>
              <w:tc>
                <w:tcPr>
                  <w:tcW w:w="321" w:type="pct"/>
                  <w:tcBorders>
                    <w:tl2br w:val="nil"/>
                    <w:tr2bl w:val="nil"/>
                  </w:tcBorders>
                  <w:shd w:val="clear" w:color="auto" w:fill="auto"/>
                  <w:noWrap w:val="0"/>
                  <w:vAlign w:val="center"/>
                </w:tcPr>
                <w:p w14:paraId="6BC11FA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1.5</w:t>
                  </w:r>
                </w:p>
              </w:tc>
              <w:tc>
                <w:tcPr>
                  <w:tcW w:w="455" w:type="pct"/>
                  <w:tcBorders>
                    <w:tl2br w:val="nil"/>
                    <w:tr2bl w:val="nil"/>
                  </w:tcBorders>
                  <w:shd w:val="clear" w:color="auto" w:fill="auto"/>
                  <w:noWrap w:val="0"/>
                  <w:tcMar>
                    <w:left w:w="11" w:type="dxa"/>
                    <w:right w:w="11" w:type="dxa"/>
                  </w:tcMar>
                  <w:vAlign w:val="center"/>
                </w:tcPr>
                <w:p w14:paraId="1602DEB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70</w:t>
                  </w:r>
                </w:p>
                <w:p w14:paraId="04F2897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433F882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35</w:t>
                  </w:r>
                </w:p>
                <w:p w14:paraId="1E9370D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20</w:t>
                  </w:r>
                </w:p>
              </w:tc>
              <w:tc>
                <w:tcPr>
                  <w:tcW w:w="470" w:type="pct"/>
                  <w:tcBorders>
                    <w:tl2br w:val="nil"/>
                    <w:tr2bl w:val="nil"/>
                  </w:tcBorders>
                  <w:shd w:val="clear" w:color="auto" w:fill="auto"/>
                  <w:noWrap w:val="0"/>
                  <w:tcMar>
                    <w:left w:w="11" w:type="dxa"/>
                    <w:right w:w="11" w:type="dxa"/>
                  </w:tcMar>
                  <w:vAlign w:val="center"/>
                </w:tcPr>
                <w:p w14:paraId="6AAC08F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34.5</w:t>
                  </w:r>
                </w:p>
                <w:p w14:paraId="51F1C80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66.8</w:t>
                  </w:r>
                </w:p>
                <w:p w14:paraId="29B77A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46.3</w:t>
                  </w:r>
                </w:p>
                <w:p w14:paraId="7498367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55.0</w:t>
                  </w:r>
                </w:p>
              </w:tc>
              <w:tc>
                <w:tcPr>
                  <w:tcW w:w="250" w:type="pct"/>
                  <w:vMerge w:val="continue"/>
                  <w:tcBorders>
                    <w:tl2br w:val="nil"/>
                    <w:tr2bl w:val="nil"/>
                  </w:tcBorders>
                  <w:shd w:val="clear" w:color="auto" w:fill="auto"/>
                  <w:noWrap w:val="0"/>
                  <w:vAlign w:val="center"/>
                </w:tcPr>
                <w:p w14:paraId="3D85C87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46BBDB3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366ABA2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19.5</w:t>
                  </w:r>
                </w:p>
                <w:p w14:paraId="3371682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51.8</w:t>
                  </w:r>
                </w:p>
                <w:p w14:paraId="4D5E6DA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31.3</w:t>
                  </w:r>
                </w:p>
                <w:p w14:paraId="338B6A2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40.0</w:t>
                  </w:r>
                </w:p>
              </w:tc>
              <w:tc>
                <w:tcPr>
                  <w:tcW w:w="448" w:type="pct"/>
                  <w:tcBorders>
                    <w:tl2br w:val="nil"/>
                    <w:tr2bl w:val="nil"/>
                  </w:tcBorders>
                  <w:noWrap w:val="0"/>
                  <w:vAlign w:val="center"/>
                </w:tcPr>
                <w:p w14:paraId="7FFBD82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3CEE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61" w:type="pct"/>
                  <w:vMerge w:val="continue"/>
                  <w:tcBorders>
                    <w:tl2br w:val="nil"/>
                    <w:tr2bl w:val="nil"/>
                  </w:tcBorders>
                  <w:noWrap w:val="0"/>
                  <w:vAlign w:val="center"/>
                </w:tcPr>
                <w:p w14:paraId="24787DB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1BFFB582">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打包机</w:t>
                  </w:r>
                </w:p>
              </w:tc>
              <w:tc>
                <w:tcPr>
                  <w:tcW w:w="358" w:type="pct"/>
                  <w:tcBorders>
                    <w:tl2br w:val="nil"/>
                    <w:tr2bl w:val="nil"/>
                  </w:tcBorders>
                  <w:noWrap w:val="0"/>
                  <w:tcMar>
                    <w:left w:w="11" w:type="dxa"/>
                    <w:right w:w="11" w:type="dxa"/>
                  </w:tcMar>
                  <w:vAlign w:val="center"/>
                </w:tcPr>
                <w:p w14:paraId="0BED815C">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478" w:type="pct"/>
                  <w:vMerge w:val="continue"/>
                  <w:tcBorders>
                    <w:tl2br w:val="nil"/>
                    <w:tr2bl w:val="nil"/>
                  </w:tcBorders>
                  <w:noWrap w:val="0"/>
                  <w:vAlign w:val="center"/>
                </w:tcPr>
                <w:p w14:paraId="3474870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noWrap w:val="0"/>
                  <w:tcMar>
                    <w:left w:w="11" w:type="dxa"/>
                    <w:right w:w="11" w:type="dxa"/>
                  </w:tcMar>
                  <w:vAlign w:val="center"/>
                </w:tcPr>
                <w:p w14:paraId="741C8C6B">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3EDA69C0">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321" w:type="pct"/>
                  <w:tcBorders>
                    <w:tl2br w:val="nil"/>
                    <w:tr2bl w:val="nil"/>
                  </w:tcBorders>
                  <w:noWrap w:val="0"/>
                  <w:vAlign w:val="center"/>
                </w:tcPr>
                <w:p w14:paraId="50E4F1F6">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455" w:type="pct"/>
                  <w:tcBorders>
                    <w:tl2br w:val="nil"/>
                    <w:tr2bl w:val="nil"/>
                  </w:tcBorders>
                  <w:noWrap w:val="0"/>
                  <w:tcMar>
                    <w:left w:w="11" w:type="dxa"/>
                    <w:right w:w="11" w:type="dxa"/>
                  </w:tcMar>
                  <w:vAlign w:val="center"/>
                </w:tcPr>
                <w:p w14:paraId="68A58B9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60</w:t>
                  </w:r>
                </w:p>
                <w:p w14:paraId="3997D39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20</w:t>
                  </w:r>
                </w:p>
                <w:p w14:paraId="6BA11D0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50</w:t>
                  </w:r>
                </w:p>
                <w:p w14:paraId="7DE57AE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w:t>
                  </w:r>
                </w:p>
              </w:tc>
              <w:tc>
                <w:tcPr>
                  <w:tcW w:w="470" w:type="pct"/>
                  <w:tcBorders>
                    <w:tl2br w:val="nil"/>
                    <w:tr2bl w:val="nil"/>
                  </w:tcBorders>
                  <w:noWrap w:val="0"/>
                  <w:tcMar>
                    <w:left w:w="11" w:type="dxa"/>
                    <w:right w:w="11" w:type="dxa"/>
                  </w:tcMar>
                  <w:vAlign w:val="center"/>
                </w:tcPr>
                <w:p w14:paraId="398B2D7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36.5</w:t>
                  </w:r>
                </w:p>
                <w:p w14:paraId="5F36CE7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55.0</w:t>
                  </w:r>
                </w:p>
                <w:p w14:paraId="6FD8813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40.6</w:t>
                  </w:r>
                </w:p>
                <w:p w14:paraId="1F42B80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66.8</w:t>
                  </w:r>
                </w:p>
              </w:tc>
              <w:tc>
                <w:tcPr>
                  <w:tcW w:w="250" w:type="pct"/>
                  <w:vMerge w:val="continue"/>
                  <w:tcBorders>
                    <w:tl2br w:val="nil"/>
                    <w:tr2bl w:val="nil"/>
                  </w:tcBorders>
                  <w:noWrap w:val="0"/>
                  <w:vAlign w:val="center"/>
                </w:tcPr>
                <w:p w14:paraId="2565C1D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1"/>
                      <w:szCs w:val="21"/>
                      <w:highlight w:val="none"/>
                      <w:lang w:val="en-US" w:eastAsia="zh-CN"/>
                    </w:rPr>
                  </w:pPr>
                </w:p>
              </w:tc>
              <w:tc>
                <w:tcPr>
                  <w:tcW w:w="428" w:type="pct"/>
                  <w:tcBorders>
                    <w:tl2br w:val="nil"/>
                    <w:tr2bl w:val="nil"/>
                  </w:tcBorders>
                  <w:noWrap w:val="0"/>
                  <w:vAlign w:val="center"/>
                </w:tcPr>
                <w:p w14:paraId="7F2C684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2D5249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21.5</w:t>
                  </w:r>
                </w:p>
                <w:p w14:paraId="1A9AD0F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40.0</w:t>
                  </w:r>
                </w:p>
                <w:p w14:paraId="38C959E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25.6</w:t>
                  </w:r>
                </w:p>
                <w:p w14:paraId="614567B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51.8</w:t>
                  </w:r>
                </w:p>
              </w:tc>
              <w:tc>
                <w:tcPr>
                  <w:tcW w:w="448" w:type="pct"/>
                  <w:tcBorders>
                    <w:tl2br w:val="nil"/>
                    <w:tr2bl w:val="nil"/>
                  </w:tcBorders>
                  <w:noWrap w:val="0"/>
                  <w:vAlign w:val="center"/>
                </w:tcPr>
                <w:p w14:paraId="50DA3A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6E7E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noWrap w:val="0"/>
                  <w:vAlign w:val="center"/>
                </w:tcPr>
                <w:p w14:paraId="0AB6321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05D53C71">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#1炒制锅</w:t>
                  </w:r>
                </w:p>
              </w:tc>
              <w:tc>
                <w:tcPr>
                  <w:tcW w:w="358" w:type="pct"/>
                  <w:tcBorders>
                    <w:tl2br w:val="nil"/>
                    <w:tr2bl w:val="nil"/>
                  </w:tcBorders>
                  <w:noWrap w:val="0"/>
                  <w:tcMar>
                    <w:left w:w="11" w:type="dxa"/>
                    <w:right w:w="11" w:type="dxa"/>
                  </w:tcMar>
                  <w:vAlign w:val="center"/>
                </w:tcPr>
                <w:p w14:paraId="28C3D34A">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7</w:t>
                  </w:r>
                  <w:r>
                    <w:rPr>
                      <w:rFonts w:hint="eastAsia" w:cs="Times New Roman"/>
                      <w:color w:val="auto"/>
                      <w:szCs w:val="21"/>
                      <w:highlight w:val="none"/>
                      <w:lang w:val="en-US" w:eastAsia="zh-CN"/>
                    </w:rPr>
                    <w:t>5</w:t>
                  </w:r>
                </w:p>
              </w:tc>
              <w:tc>
                <w:tcPr>
                  <w:tcW w:w="478" w:type="pct"/>
                  <w:vMerge w:val="continue"/>
                  <w:tcBorders>
                    <w:tl2br w:val="nil"/>
                    <w:tr2bl w:val="nil"/>
                  </w:tcBorders>
                  <w:noWrap w:val="0"/>
                  <w:vAlign w:val="center"/>
                </w:tcPr>
                <w:p w14:paraId="5B58A5E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291" w:type="pct"/>
                  <w:tcBorders>
                    <w:tl2br w:val="nil"/>
                    <w:tr2bl w:val="nil"/>
                  </w:tcBorders>
                  <w:noWrap w:val="0"/>
                  <w:tcMar>
                    <w:left w:w="11" w:type="dxa"/>
                    <w:right w:w="11" w:type="dxa"/>
                  </w:tcMar>
                  <w:vAlign w:val="center"/>
                </w:tcPr>
                <w:p w14:paraId="373C966E">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336" w:type="pct"/>
                  <w:tcBorders>
                    <w:tl2br w:val="nil"/>
                    <w:tr2bl w:val="nil"/>
                  </w:tcBorders>
                  <w:noWrap w:val="0"/>
                  <w:vAlign w:val="center"/>
                </w:tcPr>
                <w:p w14:paraId="70A17ECD">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321" w:type="pct"/>
                  <w:tcBorders>
                    <w:tl2br w:val="nil"/>
                    <w:tr2bl w:val="nil"/>
                  </w:tcBorders>
                  <w:noWrap w:val="0"/>
                  <w:vAlign w:val="center"/>
                </w:tcPr>
                <w:p w14:paraId="04BC86F6">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.0</w:t>
                  </w:r>
                </w:p>
              </w:tc>
              <w:tc>
                <w:tcPr>
                  <w:tcW w:w="455" w:type="pct"/>
                  <w:tcBorders>
                    <w:tl2br w:val="nil"/>
                    <w:tr2bl w:val="nil"/>
                  </w:tcBorders>
                  <w:noWrap w:val="0"/>
                  <w:tcMar>
                    <w:left w:w="11" w:type="dxa"/>
                    <w:right w:w="11" w:type="dxa"/>
                  </w:tcMar>
                  <w:vAlign w:val="center"/>
                </w:tcPr>
                <w:p w14:paraId="6E5E298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25</w:t>
                  </w:r>
                </w:p>
                <w:p w14:paraId="16B8B8C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20</w:t>
                  </w:r>
                </w:p>
                <w:p w14:paraId="3C1C8AD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85</w:t>
                  </w:r>
                </w:p>
                <w:p w14:paraId="432F7EF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5</w:t>
                  </w:r>
                </w:p>
              </w:tc>
              <w:tc>
                <w:tcPr>
                  <w:tcW w:w="470" w:type="pct"/>
                  <w:tcBorders>
                    <w:tl2br w:val="nil"/>
                    <w:tr2bl w:val="nil"/>
                  </w:tcBorders>
                  <w:noWrap w:val="0"/>
                  <w:tcMar>
                    <w:left w:w="11" w:type="dxa"/>
                    <w:right w:w="11" w:type="dxa"/>
                  </w:tcMar>
                  <w:vAlign w:val="center"/>
                </w:tcPr>
                <w:p w14:paraId="4272662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55.8</w:t>
                  </w:r>
                </w:p>
                <w:p w14:paraId="37D39AD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59.0</w:t>
                  </w:r>
                </w:p>
                <w:p w14:paraId="639FE0B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23.0</w:t>
                  </w:r>
                </w:p>
                <w:p w14:paraId="03995A0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47.5</w:t>
                  </w:r>
                </w:p>
              </w:tc>
              <w:tc>
                <w:tcPr>
                  <w:tcW w:w="250" w:type="pct"/>
                  <w:vMerge w:val="continue"/>
                  <w:tcBorders>
                    <w:tl2br w:val="nil"/>
                    <w:tr2bl w:val="nil"/>
                  </w:tcBorders>
                  <w:noWrap w:val="0"/>
                  <w:vAlign w:val="center"/>
                </w:tcPr>
                <w:p w14:paraId="4686EEC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color w:val="auto"/>
                      <w:sz w:val="21"/>
                      <w:szCs w:val="21"/>
                      <w:highlight w:val="none"/>
                    </w:rPr>
                  </w:pPr>
                </w:p>
              </w:tc>
              <w:tc>
                <w:tcPr>
                  <w:tcW w:w="428" w:type="pct"/>
                  <w:tcBorders>
                    <w:tl2br w:val="nil"/>
                    <w:tr2bl w:val="nil"/>
                  </w:tcBorders>
                  <w:noWrap w:val="0"/>
                  <w:vAlign w:val="center"/>
                </w:tcPr>
                <w:p w14:paraId="73DBB89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3FEC086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40.8</w:t>
                  </w:r>
                </w:p>
                <w:p w14:paraId="04A6DBB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44.0</w:t>
                  </w:r>
                </w:p>
                <w:p w14:paraId="0AC4A79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8.0</w:t>
                  </w:r>
                </w:p>
                <w:p w14:paraId="1975CB0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32.5</w:t>
                  </w:r>
                </w:p>
              </w:tc>
              <w:tc>
                <w:tcPr>
                  <w:tcW w:w="448" w:type="pct"/>
                  <w:tcBorders>
                    <w:tl2br w:val="nil"/>
                    <w:tr2bl w:val="nil"/>
                  </w:tcBorders>
                  <w:noWrap w:val="0"/>
                  <w:vAlign w:val="center"/>
                </w:tcPr>
                <w:p w14:paraId="17C2438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eastAsia="宋体"/>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171D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noWrap w:val="0"/>
                  <w:vAlign w:val="center"/>
                </w:tcPr>
                <w:p w14:paraId="4A1A869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shd w:val="clear" w:color="auto" w:fill="auto"/>
                  <w:noWrap w:val="0"/>
                  <w:tcMar>
                    <w:left w:w="11" w:type="dxa"/>
                    <w:right w:w="11" w:type="dxa"/>
                  </w:tcMar>
                  <w:vAlign w:val="center"/>
                </w:tcPr>
                <w:p w14:paraId="6D1B998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#2炒制锅</w:t>
                  </w:r>
                </w:p>
              </w:tc>
              <w:tc>
                <w:tcPr>
                  <w:tcW w:w="358" w:type="pct"/>
                  <w:tcBorders>
                    <w:tl2br w:val="nil"/>
                    <w:tr2bl w:val="nil"/>
                  </w:tcBorders>
                  <w:shd w:val="clear" w:color="auto" w:fill="auto"/>
                  <w:noWrap w:val="0"/>
                  <w:tcMar>
                    <w:left w:w="11" w:type="dxa"/>
                    <w:right w:w="11" w:type="dxa"/>
                  </w:tcMar>
                  <w:vAlign w:val="center"/>
                </w:tcPr>
                <w:p w14:paraId="4ABDDA6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7</w:t>
                  </w:r>
                  <w:r>
                    <w:rPr>
                      <w:rFonts w:hint="eastAsia" w:cs="Times New Roman"/>
                      <w:color w:val="auto"/>
                      <w:szCs w:val="21"/>
                      <w:highlight w:val="none"/>
                      <w:lang w:val="en-US" w:eastAsia="zh-CN"/>
                    </w:rPr>
                    <w:t>5</w:t>
                  </w:r>
                </w:p>
              </w:tc>
              <w:tc>
                <w:tcPr>
                  <w:tcW w:w="478" w:type="pct"/>
                  <w:vMerge w:val="continue"/>
                  <w:tcBorders>
                    <w:tl2br w:val="nil"/>
                    <w:tr2bl w:val="nil"/>
                  </w:tcBorders>
                  <w:shd w:val="clear" w:color="auto" w:fill="auto"/>
                  <w:noWrap w:val="0"/>
                  <w:vAlign w:val="center"/>
                </w:tcPr>
                <w:p w14:paraId="002D698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7A5A59B4">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336" w:type="pct"/>
                  <w:tcBorders>
                    <w:tl2br w:val="nil"/>
                    <w:tr2bl w:val="nil"/>
                  </w:tcBorders>
                  <w:shd w:val="clear" w:color="auto" w:fill="auto"/>
                  <w:noWrap w:val="0"/>
                  <w:vAlign w:val="center"/>
                </w:tcPr>
                <w:p w14:paraId="456A7747">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321" w:type="pct"/>
                  <w:tcBorders>
                    <w:tl2br w:val="nil"/>
                    <w:tr2bl w:val="nil"/>
                  </w:tcBorders>
                  <w:shd w:val="clear" w:color="auto" w:fill="auto"/>
                  <w:noWrap w:val="0"/>
                  <w:vAlign w:val="center"/>
                </w:tcPr>
                <w:p w14:paraId="3F32D54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.0</w:t>
                  </w:r>
                </w:p>
              </w:tc>
              <w:tc>
                <w:tcPr>
                  <w:tcW w:w="455" w:type="pct"/>
                  <w:tcBorders>
                    <w:tl2br w:val="nil"/>
                    <w:tr2bl w:val="nil"/>
                  </w:tcBorders>
                  <w:shd w:val="clear" w:color="auto" w:fill="auto"/>
                  <w:noWrap w:val="0"/>
                  <w:tcMar>
                    <w:left w:w="11" w:type="dxa"/>
                    <w:right w:w="11" w:type="dxa"/>
                  </w:tcMar>
                  <w:vAlign w:val="center"/>
                </w:tcPr>
                <w:p w14:paraId="4E18F02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25</w:t>
                  </w:r>
                </w:p>
                <w:p w14:paraId="51C9345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15</w:t>
                  </w:r>
                </w:p>
                <w:p w14:paraId="7662667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85</w:t>
                  </w:r>
                </w:p>
                <w:p w14:paraId="12A78B4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shd w:val="clear" w:color="auto" w:fill="auto"/>
                  <w:noWrap w:val="0"/>
                  <w:tcMar>
                    <w:left w:w="11" w:type="dxa"/>
                    <w:right w:w="11" w:type="dxa"/>
                  </w:tcMar>
                  <w:vAlign w:val="center"/>
                </w:tcPr>
                <w:p w14:paraId="1215B09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55.8</w:t>
                  </w:r>
                </w:p>
                <w:p w14:paraId="69FDA20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63.2</w:t>
                  </w:r>
                </w:p>
                <w:p w14:paraId="54BC866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23.0</w:t>
                  </w:r>
                </w:p>
                <w:p w14:paraId="57B97C7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67.4</w:t>
                  </w:r>
                </w:p>
              </w:tc>
              <w:tc>
                <w:tcPr>
                  <w:tcW w:w="250" w:type="pct"/>
                  <w:vMerge w:val="continue"/>
                  <w:tcBorders>
                    <w:tl2br w:val="nil"/>
                    <w:tr2bl w:val="nil"/>
                  </w:tcBorders>
                  <w:shd w:val="clear" w:color="auto" w:fill="auto"/>
                  <w:noWrap w:val="0"/>
                  <w:vAlign w:val="center"/>
                </w:tcPr>
                <w:p w14:paraId="71080F2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6958C70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5A45AB1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40.8</w:t>
                  </w:r>
                </w:p>
                <w:p w14:paraId="3CE27A1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48.2</w:t>
                  </w:r>
                </w:p>
                <w:p w14:paraId="2EDCF7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8.0</w:t>
                  </w:r>
                </w:p>
                <w:p w14:paraId="2DC92E7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52.4</w:t>
                  </w:r>
                </w:p>
              </w:tc>
              <w:tc>
                <w:tcPr>
                  <w:tcW w:w="448" w:type="pct"/>
                  <w:tcBorders>
                    <w:tl2br w:val="nil"/>
                    <w:tr2bl w:val="nil"/>
                  </w:tcBorders>
                  <w:shd w:val="clear" w:color="auto" w:fill="auto"/>
                  <w:noWrap w:val="0"/>
                  <w:vAlign w:val="center"/>
                </w:tcPr>
                <w:p w14:paraId="788035E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699E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noWrap w:val="0"/>
                  <w:vAlign w:val="center"/>
                </w:tcPr>
                <w:p w14:paraId="13C16C2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shd w:val="clear" w:color="auto" w:fill="auto"/>
                  <w:noWrap w:val="0"/>
                  <w:tcMar>
                    <w:left w:w="11" w:type="dxa"/>
                    <w:right w:w="11" w:type="dxa"/>
                  </w:tcMar>
                  <w:vAlign w:val="center"/>
                </w:tcPr>
                <w:p w14:paraId="5843C69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#3炒制锅</w:t>
                  </w:r>
                </w:p>
              </w:tc>
              <w:tc>
                <w:tcPr>
                  <w:tcW w:w="358" w:type="pct"/>
                  <w:tcBorders>
                    <w:tl2br w:val="nil"/>
                    <w:tr2bl w:val="nil"/>
                  </w:tcBorders>
                  <w:shd w:val="clear" w:color="auto" w:fill="auto"/>
                  <w:noWrap w:val="0"/>
                  <w:tcMar>
                    <w:left w:w="11" w:type="dxa"/>
                    <w:right w:w="11" w:type="dxa"/>
                  </w:tcMar>
                  <w:vAlign w:val="center"/>
                </w:tcPr>
                <w:p w14:paraId="02A1AE6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7</w:t>
                  </w:r>
                  <w:r>
                    <w:rPr>
                      <w:rFonts w:hint="eastAsia" w:cs="Times New Roman"/>
                      <w:color w:val="auto"/>
                      <w:szCs w:val="21"/>
                      <w:highlight w:val="none"/>
                      <w:lang w:val="en-US" w:eastAsia="zh-CN"/>
                    </w:rPr>
                    <w:t>5</w:t>
                  </w:r>
                </w:p>
              </w:tc>
              <w:tc>
                <w:tcPr>
                  <w:tcW w:w="478" w:type="pct"/>
                  <w:vMerge w:val="continue"/>
                  <w:tcBorders>
                    <w:tl2br w:val="nil"/>
                    <w:tr2bl w:val="nil"/>
                  </w:tcBorders>
                  <w:shd w:val="clear" w:color="auto" w:fill="auto"/>
                  <w:noWrap w:val="0"/>
                  <w:vAlign w:val="center"/>
                </w:tcPr>
                <w:p w14:paraId="6F99C27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154FA277">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336" w:type="pct"/>
                  <w:tcBorders>
                    <w:tl2br w:val="nil"/>
                    <w:tr2bl w:val="nil"/>
                  </w:tcBorders>
                  <w:shd w:val="clear" w:color="auto" w:fill="auto"/>
                  <w:noWrap w:val="0"/>
                  <w:vAlign w:val="center"/>
                </w:tcPr>
                <w:p w14:paraId="0A1F7434">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321" w:type="pct"/>
                  <w:tcBorders>
                    <w:tl2br w:val="nil"/>
                    <w:tr2bl w:val="nil"/>
                  </w:tcBorders>
                  <w:shd w:val="clear" w:color="auto" w:fill="auto"/>
                  <w:noWrap w:val="0"/>
                  <w:vAlign w:val="center"/>
                </w:tcPr>
                <w:p w14:paraId="353FA99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.0</w:t>
                  </w:r>
                </w:p>
              </w:tc>
              <w:tc>
                <w:tcPr>
                  <w:tcW w:w="455" w:type="pct"/>
                  <w:tcBorders>
                    <w:tl2br w:val="nil"/>
                    <w:tr2bl w:val="nil"/>
                  </w:tcBorders>
                  <w:shd w:val="clear" w:color="auto" w:fill="auto"/>
                  <w:noWrap w:val="0"/>
                  <w:tcMar>
                    <w:left w:w="11" w:type="dxa"/>
                    <w:right w:w="11" w:type="dxa"/>
                  </w:tcMar>
                  <w:vAlign w:val="center"/>
                </w:tcPr>
                <w:p w14:paraId="1BAF2D2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25</w:t>
                  </w:r>
                </w:p>
                <w:p w14:paraId="34CD864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596993D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85</w:t>
                  </w:r>
                </w:p>
                <w:p w14:paraId="1D4A224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shd w:val="clear" w:color="auto" w:fill="auto"/>
                  <w:noWrap w:val="0"/>
                  <w:tcMar>
                    <w:left w:w="11" w:type="dxa"/>
                    <w:right w:w="11" w:type="dxa"/>
                  </w:tcMar>
                  <w:vAlign w:val="center"/>
                </w:tcPr>
                <w:p w14:paraId="09738A4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55.8</w:t>
                  </w:r>
                </w:p>
                <w:p w14:paraId="537DACF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67.4</w:t>
                  </w:r>
                </w:p>
                <w:p w14:paraId="3BB6DE0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23.0</w:t>
                  </w:r>
                </w:p>
                <w:p w14:paraId="4E05346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 xml:space="preserve">63.2 </w:t>
                  </w:r>
                </w:p>
              </w:tc>
              <w:tc>
                <w:tcPr>
                  <w:tcW w:w="250" w:type="pct"/>
                  <w:vMerge w:val="continue"/>
                  <w:tcBorders>
                    <w:tl2br w:val="nil"/>
                    <w:tr2bl w:val="nil"/>
                  </w:tcBorders>
                  <w:shd w:val="clear" w:color="auto" w:fill="auto"/>
                  <w:noWrap w:val="0"/>
                  <w:vAlign w:val="center"/>
                </w:tcPr>
                <w:p w14:paraId="468CEE0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2157685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72D9A7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40.8</w:t>
                  </w:r>
                </w:p>
                <w:p w14:paraId="6C8BC5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52.4</w:t>
                  </w:r>
                </w:p>
                <w:p w14:paraId="2E3CB7D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8.0</w:t>
                  </w:r>
                </w:p>
                <w:p w14:paraId="79C7EB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48.2</w:t>
                  </w:r>
                </w:p>
              </w:tc>
              <w:tc>
                <w:tcPr>
                  <w:tcW w:w="448" w:type="pct"/>
                  <w:tcBorders>
                    <w:tl2br w:val="nil"/>
                    <w:tr2bl w:val="nil"/>
                  </w:tcBorders>
                  <w:shd w:val="clear" w:color="auto" w:fill="auto"/>
                  <w:noWrap w:val="0"/>
                  <w:vAlign w:val="center"/>
                </w:tcPr>
                <w:p w14:paraId="5964FD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665E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61" w:type="pct"/>
                  <w:vMerge w:val="continue"/>
                  <w:tcBorders>
                    <w:tl2br w:val="nil"/>
                    <w:tr2bl w:val="nil"/>
                  </w:tcBorders>
                  <w:noWrap w:val="0"/>
                  <w:vAlign w:val="center"/>
                </w:tcPr>
                <w:p w14:paraId="7019461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0E661335">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358" w:type="pct"/>
                  <w:tcBorders>
                    <w:tl2br w:val="nil"/>
                    <w:tr2bl w:val="nil"/>
                  </w:tcBorders>
                  <w:noWrap w:val="0"/>
                  <w:tcMar>
                    <w:left w:w="11" w:type="dxa"/>
                    <w:right w:w="11" w:type="dxa"/>
                  </w:tcMar>
                  <w:vAlign w:val="center"/>
                </w:tcPr>
                <w:p w14:paraId="413218C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80</w:t>
                  </w:r>
                </w:p>
              </w:tc>
              <w:tc>
                <w:tcPr>
                  <w:tcW w:w="478" w:type="pct"/>
                  <w:vMerge w:val="continue"/>
                  <w:tcBorders>
                    <w:tl2br w:val="nil"/>
                    <w:tr2bl w:val="nil"/>
                  </w:tcBorders>
                  <w:noWrap w:val="0"/>
                  <w:vAlign w:val="center"/>
                </w:tcPr>
                <w:p w14:paraId="5D360CF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291" w:type="pct"/>
                  <w:tcBorders>
                    <w:tl2br w:val="nil"/>
                    <w:tr2bl w:val="nil"/>
                  </w:tcBorders>
                  <w:noWrap w:val="0"/>
                  <w:tcMar>
                    <w:left w:w="11" w:type="dxa"/>
                    <w:right w:w="11" w:type="dxa"/>
                  </w:tcMar>
                  <w:vAlign w:val="center"/>
                </w:tcPr>
                <w:p w14:paraId="3EAAE880">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77FB071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321" w:type="pct"/>
                  <w:tcBorders>
                    <w:tl2br w:val="nil"/>
                    <w:tr2bl w:val="nil"/>
                  </w:tcBorders>
                  <w:noWrap w:val="0"/>
                  <w:vAlign w:val="center"/>
                </w:tcPr>
                <w:p w14:paraId="53EE742F">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5" w:type="pct"/>
                  <w:tcBorders>
                    <w:tl2br w:val="nil"/>
                    <w:tr2bl w:val="nil"/>
                  </w:tcBorders>
                  <w:noWrap w:val="0"/>
                  <w:tcMar>
                    <w:left w:w="11" w:type="dxa"/>
                    <w:right w:w="11" w:type="dxa"/>
                  </w:tcMar>
                  <w:vAlign w:val="center"/>
                </w:tcPr>
                <w:p w14:paraId="6402338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20</w:t>
                  </w:r>
                </w:p>
                <w:p w14:paraId="631DD63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15</w:t>
                  </w:r>
                </w:p>
                <w:p w14:paraId="504A920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90</w:t>
                  </w:r>
                </w:p>
                <w:p w14:paraId="5F7B086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noWrap w:val="0"/>
                  <w:tcMar>
                    <w:left w:w="11" w:type="dxa"/>
                    <w:right w:w="11" w:type="dxa"/>
                  </w:tcMar>
                  <w:vAlign w:val="center"/>
                </w:tcPr>
                <w:p w14:paraId="414F6DE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64.1</w:t>
                  </w:r>
                </w:p>
                <w:p w14:paraId="1426D2C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68.3</w:t>
                  </w:r>
                </w:p>
                <w:p w14:paraId="4EC937F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25.5</w:t>
                  </w:r>
                </w:p>
                <w:p w14:paraId="4C4BB9B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72.5</w:t>
                  </w:r>
                </w:p>
              </w:tc>
              <w:tc>
                <w:tcPr>
                  <w:tcW w:w="250" w:type="pct"/>
                  <w:vMerge w:val="continue"/>
                  <w:tcBorders>
                    <w:tl2br w:val="nil"/>
                    <w:tr2bl w:val="nil"/>
                  </w:tcBorders>
                  <w:noWrap w:val="0"/>
                  <w:vAlign w:val="center"/>
                </w:tcPr>
                <w:p w14:paraId="100D359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color w:val="auto"/>
                      <w:sz w:val="21"/>
                      <w:szCs w:val="21"/>
                      <w:highlight w:val="none"/>
                    </w:rPr>
                  </w:pPr>
                </w:p>
              </w:tc>
              <w:tc>
                <w:tcPr>
                  <w:tcW w:w="428" w:type="pct"/>
                  <w:tcBorders>
                    <w:tl2br w:val="nil"/>
                    <w:tr2bl w:val="nil"/>
                  </w:tcBorders>
                  <w:noWrap w:val="0"/>
                  <w:vAlign w:val="center"/>
                </w:tcPr>
                <w:p w14:paraId="688869E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132F9C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49.1</w:t>
                  </w:r>
                </w:p>
                <w:p w14:paraId="6A4C1F8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53.3</w:t>
                  </w:r>
                </w:p>
                <w:p w14:paraId="3862FC8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10.5</w:t>
                  </w:r>
                </w:p>
                <w:p w14:paraId="536364C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57.5</w:t>
                  </w:r>
                </w:p>
              </w:tc>
              <w:tc>
                <w:tcPr>
                  <w:tcW w:w="448" w:type="pct"/>
                  <w:tcBorders>
                    <w:tl2br w:val="nil"/>
                    <w:tr2bl w:val="nil"/>
                  </w:tcBorders>
                  <w:noWrap w:val="0"/>
                  <w:vAlign w:val="center"/>
                </w:tcPr>
                <w:p w14:paraId="53CC573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7FDB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61" w:type="pct"/>
                  <w:vMerge w:val="continue"/>
                  <w:tcBorders>
                    <w:tl2br w:val="nil"/>
                    <w:tr2bl w:val="nil"/>
                  </w:tcBorders>
                  <w:noWrap w:val="0"/>
                  <w:vAlign w:val="center"/>
                </w:tcPr>
                <w:p w14:paraId="7FFB1BD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2CA55AB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真空包装机</w:t>
                  </w:r>
                </w:p>
              </w:tc>
              <w:tc>
                <w:tcPr>
                  <w:tcW w:w="358" w:type="pct"/>
                  <w:tcBorders>
                    <w:tl2br w:val="nil"/>
                    <w:tr2bl w:val="nil"/>
                  </w:tcBorders>
                  <w:noWrap w:val="0"/>
                  <w:tcMar>
                    <w:left w:w="11" w:type="dxa"/>
                    <w:right w:w="11" w:type="dxa"/>
                  </w:tcMar>
                  <w:vAlign w:val="center"/>
                </w:tcPr>
                <w:p w14:paraId="483DEB28">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70</w:t>
                  </w:r>
                </w:p>
              </w:tc>
              <w:tc>
                <w:tcPr>
                  <w:tcW w:w="478" w:type="pct"/>
                  <w:vMerge w:val="continue"/>
                  <w:tcBorders>
                    <w:tl2br w:val="nil"/>
                    <w:tr2bl w:val="nil"/>
                  </w:tcBorders>
                  <w:noWrap w:val="0"/>
                  <w:vAlign w:val="center"/>
                </w:tcPr>
                <w:p w14:paraId="4A61156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291" w:type="pct"/>
                  <w:tcBorders>
                    <w:tl2br w:val="nil"/>
                    <w:tr2bl w:val="nil"/>
                  </w:tcBorders>
                  <w:noWrap w:val="0"/>
                  <w:tcMar>
                    <w:left w:w="11" w:type="dxa"/>
                    <w:right w:w="11" w:type="dxa"/>
                  </w:tcMar>
                  <w:vAlign w:val="center"/>
                </w:tcPr>
                <w:p w14:paraId="52D201A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7143A68D">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21" w:type="pct"/>
                  <w:tcBorders>
                    <w:tl2br w:val="nil"/>
                    <w:tr2bl w:val="nil"/>
                  </w:tcBorders>
                  <w:noWrap w:val="0"/>
                  <w:vAlign w:val="center"/>
                </w:tcPr>
                <w:p w14:paraId="05AA82C7">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5" w:type="pct"/>
                  <w:tcBorders>
                    <w:tl2br w:val="nil"/>
                    <w:tr2bl w:val="nil"/>
                  </w:tcBorders>
                  <w:noWrap w:val="0"/>
                  <w:tcMar>
                    <w:left w:w="11" w:type="dxa"/>
                    <w:right w:w="11" w:type="dxa"/>
                  </w:tcMar>
                  <w:vAlign w:val="center"/>
                </w:tcPr>
                <w:p w14:paraId="3E60BFC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50</w:t>
                  </w:r>
                </w:p>
                <w:p w14:paraId="19390A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10</w:t>
                  </w:r>
                </w:p>
                <w:p w14:paraId="5E993C2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60</w:t>
                  </w:r>
                </w:p>
                <w:p w14:paraId="306151F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noWrap w:val="0"/>
                  <w:tcMar>
                    <w:left w:w="11" w:type="dxa"/>
                    <w:right w:w="11" w:type="dxa"/>
                  </w:tcMar>
                  <w:vAlign w:val="center"/>
                </w:tcPr>
                <w:p w14:paraId="154F05C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40.6</w:t>
                  </w:r>
                </w:p>
                <w:p w14:paraId="40C415C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63.0</w:t>
                  </w:r>
                </w:p>
                <w:p w14:paraId="0F567BE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36.5</w:t>
                  </w:r>
                </w:p>
                <w:p w14:paraId="2A56324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59.2</w:t>
                  </w:r>
                </w:p>
              </w:tc>
              <w:tc>
                <w:tcPr>
                  <w:tcW w:w="250" w:type="pct"/>
                  <w:vMerge w:val="continue"/>
                  <w:tcBorders>
                    <w:tl2br w:val="nil"/>
                    <w:tr2bl w:val="nil"/>
                  </w:tcBorders>
                  <w:noWrap w:val="0"/>
                  <w:vAlign w:val="center"/>
                </w:tcPr>
                <w:p w14:paraId="6301451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color w:val="auto"/>
                      <w:sz w:val="21"/>
                      <w:szCs w:val="21"/>
                      <w:highlight w:val="none"/>
                    </w:rPr>
                  </w:pPr>
                </w:p>
              </w:tc>
              <w:tc>
                <w:tcPr>
                  <w:tcW w:w="428" w:type="pct"/>
                  <w:tcBorders>
                    <w:tl2br w:val="nil"/>
                    <w:tr2bl w:val="nil"/>
                  </w:tcBorders>
                  <w:noWrap w:val="0"/>
                  <w:vAlign w:val="center"/>
                </w:tcPr>
                <w:p w14:paraId="3D00550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60EB90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25.6</w:t>
                  </w:r>
                </w:p>
                <w:p w14:paraId="10A3FB6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48.0</w:t>
                  </w:r>
                </w:p>
                <w:p w14:paraId="2E640A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21.5</w:t>
                  </w:r>
                </w:p>
                <w:p w14:paraId="5B1D970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44.2</w:t>
                  </w:r>
                </w:p>
              </w:tc>
              <w:tc>
                <w:tcPr>
                  <w:tcW w:w="448" w:type="pct"/>
                  <w:tcBorders>
                    <w:tl2br w:val="nil"/>
                    <w:tr2bl w:val="nil"/>
                  </w:tcBorders>
                  <w:noWrap w:val="0"/>
                  <w:vAlign w:val="center"/>
                </w:tcPr>
                <w:p w14:paraId="504DBF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7BB0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61" w:type="pct"/>
                  <w:vMerge w:val="restart"/>
                  <w:tcBorders>
                    <w:tl2br w:val="nil"/>
                    <w:tr2bl w:val="nil"/>
                  </w:tcBorders>
                  <w:noWrap w:val="0"/>
                  <w:vAlign w:val="center"/>
                </w:tcPr>
                <w:p w14:paraId="46D7819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r>
                    <w:rPr>
                      <w:rFonts w:hint="eastAsia"/>
                      <w:sz w:val="21"/>
                      <w:szCs w:val="21"/>
                      <w:highlight w:val="none"/>
                      <w:lang w:val="en-US" w:eastAsia="zh-CN"/>
                    </w:rPr>
                    <w:t>#2</w:t>
                  </w:r>
                  <w:r>
                    <w:rPr>
                      <w:rFonts w:hint="eastAsia"/>
                      <w:sz w:val="21"/>
                      <w:szCs w:val="21"/>
                      <w:highlight w:val="none"/>
                    </w:rPr>
                    <w:t>生产</w:t>
                  </w:r>
                  <w:r>
                    <w:rPr>
                      <w:sz w:val="21"/>
                      <w:szCs w:val="21"/>
                      <w:highlight w:val="none"/>
                    </w:rPr>
                    <w:t>车间</w:t>
                  </w:r>
                </w:p>
              </w:tc>
              <w:tc>
                <w:tcPr>
                  <w:tcW w:w="396" w:type="pct"/>
                  <w:tcBorders>
                    <w:tl2br w:val="nil"/>
                    <w:tr2bl w:val="nil"/>
                  </w:tcBorders>
                  <w:noWrap w:val="0"/>
                  <w:tcMar>
                    <w:left w:w="11" w:type="dxa"/>
                    <w:right w:w="11" w:type="dxa"/>
                  </w:tcMar>
                  <w:vAlign w:val="center"/>
                </w:tcPr>
                <w:p w14:paraId="5D817E3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切菜机</w:t>
                  </w:r>
                </w:p>
              </w:tc>
              <w:tc>
                <w:tcPr>
                  <w:tcW w:w="358" w:type="pct"/>
                  <w:tcBorders>
                    <w:tl2br w:val="nil"/>
                    <w:tr2bl w:val="nil"/>
                  </w:tcBorders>
                  <w:noWrap w:val="0"/>
                  <w:tcMar>
                    <w:left w:w="11" w:type="dxa"/>
                    <w:right w:w="11" w:type="dxa"/>
                  </w:tcMar>
                  <w:vAlign w:val="center"/>
                </w:tcPr>
                <w:p w14:paraId="2E09932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75</w:t>
                  </w:r>
                </w:p>
              </w:tc>
              <w:tc>
                <w:tcPr>
                  <w:tcW w:w="478" w:type="pct"/>
                  <w:vMerge w:val="continue"/>
                  <w:tcBorders>
                    <w:tl2br w:val="nil"/>
                    <w:tr2bl w:val="nil"/>
                  </w:tcBorders>
                  <w:noWrap w:val="0"/>
                  <w:vAlign w:val="center"/>
                </w:tcPr>
                <w:p w14:paraId="68C9EF4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291" w:type="pct"/>
                  <w:tcBorders>
                    <w:tl2br w:val="nil"/>
                    <w:tr2bl w:val="nil"/>
                  </w:tcBorders>
                  <w:noWrap w:val="0"/>
                  <w:tcMar>
                    <w:left w:w="11" w:type="dxa"/>
                    <w:right w:w="11" w:type="dxa"/>
                  </w:tcMar>
                  <w:vAlign w:val="center"/>
                </w:tcPr>
                <w:p w14:paraId="2F2376A8">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36" w:type="pct"/>
                  <w:tcBorders>
                    <w:tl2br w:val="nil"/>
                    <w:tr2bl w:val="nil"/>
                  </w:tcBorders>
                  <w:noWrap w:val="0"/>
                  <w:vAlign w:val="center"/>
                </w:tcPr>
                <w:p w14:paraId="0F395582">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321" w:type="pct"/>
                  <w:tcBorders>
                    <w:tl2br w:val="nil"/>
                    <w:tr2bl w:val="nil"/>
                  </w:tcBorders>
                  <w:noWrap w:val="0"/>
                  <w:vAlign w:val="center"/>
                </w:tcPr>
                <w:p w14:paraId="6BEF8A88">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5" w:type="pct"/>
                  <w:tcBorders>
                    <w:tl2br w:val="nil"/>
                    <w:tr2bl w:val="nil"/>
                  </w:tcBorders>
                  <w:noWrap w:val="0"/>
                  <w:tcMar>
                    <w:left w:w="11" w:type="dxa"/>
                    <w:right w:w="11" w:type="dxa"/>
                  </w:tcMar>
                  <w:vAlign w:val="center"/>
                </w:tcPr>
                <w:p w14:paraId="68138FC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45</w:t>
                  </w:r>
                </w:p>
                <w:p w14:paraId="6DC629E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8</w:t>
                  </w:r>
                </w:p>
                <w:p w14:paraId="6F7038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15</w:t>
                  </w:r>
                </w:p>
                <w:p w14:paraId="3401C85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noWrap w:val="0"/>
                  <w:tcMar>
                    <w:left w:w="11" w:type="dxa"/>
                    <w:right w:w="11" w:type="dxa"/>
                  </w:tcMar>
                  <w:vAlign w:val="center"/>
                </w:tcPr>
                <w:p w14:paraId="086CA31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38.3</w:t>
                  </w:r>
                </w:p>
                <w:p w14:paraId="5467A99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69.7</w:t>
                  </w:r>
                </w:p>
                <w:p w14:paraId="536A66A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63.2</w:t>
                  </w:r>
                </w:p>
                <w:p w14:paraId="750FFF1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67.4</w:t>
                  </w:r>
                </w:p>
              </w:tc>
              <w:tc>
                <w:tcPr>
                  <w:tcW w:w="250" w:type="pct"/>
                  <w:vMerge w:val="continue"/>
                  <w:tcBorders>
                    <w:tl2br w:val="nil"/>
                    <w:tr2bl w:val="nil"/>
                  </w:tcBorders>
                  <w:noWrap w:val="0"/>
                  <w:vAlign w:val="center"/>
                </w:tcPr>
                <w:p w14:paraId="2310FA7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color w:val="auto"/>
                      <w:sz w:val="21"/>
                      <w:szCs w:val="21"/>
                      <w:highlight w:val="none"/>
                    </w:rPr>
                  </w:pPr>
                </w:p>
              </w:tc>
              <w:tc>
                <w:tcPr>
                  <w:tcW w:w="428" w:type="pct"/>
                  <w:tcBorders>
                    <w:tl2br w:val="nil"/>
                    <w:tr2bl w:val="nil"/>
                  </w:tcBorders>
                  <w:noWrap w:val="0"/>
                  <w:vAlign w:val="center"/>
                </w:tcPr>
                <w:p w14:paraId="33C0F6A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4DF5216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23.3</w:t>
                  </w:r>
                </w:p>
                <w:p w14:paraId="472261D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54.7</w:t>
                  </w:r>
                </w:p>
                <w:p w14:paraId="7354E4E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48.2</w:t>
                  </w:r>
                </w:p>
                <w:p w14:paraId="4814704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52.4</w:t>
                  </w:r>
                </w:p>
              </w:tc>
              <w:tc>
                <w:tcPr>
                  <w:tcW w:w="448" w:type="pct"/>
                  <w:tcBorders>
                    <w:tl2br w:val="nil"/>
                    <w:tr2bl w:val="nil"/>
                  </w:tcBorders>
                  <w:noWrap w:val="0"/>
                  <w:vAlign w:val="center"/>
                </w:tcPr>
                <w:p w14:paraId="14BFB89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eastAsia"/>
                      <w:color w:val="auto"/>
                      <w:sz w:val="21"/>
                      <w:szCs w:val="21"/>
                      <w:highlight w:val="none"/>
                      <w:lang w:val="en-US" w:eastAsia="zh-CN" w:bidi="ar"/>
                    </w:rPr>
                  </w:pPr>
                  <w:r>
                    <w:rPr>
                      <w:rStyle w:val="39"/>
                      <w:rFonts w:hint="eastAsia"/>
                      <w:color w:val="auto"/>
                      <w:sz w:val="21"/>
                      <w:szCs w:val="21"/>
                      <w:highlight w:val="none"/>
                      <w:lang w:val="en-US" w:eastAsia="zh-CN" w:bidi="ar"/>
                    </w:rPr>
                    <w:t>1m</w:t>
                  </w:r>
                </w:p>
              </w:tc>
            </w:tr>
            <w:tr w14:paraId="166A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61" w:type="pct"/>
                  <w:vMerge w:val="continue"/>
                  <w:tcBorders>
                    <w:tl2br w:val="nil"/>
                    <w:tr2bl w:val="nil"/>
                  </w:tcBorders>
                  <w:noWrap w:val="0"/>
                  <w:vAlign w:val="center"/>
                </w:tcPr>
                <w:p w14:paraId="713F75A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noWrap w:val="0"/>
                  <w:tcMar>
                    <w:left w:w="11" w:type="dxa"/>
                    <w:right w:w="11" w:type="dxa"/>
                  </w:tcMar>
                  <w:vAlign w:val="center"/>
                </w:tcPr>
                <w:p w14:paraId="5D313AF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#1腌制罐</w:t>
                  </w:r>
                </w:p>
              </w:tc>
              <w:tc>
                <w:tcPr>
                  <w:tcW w:w="358" w:type="pct"/>
                  <w:tcBorders>
                    <w:tl2br w:val="nil"/>
                    <w:tr2bl w:val="nil"/>
                  </w:tcBorders>
                  <w:shd w:val="clear" w:color="auto" w:fill="auto"/>
                  <w:noWrap w:val="0"/>
                  <w:tcMar>
                    <w:left w:w="11" w:type="dxa"/>
                    <w:right w:w="11" w:type="dxa"/>
                  </w:tcMar>
                  <w:vAlign w:val="center"/>
                </w:tcPr>
                <w:p w14:paraId="3EAFF8DB">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70</w:t>
                  </w:r>
                </w:p>
              </w:tc>
              <w:tc>
                <w:tcPr>
                  <w:tcW w:w="478" w:type="pct"/>
                  <w:vMerge w:val="continue"/>
                  <w:tcBorders>
                    <w:tl2br w:val="nil"/>
                    <w:tr2bl w:val="nil"/>
                  </w:tcBorders>
                  <w:shd w:val="clear" w:color="auto" w:fill="auto"/>
                  <w:noWrap w:val="0"/>
                  <w:vAlign w:val="center"/>
                </w:tcPr>
                <w:p w14:paraId="7D0582A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1FB483B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336" w:type="pct"/>
                  <w:tcBorders>
                    <w:tl2br w:val="nil"/>
                    <w:tr2bl w:val="nil"/>
                  </w:tcBorders>
                  <w:shd w:val="clear" w:color="auto" w:fill="auto"/>
                  <w:noWrap w:val="0"/>
                  <w:vAlign w:val="center"/>
                </w:tcPr>
                <w:p w14:paraId="09DC7D3B">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321" w:type="pct"/>
                  <w:tcBorders>
                    <w:tl2br w:val="nil"/>
                    <w:tr2bl w:val="nil"/>
                  </w:tcBorders>
                  <w:shd w:val="clear" w:color="auto" w:fill="auto"/>
                  <w:noWrap w:val="0"/>
                  <w:vAlign w:val="center"/>
                </w:tcPr>
                <w:p w14:paraId="6AFE7AE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5" w:type="pct"/>
                  <w:tcBorders>
                    <w:tl2br w:val="nil"/>
                    <w:tr2bl w:val="nil"/>
                  </w:tcBorders>
                  <w:shd w:val="clear" w:color="auto" w:fill="auto"/>
                  <w:noWrap w:val="0"/>
                  <w:tcMar>
                    <w:left w:w="11" w:type="dxa"/>
                    <w:right w:w="11" w:type="dxa"/>
                  </w:tcMar>
                  <w:vAlign w:val="center"/>
                </w:tcPr>
                <w:p w14:paraId="12D42BC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60</w:t>
                  </w:r>
                </w:p>
                <w:p w14:paraId="533BAB8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6C01F5B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5</w:t>
                  </w:r>
                </w:p>
                <w:p w14:paraId="0CC5F77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shd w:val="clear" w:color="auto" w:fill="auto"/>
                  <w:noWrap w:val="0"/>
                  <w:tcMar>
                    <w:left w:w="11" w:type="dxa"/>
                    <w:right w:w="11" w:type="dxa"/>
                  </w:tcMar>
                  <w:vAlign w:val="center"/>
                </w:tcPr>
                <w:p w14:paraId="7E6CFD8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36.6</w:t>
                  </w:r>
                </w:p>
                <w:p w14:paraId="2491F31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66.8</w:t>
                  </w:r>
                </w:p>
                <w:p w14:paraId="45782C4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66.8</w:t>
                  </w:r>
                </w:p>
                <w:p w14:paraId="7CF23C2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59.2</w:t>
                  </w:r>
                </w:p>
              </w:tc>
              <w:tc>
                <w:tcPr>
                  <w:tcW w:w="250" w:type="pct"/>
                  <w:vMerge w:val="continue"/>
                  <w:tcBorders>
                    <w:tl2br w:val="nil"/>
                    <w:tr2bl w:val="nil"/>
                  </w:tcBorders>
                  <w:shd w:val="clear" w:color="auto" w:fill="auto"/>
                  <w:noWrap w:val="0"/>
                  <w:vAlign w:val="center"/>
                </w:tcPr>
                <w:p w14:paraId="1FFA40C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3AD2E9C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5F4E3C8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21.5</w:t>
                  </w:r>
                </w:p>
                <w:p w14:paraId="4E2515C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51.8</w:t>
                  </w:r>
                </w:p>
                <w:p w14:paraId="471C5AE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51.8</w:t>
                  </w:r>
                </w:p>
                <w:p w14:paraId="2DCA735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44.2</w:t>
                  </w:r>
                </w:p>
              </w:tc>
              <w:tc>
                <w:tcPr>
                  <w:tcW w:w="448" w:type="pct"/>
                  <w:tcBorders>
                    <w:tl2br w:val="nil"/>
                    <w:tr2bl w:val="nil"/>
                  </w:tcBorders>
                  <w:shd w:val="clear" w:color="auto" w:fill="auto"/>
                  <w:noWrap w:val="0"/>
                  <w:vAlign w:val="center"/>
                </w:tcPr>
                <w:p w14:paraId="0874D0D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1FB3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61" w:type="pct"/>
                  <w:vMerge w:val="continue"/>
                  <w:tcBorders>
                    <w:tl2br w:val="nil"/>
                    <w:tr2bl w:val="nil"/>
                  </w:tcBorders>
                  <w:noWrap w:val="0"/>
                  <w:vAlign w:val="center"/>
                </w:tcPr>
                <w:p w14:paraId="27DD0811">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lang w:val="en-US" w:eastAsia="zh-CN"/>
                    </w:rPr>
                  </w:pPr>
                </w:p>
              </w:tc>
              <w:tc>
                <w:tcPr>
                  <w:tcW w:w="396" w:type="pct"/>
                  <w:tcBorders>
                    <w:tl2br w:val="nil"/>
                    <w:tr2bl w:val="nil"/>
                  </w:tcBorders>
                  <w:shd w:val="clear" w:color="auto" w:fill="auto"/>
                  <w:noWrap w:val="0"/>
                  <w:tcMar>
                    <w:left w:w="11" w:type="dxa"/>
                    <w:right w:w="11" w:type="dxa"/>
                  </w:tcMar>
                  <w:vAlign w:val="center"/>
                </w:tcPr>
                <w:p w14:paraId="1E253D2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#2腌制罐</w:t>
                  </w:r>
                </w:p>
              </w:tc>
              <w:tc>
                <w:tcPr>
                  <w:tcW w:w="358" w:type="pct"/>
                  <w:tcBorders>
                    <w:tl2br w:val="nil"/>
                    <w:tr2bl w:val="nil"/>
                  </w:tcBorders>
                  <w:shd w:val="clear" w:color="auto" w:fill="auto"/>
                  <w:noWrap w:val="0"/>
                  <w:tcMar>
                    <w:left w:w="11" w:type="dxa"/>
                    <w:right w:w="11" w:type="dxa"/>
                  </w:tcMar>
                  <w:vAlign w:val="center"/>
                </w:tcPr>
                <w:p w14:paraId="137C9BD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70</w:t>
                  </w:r>
                </w:p>
              </w:tc>
              <w:tc>
                <w:tcPr>
                  <w:tcW w:w="478" w:type="pct"/>
                  <w:vMerge w:val="continue"/>
                  <w:tcBorders>
                    <w:tl2br w:val="nil"/>
                    <w:tr2bl w:val="nil"/>
                  </w:tcBorders>
                  <w:shd w:val="clear" w:color="auto" w:fill="auto"/>
                  <w:noWrap w:val="0"/>
                  <w:vAlign w:val="center"/>
                </w:tcPr>
                <w:p w14:paraId="78C1B16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2F8F0A6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336" w:type="pct"/>
                  <w:tcBorders>
                    <w:tl2br w:val="nil"/>
                    <w:tr2bl w:val="nil"/>
                  </w:tcBorders>
                  <w:shd w:val="clear" w:color="auto" w:fill="auto"/>
                  <w:noWrap w:val="0"/>
                  <w:vAlign w:val="center"/>
                </w:tcPr>
                <w:p w14:paraId="0B0BAA0E">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321" w:type="pct"/>
                  <w:tcBorders>
                    <w:tl2br w:val="nil"/>
                    <w:tr2bl w:val="nil"/>
                  </w:tcBorders>
                  <w:shd w:val="clear" w:color="auto" w:fill="auto"/>
                  <w:noWrap w:val="0"/>
                  <w:vAlign w:val="center"/>
                </w:tcPr>
                <w:p w14:paraId="15EFB4F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5" w:type="pct"/>
                  <w:tcBorders>
                    <w:tl2br w:val="nil"/>
                    <w:tr2bl w:val="nil"/>
                  </w:tcBorders>
                  <w:shd w:val="clear" w:color="auto" w:fill="auto"/>
                  <w:noWrap w:val="0"/>
                  <w:tcMar>
                    <w:left w:w="11" w:type="dxa"/>
                    <w:right w:w="11" w:type="dxa"/>
                  </w:tcMar>
                  <w:vAlign w:val="center"/>
                </w:tcPr>
                <w:p w14:paraId="277B285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55</w:t>
                  </w:r>
                </w:p>
                <w:p w14:paraId="0D7326A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03D8E04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10</w:t>
                  </w:r>
                </w:p>
                <w:p w14:paraId="0794D40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15</w:t>
                  </w:r>
                </w:p>
              </w:tc>
              <w:tc>
                <w:tcPr>
                  <w:tcW w:w="470" w:type="pct"/>
                  <w:tcBorders>
                    <w:tl2br w:val="nil"/>
                    <w:tr2bl w:val="nil"/>
                  </w:tcBorders>
                  <w:shd w:val="clear" w:color="auto" w:fill="auto"/>
                  <w:noWrap w:val="0"/>
                  <w:tcMar>
                    <w:left w:w="11" w:type="dxa"/>
                    <w:right w:w="11" w:type="dxa"/>
                  </w:tcMar>
                  <w:vAlign w:val="center"/>
                </w:tcPr>
                <w:p w14:paraId="5CB7624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39.0</w:t>
                  </w:r>
                </w:p>
                <w:p w14:paraId="3C2E6DA3">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66.8</w:t>
                  </w:r>
                </w:p>
                <w:p w14:paraId="7D6A5468">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63.0</w:t>
                  </w:r>
                </w:p>
                <w:p w14:paraId="0A60E2E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59.2</w:t>
                  </w:r>
                </w:p>
              </w:tc>
              <w:tc>
                <w:tcPr>
                  <w:tcW w:w="250" w:type="pct"/>
                  <w:vMerge w:val="continue"/>
                  <w:tcBorders>
                    <w:tl2br w:val="nil"/>
                    <w:tr2bl w:val="nil"/>
                  </w:tcBorders>
                  <w:shd w:val="clear" w:color="auto" w:fill="auto"/>
                  <w:noWrap w:val="0"/>
                  <w:vAlign w:val="center"/>
                </w:tcPr>
                <w:p w14:paraId="66EC89F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2F9423C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2C8A386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24.0</w:t>
                  </w:r>
                </w:p>
                <w:p w14:paraId="1693E8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eastAsia="宋体"/>
                      <w:color w:val="auto"/>
                      <w:sz w:val="21"/>
                      <w:szCs w:val="21"/>
                      <w:highlight w:val="none"/>
                      <w:lang w:val="en-US" w:eastAsia="zh-CN" w:bidi="ar"/>
                    </w:rPr>
                    <w:t>51.8</w:t>
                  </w:r>
                </w:p>
                <w:p w14:paraId="298A641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eastAsia="宋体"/>
                      <w:color w:val="auto"/>
                      <w:sz w:val="21"/>
                      <w:szCs w:val="21"/>
                      <w:highlight w:val="none"/>
                      <w:lang w:val="en-US" w:eastAsia="zh-CN" w:bidi="ar"/>
                    </w:rPr>
                    <w:t>48.0</w:t>
                  </w:r>
                </w:p>
                <w:p w14:paraId="6727938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eastAsia="宋体"/>
                      <w:color w:val="auto"/>
                      <w:sz w:val="21"/>
                      <w:szCs w:val="21"/>
                      <w:highlight w:val="none"/>
                      <w:lang w:val="en-US" w:eastAsia="zh-CN" w:bidi="ar"/>
                    </w:rPr>
                    <w:t>44.2</w:t>
                  </w:r>
                </w:p>
              </w:tc>
              <w:tc>
                <w:tcPr>
                  <w:tcW w:w="448" w:type="pct"/>
                  <w:tcBorders>
                    <w:tl2br w:val="nil"/>
                    <w:tr2bl w:val="nil"/>
                  </w:tcBorders>
                  <w:shd w:val="clear" w:color="auto" w:fill="auto"/>
                  <w:noWrap w:val="0"/>
                  <w:vAlign w:val="center"/>
                </w:tcPr>
                <w:p w14:paraId="38D0EE4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1636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261" w:type="pct"/>
                  <w:vMerge w:val="continue"/>
                  <w:tcBorders>
                    <w:tl2br w:val="nil"/>
                    <w:tr2bl w:val="nil"/>
                  </w:tcBorders>
                  <w:noWrap w:val="0"/>
                  <w:vAlign w:val="center"/>
                </w:tcPr>
                <w:p w14:paraId="103D557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sz w:val="21"/>
                      <w:szCs w:val="21"/>
                      <w:highlight w:val="none"/>
                    </w:rPr>
                  </w:pPr>
                </w:p>
              </w:tc>
              <w:tc>
                <w:tcPr>
                  <w:tcW w:w="396" w:type="pct"/>
                  <w:tcBorders>
                    <w:tl2br w:val="nil"/>
                    <w:tr2bl w:val="nil"/>
                  </w:tcBorders>
                  <w:noWrap w:val="0"/>
                  <w:tcMar>
                    <w:left w:w="11" w:type="dxa"/>
                    <w:right w:w="11" w:type="dxa"/>
                  </w:tcMar>
                  <w:vAlign w:val="center"/>
                </w:tcPr>
                <w:p w14:paraId="27ECEAF4">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单层搅拌锅</w:t>
                  </w:r>
                </w:p>
              </w:tc>
              <w:tc>
                <w:tcPr>
                  <w:tcW w:w="358" w:type="pct"/>
                  <w:tcBorders>
                    <w:tl2br w:val="nil"/>
                    <w:tr2bl w:val="nil"/>
                  </w:tcBorders>
                  <w:noWrap w:val="0"/>
                  <w:tcMar>
                    <w:left w:w="11" w:type="dxa"/>
                    <w:right w:w="11" w:type="dxa"/>
                  </w:tcMar>
                  <w:vAlign w:val="center"/>
                </w:tcPr>
                <w:p w14:paraId="288EF4FE">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478" w:type="pct"/>
                  <w:vMerge w:val="continue"/>
                  <w:tcBorders>
                    <w:tl2br w:val="nil"/>
                    <w:tr2bl w:val="nil"/>
                  </w:tcBorders>
                  <w:noWrap w:val="0"/>
                  <w:vAlign w:val="center"/>
                </w:tcPr>
                <w:p w14:paraId="441AC60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noWrap w:val="0"/>
                  <w:tcMar>
                    <w:left w:w="11" w:type="dxa"/>
                    <w:right w:w="11" w:type="dxa"/>
                  </w:tcMar>
                  <w:vAlign w:val="center"/>
                </w:tcPr>
                <w:p w14:paraId="1AE4ABD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336" w:type="pct"/>
                  <w:tcBorders>
                    <w:tl2br w:val="nil"/>
                    <w:tr2bl w:val="nil"/>
                  </w:tcBorders>
                  <w:noWrap w:val="0"/>
                  <w:vAlign w:val="center"/>
                </w:tcPr>
                <w:p w14:paraId="174EDFBA">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321" w:type="pct"/>
                  <w:tcBorders>
                    <w:tl2br w:val="nil"/>
                    <w:tr2bl w:val="nil"/>
                  </w:tcBorders>
                  <w:noWrap w:val="0"/>
                  <w:vAlign w:val="center"/>
                </w:tcPr>
                <w:p w14:paraId="329BFF4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1</w:t>
                  </w:r>
                  <w:r>
                    <w:rPr>
                      <w:rFonts w:hint="eastAsia" w:cs="Times New Roman"/>
                      <w:color w:val="auto"/>
                      <w:kern w:val="0"/>
                      <w:szCs w:val="21"/>
                      <w:highlight w:val="none"/>
                      <w:lang w:val="en-US" w:eastAsia="zh-CN"/>
                    </w:rPr>
                    <w:t>.0</w:t>
                  </w:r>
                </w:p>
              </w:tc>
              <w:tc>
                <w:tcPr>
                  <w:tcW w:w="455" w:type="pct"/>
                  <w:tcBorders>
                    <w:tl2br w:val="nil"/>
                    <w:tr2bl w:val="nil"/>
                  </w:tcBorders>
                  <w:noWrap w:val="0"/>
                  <w:tcMar>
                    <w:left w:w="11" w:type="dxa"/>
                    <w:right w:w="11" w:type="dxa"/>
                  </w:tcMar>
                  <w:vAlign w:val="center"/>
                </w:tcPr>
                <w:p w14:paraId="61E85E2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55</w:t>
                  </w:r>
                </w:p>
                <w:p w14:paraId="47D2AA4E">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8</w:t>
                  </w:r>
                </w:p>
                <w:p w14:paraId="6EF1CA6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10</w:t>
                  </w:r>
                </w:p>
                <w:p w14:paraId="05EB689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10</w:t>
                  </w:r>
                </w:p>
              </w:tc>
              <w:tc>
                <w:tcPr>
                  <w:tcW w:w="470" w:type="pct"/>
                  <w:tcBorders>
                    <w:tl2br w:val="nil"/>
                    <w:tr2bl w:val="nil"/>
                  </w:tcBorders>
                  <w:noWrap w:val="0"/>
                  <w:tcMar>
                    <w:left w:w="11" w:type="dxa"/>
                    <w:right w:w="11" w:type="dxa"/>
                  </w:tcMar>
                  <w:vAlign w:val="center"/>
                </w:tcPr>
                <w:p w14:paraId="53F6904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30.2</w:t>
                  </w:r>
                </w:p>
                <w:p w14:paraId="5C662A60">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69.7</w:t>
                  </w:r>
                </w:p>
                <w:p w14:paraId="23FA6144">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67.4</w:t>
                  </w:r>
                </w:p>
                <w:p w14:paraId="14E5064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67.4</w:t>
                  </w:r>
                </w:p>
              </w:tc>
              <w:tc>
                <w:tcPr>
                  <w:tcW w:w="250" w:type="pct"/>
                  <w:vMerge w:val="continue"/>
                  <w:tcBorders>
                    <w:tl2br w:val="nil"/>
                    <w:tr2bl w:val="nil"/>
                  </w:tcBorders>
                  <w:noWrap w:val="0"/>
                  <w:vAlign w:val="center"/>
                </w:tcPr>
                <w:p w14:paraId="4B2B54B6">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color w:val="auto"/>
                      <w:sz w:val="21"/>
                      <w:szCs w:val="21"/>
                      <w:highlight w:val="none"/>
                    </w:rPr>
                  </w:pPr>
                </w:p>
              </w:tc>
              <w:tc>
                <w:tcPr>
                  <w:tcW w:w="428" w:type="pct"/>
                  <w:tcBorders>
                    <w:tl2br w:val="nil"/>
                    <w:tr2bl w:val="nil"/>
                  </w:tcBorders>
                  <w:noWrap w:val="0"/>
                  <w:vAlign w:val="center"/>
                </w:tcPr>
                <w:p w14:paraId="4C134A3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noWrap w:val="0"/>
                  <w:vAlign w:val="center"/>
                </w:tcPr>
                <w:p w14:paraId="6687F9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15.2</w:t>
                  </w:r>
                </w:p>
                <w:p w14:paraId="639F9B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54.7</w:t>
                  </w:r>
                </w:p>
                <w:p w14:paraId="747C49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52.4</w:t>
                  </w:r>
                </w:p>
                <w:p w14:paraId="5E7C41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52.4</w:t>
                  </w:r>
                </w:p>
              </w:tc>
              <w:tc>
                <w:tcPr>
                  <w:tcW w:w="448" w:type="pct"/>
                  <w:tcBorders>
                    <w:tl2br w:val="nil"/>
                    <w:tr2bl w:val="nil"/>
                  </w:tcBorders>
                  <w:noWrap w:val="0"/>
                  <w:vAlign w:val="center"/>
                </w:tcPr>
                <w:p w14:paraId="068B99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r w14:paraId="13FA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261" w:type="pct"/>
                  <w:tcBorders>
                    <w:tl2br w:val="nil"/>
                    <w:tr2bl w:val="nil"/>
                  </w:tcBorders>
                  <w:noWrap w:val="0"/>
                  <w:vAlign w:val="center"/>
                </w:tcPr>
                <w:p w14:paraId="6AB32F5A">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sz w:val="21"/>
                      <w:szCs w:val="21"/>
                      <w:highlight w:val="none"/>
                      <w:lang w:val="en-US" w:eastAsia="zh-CN"/>
                    </w:rPr>
                  </w:pPr>
                  <w:r>
                    <w:rPr>
                      <w:rFonts w:hint="eastAsia"/>
                      <w:sz w:val="21"/>
                      <w:szCs w:val="21"/>
                      <w:highlight w:val="none"/>
                      <w:lang w:val="en-US" w:eastAsia="zh-CN"/>
                    </w:rPr>
                    <w:t>锅炉房</w:t>
                  </w:r>
                </w:p>
              </w:tc>
              <w:tc>
                <w:tcPr>
                  <w:tcW w:w="396" w:type="pct"/>
                  <w:tcBorders>
                    <w:tl2br w:val="nil"/>
                    <w:tr2bl w:val="nil"/>
                  </w:tcBorders>
                  <w:noWrap w:val="0"/>
                  <w:tcMar>
                    <w:left w:w="11" w:type="dxa"/>
                    <w:right w:w="11" w:type="dxa"/>
                  </w:tcMar>
                  <w:vAlign w:val="center"/>
                </w:tcPr>
                <w:p w14:paraId="0F7FB1E8">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蒸汽锅炉</w:t>
                  </w:r>
                </w:p>
              </w:tc>
              <w:tc>
                <w:tcPr>
                  <w:tcW w:w="358" w:type="pct"/>
                  <w:tcBorders>
                    <w:tl2br w:val="nil"/>
                    <w:tr2bl w:val="nil"/>
                  </w:tcBorders>
                  <w:noWrap w:val="0"/>
                  <w:tcMar>
                    <w:left w:w="11" w:type="dxa"/>
                    <w:right w:w="11" w:type="dxa"/>
                  </w:tcMar>
                  <w:vAlign w:val="center"/>
                </w:tcPr>
                <w:p w14:paraId="6155990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478" w:type="pct"/>
                  <w:vMerge w:val="continue"/>
                  <w:tcBorders>
                    <w:tl2br w:val="nil"/>
                    <w:tr2bl w:val="nil"/>
                  </w:tcBorders>
                  <w:noWrap w:val="0"/>
                  <w:vAlign w:val="center"/>
                </w:tcPr>
                <w:p w14:paraId="6E5AFC9D">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91" w:type="pct"/>
                  <w:tcBorders>
                    <w:tl2br w:val="nil"/>
                    <w:tr2bl w:val="nil"/>
                  </w:tcBorders>
                  <w:shd w:val="clear" w:color="auto" w:fill="auto"/>
                  <w:noWrap w:val="0"/>
                  <w:tcMar>
                    <w:left w:w="11" w:type="dxa"/>
                    <w:right w:w="11" w:type="dxa"/>
                  </w:tcMar>
                  <w:vAlign w:val="center"/>
                </w:tcPr>
                <w:p w14:paraId="212F716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36" w:type="pct"/>
                  <w:tcBorders>
                    <w:tl2br w:val="nil"/>
                    <w:tr2bl w:val="nil"/>
                  </w:tcBorders>
                  <w:shd w:val="clear" w:color="auto" w:fill="auto"/>
                  <w:noWrap w:val="0"/>
                  <w:vAlign w:val="center"/>
                </w:tcPr>
                <w:p w14:paraId="3993B240">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21" w:type="pct"/>
                  <w:tcBorders>
                    <w:tl2br w:val="nil"/>
                    <w:tr2bl w:val="nil"/>
                  </w:tcBorders>
                  <w:shd w:val="clear" w:color="auto" w:fill="auto"/>
                  <w:noWrap w:val="0"/>
                  <w:vAlign w:val="center"/>
                </w:tcPr>
                <w:p w14:paraId="77CE34CF">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2.0</w:t>
                  </w:r>
                </w:p>
              </w:tc>
              <w:tc>
                <w:tcPr>
                  <w:tcW w:w="455" w:type="pct"/>
                  <w:tcBorders>
                    <w:tl2br w:val="nil"/>
                    <w:tr2bl w:val="nil"/>
                  </w:tcBorders>
                  <w:shd w:val="clear" w:color="auto" w:fill="auto"/>
                  <w:noWrap w:val="0"/>
                  <w:tcMar>
                    <w:left w:w="11" w:type="dxa"/>
                    <w:right w:w="11" w:type="dxa"/>
                  </w:tcMar>
                  <w:vAlign w:val="center"/>
                </w:tcPr>
                <w:p w14:paraId="5AC7F15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5</w:t>
                  </w:r>
                </w:p>
                <w:p w14:paraId="427E167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5</w:t>
                  </w:r>
                </w:p>
                <w:p w14:paraId="14AB844F">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w:t>
                  </w:r>
                </w:p>
                <w:p w14:paraId="03866DA5">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5</w:t>
                  </w:r>
                </w:p>
              </w:tc>
              <w:tc>
                <w:tcPr>
                  <w:tcW w:w="470" w:type="pct"/>
                  <w:tcBorders>
                    <w:tl2br w:val="nil"/>
                    <w:tr2bl w:val="nil"/>
                  </w:tcBorders>
                  <w:shd w:val="clear" w:color="auto" w:fill="auto"/>
                  <w:noWrap w:val="0"/>
                  <w:tcMar>
                    <w:left w:w="11" w:type="dxa"/>
                    <w:right w:w="11" w:type="dxa"/>
                  </w:tcMar>
                  <w:vAlign w:val="center"/>
                </w:tcPr>
                <w:p w14:paraId="01510A9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N</w:t>
                  </w:r>
                  <w:r>
                    <w:rPr>
                      <w:rFonts w:hint="eastAsia"/>
                      <w:color w:val="auto"/>
                      <w:sz w:val="21"/>
                      <w:szCs w:val="21"/>
                      <w:highlight w:val="none"/>
                      <w:lang w:val="en-US" w:eastAsia="zh-CN"/>
                    </w:rPr>
                    <w:t>66.0</w:t>
                  </w:r>
                </w:p>
                <w:p w14:paraId="341BC199">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E</w:t>
                  </w:r>
                  <w:r>
                    <w:rPr>
                      <w:rFonts w:hint="eastAsia"/>
                      <w:color w:val="auto"/>
                      <w:sz w:val="21"/>
                      <w:szCs w:val="21"/>
                      <w:highlight w:val="none"/>
                      <w:lang w:val="en-US" w:eastAsia="zh-CN"/>
                    </w:rPr>
                    <w:t>66.0</w:t>
                  </w:r>
                </w:p>
                <w:p w14:paraId="46D95172">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68.0</w:t>
                  </w:r>
                </w:p>
                <w:p w14:paraId="47C97A1B">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66.0</w:t>
                  </w:r>
                </w:p>
              </w:tc>
              <w:tc>
                <w:tcPr>
                  <w:tcW w:w="250" w:type="pct"/>
                  <w:vMerge w:val="continue"/>
                  <w:tcBorders>
                    <w:tl2br w:val="nil"/>
                    <w:tr2bl w:val="nil"/>
                  </w:tcBorders>
                  <w:shd w:val="clear" w:color="auto" w:fill="auto"/>
                  <w:noWrap w:val="0"/>
                  <w:vAlign w:val="center"/>
                </w:tcPr>
                <w:p w14:paraId="0041D35C">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06D0E3D7">
                  <w:pPr>
                    <w:pStyle w:val="3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500" w:type="pct"/>
                  <w:tcBorders>
                    <w:tl2br w:val="nil"/>
                    <w:tr2bl w:val="nil"/>
                  </w:tcBorders>
                  <w:shd w:val="clear" w:color="auto" w:fill="auto"/>
                  <w:noWrap w:val="0"/>
                  <w:vAlign w:val="center"/>
                </w:tcPr>
                <w:p w14:paraId="50F4067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eastAsia="宋体"/>
                      <w:color w:val="auto"/>
                      <w:sz w:val="21"/>
                      <w:szCs w:val="21"/>
                      <w:highlight w:val="none"/>
                      <w:lang w:val="en-US" w:eastAsia="zh-CN" w:bidi="ar"/>
                    </w:rPr>
                  </w:pPr>
                  <w:r>
                    <w:rPr>
                      <w:rStyle w:val="39"/>
                      <w:rFonts w:eastAsia="宋体"/>
                      <w:color w:val="auto"/>
                      <w:sz w:val="21"/>
                      <w:szCs w:val="21"/>
                      <w:highlight w:val="none"/>
                      <w:lang w:val="en-US" w:eastAsia="zh-CN" w:bidi="ar"/>
                    </w:rPr>
                    <w:t>N</w:t>
                  </w:r>
                  <w:r>
                    <w:rPr>
                      <w:rStyle w:val="39"/>
                      <w:rFonts w:hint="eastAsia"/>
                      <w:color w:val="auto"/>
                      <w:sz w:val="21"/>
                      <w:szCs w:val="21"/>
                      <w:highlight w:val="none"/>
                      <w:lang w:val="en-US" w:eastAsia="zh-CN" w:bidi="ar"/>
                    </w:rPr>
                    <w:t>51.0</w:t>
                  </w:r>
                </w:p>
                <w:p w14:paraId="094C1ED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E</w:t>
                  </w:r>
                  <w:r>
                    <w:rPr>
                      <w:rStyle w:val="39"/>
                      <w:rFonts w:hint="eastAsia"/>
                      <w:color w:val="auto"/>
                      <w:sz w:val="21"/>
                      <w:szCs w:val="21"/>
                      <w:highlight w:val="none"/>
                      <w:lang w:val="en-US" w:eastAsia="zh-CN" w:bidi="ar"/>
                    </w:rPr>
                    <w:t>51.0</w:t>
                  </w:r>
                </w:p>
                <w:p w14:paraId="6F7D48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39"/>
                      <w:rFonts w:eastAsia="宋体"/>
                      <w:color w:val="auto"/>
                      <w:sz w:val="21"/>
                      <w:szCs w:val="21"/>
                      <w:highlight w:val="none"/>
                      <w:lang w:val="en-US" w:eastAsia="zh-CN" w:bidi="ar"/>
                    </w:rPr>
                    <w:t>S</w:t>
                  </w:r>
                  <w:r>
                    <w:rPr>
                      <w:rStyle w:val="39"/>
                      <w:rFonts w:hint="eastAsia"/>
                      <w:color w:val="auto"/>
                      <w:sz w:val="21"/>
                      <w:szCs w:val="21"/>
                      <w:highlight w:val="none"/>
                      <w:lang w:val="en-US" w:eastAsia="zh-CN" w:bidi="ar"/>
                    </w:rPr>
                    <w:t>53.0</w:t>
                  </w:r>
                </w:p>
                <w:p w14:paraId="1E81FE3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eastAsia="宋体"/>
                      <w:color w:val="auto"/>
                      <w:sz w:val="21"/>
                      <w:szCs w:val="21"/>
                      <w:highlight w:val="none"/>
                      <w:lang w:val="en-US" w:eastAsia="zh-CN" w:bidi="ar"/>
                    </w:rPr>
                    <w:t>W</w:t>
                  </w:r>
                  <w:r>
                    <w:rPr>
                      <w:rStyle w:val="39"/>
                      <w:rFonts w:hint="eastAsia"/>
                      <w:color w:val="auto"/>
                      <w:sz w:val="21"/>
                      <w:szCs w:val="21"/>
                      <w:highlight w:val="none"/>
                      <w:lang w:val="en-US" w:eastAsia="zh-CN" w:bidi="ar"/>
                    </w:rPr>
                    <w:t>51.0</w:t>
                  </w:r>
                </w:p>
              </w:tc>
              <w:tc>
                <w:tcPr>
                  <w:tcW w:w="448" w:type="pct"/>
                  <w:tcBorders>
                    <w:tl2br w:val="nil"/>
                    <w:tr2bl w:val="nil"/>
                  </w:tcBorders>
                  <w:shd w:val="clear" w:color="auto" w:fill="auto"/>
                  <w:noWrap w:val="0"/>
                  <w:vAlign w:val="center"/>
                </w:tcPr>
                <w:p w14:paraId="6BF8792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u w:val="none"/>
                      <w:lang w:val="en-US" w:eastAsia="zh-CN" w:bidi="ar"/>
                    </w:rPr>
                  </w:pPr>
                  <w:r>
                    <w:rPr>
                      <w:rStyle w:val="39"/>
                      <w:rFonts w:hint="eastAsia"/>
                      <w:color w:val="auto"/>
                      <w:sz w:val="21"/>
                      <w:szCs w:val="21"/>
                      <w:highlight w:val="none"/>
                      <w:lang w:val="en-US" w:eastAsia="zh-CN" w:bidi="ar"/>
                    </w:rPr>
                    <w:t>1m</w:t>
                  </w:r>
                </w:p>
              </w:tc>
            </w:tr>
          </w:tbl>
          <w:p w14:paraId="2CE5BC60">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left="0" w:leftChars="0" w:firstLine="480" w:firstLineChars="200"/>
              <w:jc w:val="left"/>
              <w:textAlignment w:val="auto"/>
              <w:rPr>
                <w:rFonts w:hint="eastAsia" w:ascii="Times New Roman" w:hAnsi="Times New Roman" w:eastAsia="宋体" w:cs="Times New Roman"/>
                <w:b/>
                <w:bCs/>
                <w:color w:val="auto"/>
                <w:sz w:val="24"/>
                <w:highlight w:val="green"/>
                <w:lang w:val="en-US" w:eastAsia="zh-CN"/>
              </w:rPr>
            </w:pPr>
            <w:r>
              <w:rPr>
                <w:rFonts w:ascii="Times New Roman" w:hAnsi="Times New Roman" w:cs="Times New Roman"/>
                <w:color w:val="auto"/>
                <w:sz w:val="24"/>
                <w:highlight w:val="none"/>
              </w:rPr>
              <w:t>注：</w:t>
            </w:r>
            <w:r>
              <w:rPr>
                <w:rFonts w:hint="eastAsia" w:cs="Times New Roman"/>
                <w:color w:val="auto"/>
                <w:sz w:val="24"/>
                <w:highlight w:val="none"/>
                <w:lang w:val="en-US" w:eastAsia="zh-CN"/>
              </w:rPr>
              <w:t>上</w:t>
            </w:r>
            <w:r>
              <w:rPr>
                <w:rFonts w:ascii="Times New Roman" w:hAnsi="Times New Roman" w:cs="Times New Roman"/>
                <w:color w:val="auto"/>
                <w:sz w:val="24"/>
                <w:highlight w:val="none"/>
              </w:rPr>
              <w:t>表中坐标以</w:t>
            </w:r>
            <w:r>
              <w:rPr>
                <w:rFonts w:hint="eastAsia" w:cs="Times New Roman"/>
                <w:color w:val="auto"/>
                <w:sz w:val="24"/>
                <w:highlight w:val="none"/>
                <w:lang w:val="en-US" w:eastAsia="zh-CN"/>
              </w:rPr>
              <w:t>两个车间</w:t>
            </w:r>
            <w:r>
              <w:rPr>
                <w:rFonts w:hint="eastAsia" w:ascii="Times New Roman" w:hAnsi="Times New Roman" w:cs="Times New Roman"/>
                <w:color w:val="auto"/>
                <w:sz w:val="24"/>
                <w:highlight w:val="none"/>
                <w:lang w:val="en-US" w:eastAsia="zh-CN"/>
              </w:rPr>
              <w:t>中心</w:t>
            </w:r>
            <w:r>
              <w:rPr>
                <w:rFonts w:hint="eastAsia" w:cs="Times New Roman"/>
                <w:color w:val="auto"/>
                <w:sz w:val="24"/>
                <w:highlight w:val="none"/>
                <w:lang w:val="en-US" w:eastAsia="zh-CN"/>
              </w:rPr>
              <w:t>，#1厂房（</w:t>
            </w:r>
            <w:r>
              <w:rPr>
                <w:rFonts w:hint="default" w:ascii="Times New Roman" w:hAnsi="Times New Roman" w:cs="Times New Roman"/>
                <w:color w:val="auto"/>
                <w:sz w:val="24"/>
                <w:szCs w:val="24"/>
                <w:highlight w:val="none"/>
                <w:u w:val="none"/>
              </w:rPr>
              <w:t>经度</w:t>
            </w:r>
            <w:r>
              <w:rPr>
                <w:rFonts w:hint="default" w:ascii="Times New Roman" w:hAnsi="Times New Roman" w:cs="Times New Roman"/>
                <w:color w:val="auto"/>
                <w:sz w:val="24"/>
                <w:szCs w:val="24"/>
                <w:highlight w:val="none"/>
                <w:u w:val="none"/>
                <w:lang w:val="en-US" w:eastAsia="zh-CN"/>
              </w:rPr>
              <w:t>113.</w:t>
            </w:r>
            <w:r>
              <w:rPr>
                <w:rFonts w:hint="eastAsia" w:cs="Times New Roman"/>
                <w:color w:val="auto"/>
                <w:sz w:val="24"/>
                <w:szCs w:val="24"/>
                <w:highlight w:val="none"/>
                <w:u w:val="none"/>
                <w:lang w:val="en-US" w:eastAsia="zh-CN"/>
              </w:rPr>
              <w:t>4873679</w:t>
            </w:r>
            <w:r>
              <w:rPr>
                <w:rFonts w:hint="default" w:ascii="Times New Roman" w:hAnsi="Times New Roman" w:cs="Times New Roman"/>
                <w:color w:val="auto"/>
                <w:sz w:val="24"/>
                <w:szCs w:val="24"/>
                <w:highlight w:val="none"/>
                <w:u w:val="none"/>
              </w:rPr>
              <w:t>，纬</w:t>
            </w:r>
            <w:r>
              <w:rPr>
                <w:rFonts w:hint="default" w:ascii="Times New Roman" w:hAnsi="Times New Roman" w:cs="Times New Roman"/>
                <w:color w:val="auto"/>
                <w:sz w:val="24"/>
                <w:szCs w:val="24"/>
                <w:highlight w:val="none"/>
                <w:u w:val="none"/>
                <w:lang w:val="en-US" w:eastAsia="zh-CN"/>
              </w:rPr>
              <w:t>度33.</w:t>
            </w:r>
            <w:r>
              <w:rPr>
                <w:rFonts w:hint="eastAsia" w:cs="Times New Roman"/>
                <w:color w:val="auto"/>
                <w:sz w:val="24"/>
                <w:szCs w:val="24"/>
                <w:highlight w:val="none"/>
                <w:u w:val="none"/>
                <w:lang w:val="en-US" w:eastAsia="zh-CN"/>
              </w:rPr>
              <w:t>6137065</w:t>
            </w:r>
            <w:r>
              <w:rPr>
                <w:rFonts w:hint="default" w:ascii="Times New Roman" w:hAnsi="Times New Roman" w:cs="Times New Roman"/>
                <w:color w:val="auto"/>
                <w:sz w:val="24"/>
                <w:szCs w:val="24"/>
                <w:highlight w:val="none"/>
                <w:u w:val="none"/>
              </w:rPr>
              <w:t>）</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#2厂房</w:t>
            </w:r>
            <w:r>
              <w:rPr>
                <w:rFonts w:hint="eastAsia" w:cs="Times New Roman"/>
                <w:color w:val="auto"/>
                <w:sz w:val="24"/>
                <w:highlight w:val="none"/>
                <w:lang w:val="en-US" w:eastAsia="zh-CN"/>
              </w:rPr>
              <w:t>（</w:t>
            </w:r>
            <w:r>
              <w:rPr>
                <w:rFonts w:hint="default" w:ascii="Times New Roman" w:hAnsi="Times New Roman" w:cs="Times New Roman"/>
                <w:color w:val="auto"/>
                <w:sz w:val="24"/>
                <w:szCs w:val="24"/>
                <w:highlight w:val="none"/>
                <w:u w:val="none"/>
              </w:rPr>
              <w:t>经度</w:t>
            </w:r>
            <w:r>
              <w:rPr>
                <w:rFonts w:hint="default" w:ascii="Times New Roman" w:hAnsi="Times New Roman" w:cs="Times New Roman"/>
                <w:color w:val="auto"/>
                <w:sz w:val="24"/>
                <w:szCs w:val="24"/>
                <w:highlight w:val="none"/>
                <w:u w:val="none"/>
                <w:lang w:val="en-US" w:eastAsia="zh-CN"/>
              </w:rPr>
              <w:t>113.</w:t>
            </w:r>
            <w:r>
              <w:rPr>
                <w:rFonts w:hint="eastAsia" w:cs="Times New Roman"/>
                <w:color w:val="auto"/>
                <w:sz w:val="24"/>
                <w:szCs w:val="24"/>
                <w:highlight w:val="none"/>
                <w:u w:val="none"/>
                <w:lang w:val="en-US" w:eastAsia="zh-CN"/>
              </w:rPr>
              <w:t>4873679</w:t>
            </w:r>
            <w:r>
              <w:rPr>
                <w:rFonts w:hint="default" w:ascii="Times New Roman" w:hAnsi="Times New Roman" w:cs="Times New Roman"/>
                <w:color w:val="auto"/>
                <w:sz w:val="24"/>
                <w:szCs w:val="24"/>
                <w:highlight w:val="none"/>
                <w:u w:val="none"/>
              </w:rPr>
              <w:t>，纬</w:t>
            </w:r>
            <w:r>
              <w:rPr>
                <w:rFonts w:hint="default" w:ascii="Times New Roman" w:hAnsi="Times New Roman" w:cs="Times New Roman"/>
                <w:color w:val="auto"/>
                <w:sz w:val="24"/>
                <w:szCs w:val="24"/>
                <w:highlight w:val="none"/>
                <w:u w:val="none"/>
                <w:lang w:val="en-US" w:eastAsia="zh-CN"/>
              </w:rPr>
              <w:t>度33.</w:t>
            </w:r>
            <w:r>
              <w:rPr>
                <w:rFonts w:hint="eastAsia" w:cs="Times New Roman"/>
                <w:color w:val="auto"/>
                <w:sz w:val="24"/>
                <w:szCs w:val="24"/>
                <w:highlight w:val="none"/>
                <w:u w:val="none"/>
                <w:lang w:val="en-US" w:eastAsia="zh-CN"/>
              </w:rPr>
              <w:t>6137065</w:t>
            </w:r>
            <w:r>
              <w:rPr>
                <w:rFonts w:hint="default" w:ascii="Times New Roman" w:hAnsi="Times New Roman" w:cs="Times New Roman"/>
                <w:color w:val="auto"/>
                <w:sz w:val="24"/>
                <w:szCs w:val="24"/>
                <w:highlight w:val="none"/>
                <w:u w:val="none"/>
              </w:rPr>
              <w:t>）</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锅炉房</w:t>
            </w:r>
            <w:r>
              <w:rPr>
                <w:rFonts w:hint="eastAsia" w:cs="Times New Roman"/>
                <w:color w:val="auto"/>
                <w:sz w:val="24"/>
                <w:highlight w:val="none"/>
                <w:lang w:val="en-US" w:eastAsia="zh-CN"/>
              </w:rPr>
              <w:t>（</w:t>
            </w:r>
            <w:r>
              <w:rPr>
                <w:rFonts w:hint="default" w:ascii="Times New Roman" w:hAnsi="Times New Roman" w:cs="Times New Roman"/>
                <w:color w:val="auto"/>
                <w:sz w:val="24"/>
                <w:szCs w:val="24"/>
                <w:highlight w:val="none"/>
                <w:u w:val="none"/>
              </w:rPr>
              <w:t>经度</w:t>
            </w:r>
            <w:r>
              <w:rPr>
                <w:rFonts w:hint="default" w:ascii="Times New Roman" w:hAnsi="Times New Roman" w:cs="Times New Roman"/>
                <w:color w:val="auto"/>
                <w:sz w:val="24"/>
                <w:szCs w:val="24"/>
                <w:highlight w:val="none"/>
                <w:u w:val="none"/>
                <w:lang w:val="en-US" w:eastAsia="zh-CN"/>
              </w:rPr>
              <w:t>113.</w:t>
            </w:r>
            <w:r>
              <w:rPr>
                <w:rFonts w:hint="eastAsia" w:cs="Times New Roman"/>
                <w:color w:val="auto"/>
                <w:sz w:val="24"/>
                <w:szCs w:val="24"/>
                <w:highlight w:val="none"/>
                <w:u w:val="none"/>
                <w:lang w:val="en-US" w:eastAsia="zh-CN"/>
              </w:rPr>
              <w:t>5065390</w:t>
            </w:r>
            <w:r>
              <w:rPr>
                <w:rFonts w:hint="default" w:ascii="Times New Roman" w:hAnsi="Times New Roman" w:cs="Times New Roman"/>
                <w:color w:val="auto"/>
                <w:sz w:val="24"/>
                <w:szCs w:val="24"/>
                <w:highlight w:val="none"/>
                <w:u w:val="none"/>
              </w:rPr>
              <w:t>，纬</w:t>
            </w:r>
            <w:r>
              <w:rPr>
                <w:rFonts w:hint="default" w:ascii="Times New Roman" w:hAnsi="Times New Roman" w:cs="Times New Roman"/>
                <w:color w:val="auto"/>
                <w:sz w:val="24"/>
                <w:szCs w:val="24"/>
                <w:highlight w:val="none"/>
                <w:u w:val="none"/>
                <w:lang w:val="en-US" w:eastAsia="zh-CN"/>
              </w:rPr>
              <w:t>度33.</w:t>
            </w:r>
            <w:r>
              <w:rPr>
                <w:rFonts w:hint="eastAsia" w:cs="Times New Roman"/>
                <w:color w:val="auto"/>
                <w:sz w:val="24"/>
                <w:szCs w:val="24"/>
                <w:highlight w:val="none"/>
                <w:u w:val="none"/>
                <w:lang w:val="en-US" w:eastAsia="zh-CN"/>
              </w:rPr>
              <w:t>6130343</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highlight w:val="none"/>
              </w:rPr>
              <w:t>为坐标原点，正东向为 X 轴正方向，正</w:t>
            </w:r>
            <w:r>
              <w:rPr>
                <w:rFonts w:ascii="Times New Roman" w:hAnsi="Times New Roman" w:cs="Times New Roman"/>
                <w:color w:val="auto"/>
                <w:sz w:val="24"/>
                <w:highlight w:val="none"/>
              </w:rPr>
              <w:t>北向为 Y 轴正方向</w:t>
            </w:r>
            <w:r>
              <w:rPr>
                <w:rFonts w:hint="eastAsia" w:ascii="Times New Roman" w:hAnsi="Times New Roman" w:cs="Times New Roman"/>
                <w:color w:val="auto"/>
                <w:sz w:val="24"/>
                <w:highlight w:val="none"/>
                <w:lang w:eastAsia="zh-CN"/>
              </w:rPr>
              <w:t>。</w:t>
            </w:r>
          </w:p>
          <w:p w14:paraId="6250E082">
            <w:pPr>
              <w:pStyle w:val="20"/>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hint="default" w:eastAsia="宋体"/>
                <w:highlight w:val="none"/>
                <w:lang w:val="en-US" w:eastAsia="zh-CN"/>
              </w:rPr>
            </w:pPr>
            <w:r>
              <w:rPr>
                <w:rFonts w:hint="eastAsia"/>
                <w:color w:val="auto"/>
                <w:sz w:val="24"/>
                <w:szCs w:val="24"/>
                <w:highlight w:val="none"/>
                <w:lang w:val="en-US" w:eastAsia="zh-CN" w:bidi="ar"/>
              </w:rPr>
              <w:t>厂房外的噪声源调查分析，本项的风机和污水处理设施位于厂房外，调查结果如下表：</w:t>
            </w:r>
          </w:p>
          <w:p w14:paraId="467F08C9">
            <w:pPr>
              <w:pStyle w:val="6"/>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Times New Roman" w:hAnsi="Times New Roman" w:eastAsia="黑体" w:cs="Times New Roman"/>
                <w:b w:val="0"/>
                <w:bCs w:val="0"/>
                <w:sz w:val="24"/>
                <w:szCs w:val="24"/>
                <w:lang w:val="en-US" w:eastAsia="zh-CN"/>
              </w:rPr>
            </w:pPr>
            <w:r>
              <w:rPr>
                <w:rFonts w:hint="eastAsia" w:ascii="Times New Roman" w:hAnsi="Times New Roman" w:eastAsia="黑体" w:cs="Times New Roman"/>
                <w:b w:val="0"/>
                <w:bCs w:val="0"/>
                <w:sz w:val="24"/>
                <w:szCs w:val="24"/>
                <w:lang w:val="en-US" w:eastAsia="zh-CN"/>
              </w:rPr>
              <w:t>表</w:t>
            </w:r>
            <w:r>
              <w:rPr>
                <w:rFonts w:hint="eastAsia" w:eastAsia="黑体" w:cs="Times New Roman"/>
                <w:b w:val="0"/>
                <w:bCs w:val="0"/>
                <w:sz w:val="24"/>
                <w:szCs w:val="24"/>
                <w:lang w:val="en-US" w:eastAsia="zh-CN"/>
              </w:rPr>
              <w:t>4-11</w:t>
            </w:r>
            <w:r>
              <w:rPr>
                <w:rFonts w:hint="eastAsia" w:ascii="Times New Roman" w:hAnsi="Times New Roman" w:eastAsia="黑体" w:cs="Times New Roman"/>
                <w:b w:val="0"/>
                <w:bCs w:val="0"/>
                <w:sz w:val="24"/>
                <w:szCs w:val="24"/>
                <w:lang w:val="en-US" w:eastAsia="zh-CN"/>
              </w:rPr>
              <w:t xml:space="preserve"> </w:t>
            </w:r>
            <w:r>
              <w:rPr>
                <w:rFonts w:hint="eastAsia"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项目</w:t>
            </w:r>
            <w:r>
              <w:rPr>
                <w:rFonts w:hint="eastAsia" w:eastAsia="黑体" w:cs="Times New Roman"/>
                <w:b w:val="0"/>
                <w:bCs w:val="0"/>
                <w:sz w:val="24"/>
                <w:szCs w:val="24"/>
                <w:lang w:val="en-US" w:eastAsia="zh-CN"/>
              </w:rPr>
              <w:t>厂房外</w:t>
            </w:r>
            <w:r>
              <w:rPr>
                <w:rFonts w:hint="eastAsia" w:ascii="Times New Roman" w:hAnsi="Times New Roman" w:eastAsia="黑体" w:cs="Times New Roman"/>
                <w:b w:val="0"/>
                <w:bCs w:val="0"/>
                <w:sz w:val="24"/>
                <w:szCs w:val="24"/>
                <w:lang w:val="en-US" w:eastAsia="zh-CN"/>
              </w:rPr>
              <w:t>主要声源调查清单</w:t>
            </w:r>
          </w:p>
          <w:tbl>
            <w:tblPr>
              <w:tblStyle w:val="21"/>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251"/>
              <w:gridCol w:w="460"/>
              <w:gridCol w:w="638"/>
              <w:gridCol w:w="558"/>
              <w:gridCol w:w="519"/>
              <w:gridCol w:w="768"/>
              <w:gridCol w:w="2172"/>
              <w:gridCol w:w="1166"/>
            </w:tblGrid>
            <w:tr w14:paraId="50F2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7" w:type="pct"/>
                  <w:vMerge w:val="restart"/>
                  <w:tcBorders>
                    <w:tl2br w:val="nil"/>
                    <w:tr2bl w:val="nil"/>
                  </w:tcBorders>
                  <w:noWrap w:val="0"/>
                  <w:vAlign w:val="center"/>
                </w:tcPr>
                <w:p w14:paraId="4C995960">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位置</w:t>
                  </w:r>
                </w:p>
              </w:tc>
              <w:tc>
                <w:tcPr>
                  <w:tcW w:w="786" w:type="pct"/>
                  <w:vMerge w:val="restart"/>
                  <w:tcBorders>
                    <w:tl2br w:val="nil"/>
                    <w:tr2bl w:val="nil"/>
                  </w:tcBorders>
                  <w:noWrap w:val="0"/>
                  <w:vAlign w:val="center"/>
                </w:tcPr>
                <w:p w14:paraId="6CBB836F">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声源名称</w:t>
                  </w:r>
                </w:p>
              </w:tc>
              <w:tc>
                <w:tcPr>
                  <w:tcW w:w="289" w:type="pct"/>
                  <w:vMerge w:val="restart"/>
                  <w:tcBorders>
                    <w:tl2br w:val="nil"/>
                    <w:tr2bl w:val="nil"/>
                  </w:tcBorders>
                  <w:noWrap w:val="0"/>
                  <w:vAlign w:val="center"/>
                </w:tcPr>
                <w:p w14:paraId="0E1E292C">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型号</w:t>
                  </w:r>
                </w:p>
              </w:tc>
              <w:tc>
                <w:tcPr>
                  <w:tcW w:w="1077" w:type="pct"/>
                  <w:gridSpan w:val="3"/>
                  <w:tcBorders>
                    <w:tl2br w:val="nil"/>
                    <w:tr2bl w:val="nil"/>
                  </w:tcBorders>
                  <w:noWrap w:val="0"/>
                  <w:tcMar>
                    <w:left w:w="11" w:type="dxa"/>
                    <w:right w:w="11" w:type="dxa"/>
                  </w:tcMar>
                  <w:vAlign w:val="center"/>
                </w:tcPr>
                <w:p w14:paraId="3DC7471F">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hint="eastAsia" w:ascii="Times New Roman" w:hAnsi="Times New Roman" w:cs="Times New Roman"/>
                      <w:b/>
                      <w:bCs/>
                      <w:sz w:val="21"/>
                      <w:szCs w:val="21"/>
                    </w:rPr>
                    <w:t>空间</w:t>
                  </w:r>
                  <w:r>
                    <w:rPr>
                      <w:rFonts w:ascii="Times New Roman" w:hAnsi="Times New Roman" w:cs="Times New Roman"/>
                      <w:b/>
                      <w:bCs/>
                      <w:sz w:val="21"/>
                      <w:szCs w:val="21"/>
                    </w:rPr>
                    <w:t>相对位置</w:t>
                  </w:r>
                </w:p>
              </w:tc>
              <w:tc>
                <w:tcPr>
                  <w:tcW w:w="482" w:type="pct"/>
                  <w:tcBorders>
                    <w:tl2br w:val="nil"/>
                    <w:tr2bl w:val="nil"/>
                  </w:tcBorders>
                  <w:noWrap w:val="0"/>
                  <w:tcMar>
                    <w:left w:w="11" w:type="dxa"/>
                    <w:right w:w="11" w:type="dxa"/>
                  </w:tcMar>
                  <w:vAlign w:val="center"/>
                </w:tcPr>
                <w:p w14:paraId="20C39DA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b/>
                      <w:bCs/>
                      <w:szCs w:val="21"/>
                    </w:rPr>
                  </w:pPr>
                  <w:r>
                    <w:rPr>
                      <w:rFonts w:hint="eastAsia" w:ascii="Times New Roman" w:hAnsi="Times New Roman" w:cs="Times New Roman"/>
                      <w:b/>
                      <w:bCs/>
                      <w:szCs w:val="21"/>
                    </w:rPr>
                    <w:t>声源</w:t>
                  </w:r>
                </w:p>
                <w:p w14:paraId="6B641460">
                  <w:pPr>
                    <w:keepNext w:val="0"/>
                    <w:keepLines w:val="0"/>
                    <w:pageBreakBefore w:val="0"/>
                    <w:kinsoku/>
                    <w:wordWrap/>
                    <w:overflowPunct/>
                    <w:topLinePunct w:val="0"/>
                    <w:autoSpaceDE/>
                    <w:autoSpaceDN/>
                    <w:bidi w:val="0"/>
                    <w:spacing w:line="240" w:lineRule="auto"/>
                    <w:jc w:val="center"/>
                    <w:textAlignment w:val="auto"/>
                    <w:rPr>
                      <w:rFonts w:ascii="Times New Roman" w:hAnsi="Times New Roman" w:cs="Times New Roman"/>
                      <w:b/>
                      <w:bCs/>
                      <w:sz w:val="21"/>
                      <w:szCs w:val="21"/>
                    </w:rPr>
                  </w:pPr>
                  <w:r>
                    <w:rPr>
                      <w:rFonts w:hint="eastAsia" w:ascii="Times New Roman" w:hAnsi="Times New Roman" w:cs="Times New Roman"/>
                      <w:b/>
                      <w:bCs/>
                      <w:szCs w:val="21"/>
                    </w:rPr>
                    <w:t>源强</w:t>
                  </w:r>
                </w:p>
              </w:tc>
              <w:tc>
                <w:tcPr>
                  <w:tcW w:w="1364" w:type="pct"/>
                  <w:vMerge w:val="restart"/>
                  <w:tcBorders>
                    <w:tl2br w:val="nil"/>
                    <w:tr2bl w:val="nil"/>
                  </w:tcBorders>
                  <w:noWrap w:val="0"/>
                  <w:tcMar>
                    <w:left w:w="11" w:type="dxa"/>
                    <w:right w:w="11" w:type="dxa"/>
                  </w:tcMar>
                  <w:vAlign w:val="center"/>
                </w:tcPr>
                <w:p w14:paraId="11B728D7">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声源控制措施</w:t>
                  </w:r>
                </w:p>
              </w:tc>
              <w:tc>
                <w:tcPr>
                  <w:tcW w:w="732" w:type="pct"/>
                  <w:vMerge w:val="restart"/>
                  <w:tcBorders>
                    <w:tl2br w:val="nil"/>
                    <w:tr2bl w:val="nil"/>
                  </w:tcBorders>
                  <w:noWrap w:val="0"/>
                  <w:vAlign w:val="center"/>
                </w:tcPr>
                <w:p w14:paraId="479096D7">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hint="eastAsia" w:ascii="Times New Roman" w:hAnsi="Times New Roman" w:cs="Times New Roman"/>
                      <w:b/>
                      <w:bCs/>
                      <w:sz w:val="21"/>
                      <w:szCs w:val="21"/>
                    </w:rPr>
                    <w:t>运行时段</w:t>
                  </w:r>
                </w:p>
              </w:tc>
            </w:tr>
            <w:tr w14:paraId="44B5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67" w:type="pct"/>
                  <w:vMerge w:val="continue"/>
                  <w:tcBorders>
                    <w:tl2br w:val="nil"/>
                    <w:tr2bl w:val="nil"/>
                  </w:tcBorders>
                  <w:noWrap w:val="0"/>
                  <w:vAlign w:val="center"/>
                </w:tcPr>
                <w:p w14:paraId="3017C81C">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sz w:val="21"/>
                      <w:szCs w:val="21"/>
                    </w:rPr>
                  </w:pPr>
                </w:p>
              </w:tc>
              <w:tc>
                <w:tcPr>
                  <w:tcW w:w="786" w:type="pct"/>
                  <w:vMerge w:val="continue"/>
                  <w:tcBorders>
                    <w:tl2br w:val="nil"/>
                    <w:tr2bl w:val="nil"/>
                  </w:tcBorders>
                  <w:noWrap w:val="0"/>
                  <w:vAlign w:val="center"/>
                </w:tcPr>
                <w:p w14:paraId="11B921F9">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sz w:val="21"/>
                      <w:szCs w:val="21"/>
                    </w:rPr>
                  </w:pPr>
                </w:p>
              </w:tc>
              <w:tc>
                <w:tcPr>
                  <w:tcW w:w="289" w:type="pct"/>
                  <w:vMerge w:val="continue"/>
                  <w:tcBorders>
                    <w:tl2br w:val="nil"/>
                    <w:tr2bl w:val="nil"/>
                  </w:tcBorders>
                  <w:noWrap w:val="0"/>
                  <w:vAlign w:val="center"/>
                </w:tcPr>
                <w:p w14:paraId="6430F8CB">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sz w:val="21"/>
                      <w:szCs w:val="21"/>
                    </w:rPr>
                  </w:pPr>
                </w:p>
              </w:tc>
              <w:tc>
                <w:tcPr>
                  <w:tcW w:w="400" w:type="pct"/>
                  <w:tcBorders>
                    <w:tl2br w:val="nil"/>
                    <w:tr2bl w:val="nil"/>
                  </w:tcBorders>
                  <w:noWrap w:val="0"/>
                  <w:tcMar>
                    <w:left w:w="11" w:type="dxa"/>
                    <w:right w:w="11" w:type="dxa"/>
                  </w:tcMar>
                  <w:vAlign w:val="center"/>
                </w:tcPr>
                <w:p w14:paraId="2C1272F6">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hint="eastAsia" w:ascii="Times New Roman" w:hAnsi="Times New Roman" w:cs="Times New Roman"/>
                      <w:b/>
                      <w:bCs/>
                      <w:sz w:val="21"/>
                      <w:szCs w:val="21"/>
                    </w:rPr>
                    <w:t>X</w:t>
                  </w:r>
                </w:p>
              </w:tc>
              <w:tc>
                <w:tcPr>
                  <w:tcW w:w="350" w:type="pct"/>
                  <w:tcBorders>
                    <w:tl2br w:val="nil"/>
                    <w:tr2bl w:val="nil"/>
                  </w:tcBorders>
                  <w:noWrap w:val="0"/>
                  <w:vAlign w:val="center"/>
                </w:tcPr>
                <w:p w14:paraId="7CBDF42E">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hint="eastAsia" w:ascii="Times New Roman" w:hAnsi="Times New Roman" w:cs="Times New Roman"/>
                      <w:b/>
                      <w:bCs/>
                      <w:sz w:val="21"/>
                      <w:szCs w:val="21"/>
                    </w:rPr>
                    <w:t>Y</w:t>
                  </w:r>
                </w:p>
              </w:tc>
              <w:tc>
                <w:tcPr>
                  <w:tcW w:w="326" w:type="pct"/>
                  <w:tcBorders>
                    <w:tl2br w:val="nil"/>
                    <w:tr2bl w:val="nil"/>
                  </w:tcBorders>
                  <w:noWrap w:val="0"/>
                  <w:vAlign w:val="center"/>
                </w:tcPr>
                <w:p w14:paraId="1756BB18">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b/>
                      <w:bCs/>
                      <w:sz w:val="21"/>
                      <w:szCs w:val="21"/>
                    </w:rPr>
                  </w:pPr>
                  <w:r>
                    <w:rPr>
                      <w:rFonts w:hint="eastAsia" w:ascii="Times New Roman" w:hAnsi="Times New Roman" w:cs="Times New Roman"/>
                      <w:b/>
                      <w:bCs/>
                      <w:sz w:val="21"/>
                      <w:szCs w:val="21"/>
                    </w:rPr>
                    <w:t>Z</w:t>
                  </w:r>
                </w:p>
              </w:tc>
              <w:tc>
                <w:tcPr>
                  <w:tcW w:w="482" w:type="pct"/>
                  <w:tcBorders>
                    <w:tl2br w:val="nil"/>
                    <w:tr2bl w:val="nil"/>
                  </w:tcBorders>
                  <w:noWrap w:val="0"/>
                  <w:tcMar>
                    <w:left w:w="11" w:type="dxa"/>
                    <w:right w:w="11" w:type="dxa"/>
                  </w:tcMar>
                  <w:vAlign w:val="center"/>
                </w:tcPr>
                <w:p w14:paraId="66700714">
                  <w:pPr>
                    <w:keepNext w:val="0"/>
                    <w:keepLines w:val="0"/>
                    <w:pageBreakBefore w:val="0"/>
                    <w:kinsoku/>
                    <w:wordWrap/>
                    <w:overflowPunct/>
                    <w:topLinePunct w:val="0"/>
                    <w:autoSpaceDE/>
                    <w:autoSpaceDN/>
                    <w:bidi w:val="0"/>
                    <w:spacing w:line="240" w:lineRule="auto"/>
                    <w:jc w:val="center"/>
                    <w:textAlignment w:val="auto"/>
                    <w:rPr>
                      <w:rFonts w:ascii="Times New Roman" w:hAnsi="Times New Roman" w:cs="Times New Roman"/>
                      <w:sz w:val="21"/>
                      <w:szCs w:val="21"/>
                    </w:rPr>
                  </w:pPr>
                  <w:r>
                    <w:rPr>
                      <w:rFonts w:hint="eastAsia" w:ascii="Times New Roman" w:hAnsi="Times New Roman" w:cs="Times New Roman"/>
                      <w:b/>
                      <w:bCs/>
                      <w:szCs w:val="21"/>
                    </w:rPr>
                    <w:t>声功率级/dB（</w:t>
                  </w:r>
                  <w:r>
                    <w:rPr>
                      <w:rFonts w:ascii="Times New Roman" w:hAnsi="Times New Roman" w:cs="Times New Roman"/>
                      <w:b/>
                      <w:bCs/>
                      <w:szCs w:val="21"/>
                    </w:rPr>
                    <w:t>A</w:t>
                  </w:r>
                  <w:r>
                    <w:rPr>
                      <w:rFonts w:hint="eastAsia" w:ascii="Times New Roman" w:hAnsi="Times New Roman" w:cs="Times New Roman"/>
                      <w:b/>
                      <w:bCs/>
                      <w:szCs w:val="21"/>
                    </w:rPr>
                    <w:t>）</w:t>
                  </w:r>
                </w:p>
              </w:tc>
              <w:tc>
                <w:tcPr>
                  <w:tcW w:w="1364" w:type="pct"/>
                  <w:vMerge w:val="continue"/>
                  <w:tcBorders>
                    <w:tl2br w:val="nil"/>
                    <w:tr2bl w:val="nil"/>
                  </w:tcBorders>
                  <w:noWrap w:val="0"/>
                  <w:tcMar>
                    <w:left w:w="11" w:type="dxa"/>
                    <w:right w:w="11" w:type="dxa"/>
                  </w:tcMar>
                  <w:vAlign w:val="center"/>
                </w:tcPr>
                <w:p w14:paraId="0C3AC467">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sz w:val="21"/>
                      <w:szCs w:val="21"/>
                    </w:rPr>
                  </w:pPr>
                </w:p>
              </w:tc>
              <w:tc>
                <w:tcPr>
                  <w:tcW w:w="732" w:type="pct"/>
                  <w:vMerge w:val="continue"/>
                  <w:tcBorders>
                    <w:tl2br w:val="nil"/>
                    <w:tr2bl w:val="nil"/>
                  </w:tcBorders>
                  <w:noWrap w:val="0"/>
                  <w:vAlign w:val="center"/>
                </w:tcPr>
                <w:p w14:paraId="547D9934">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sz w:val="21"/>
                      <w:szCs w:val="21"/>
                    </w:rPr>
                  </w:pPr>
                </w:p>
              </w:tc>
            </w:tr>
            <w:tr w14:paraId="67C0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67" w:type="pct"/>
                  <w:vMerge w:val="restart"/>
                  <w:tcBorders>
                    <w:tl2br w:val="nil"/>
                    <w:tr2bl w:val="nil"/>
                  </w:tcBorders>
                  <w:noWrap w:val="0"/>
                  <w:vAlign w:val="center"/>
                </w:tcPr>
                <w:p w14:paraId="49E6F5A6">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厂区内</w:t>
                  </w:r>
                </w:p>
              </w:tc>
              <w:tc>
                <w:tcPr>
                  <w:tcW w:w="786" w:type="pct"/>
                  <w:tcBorders>
                    <w:tl2br w:val="nil"/>
                    <w:tr2bl w:val="nil"/>
                  </w:tcBorders>
                  <w:noWrap w:val="0"/>
                  <w:tcMar>
                    <w:left w:w="11" w:type="dxa"/>
                    <w:right w:w="11" w:type="dxa"/>
                  </w:tcMar>
                  <w:vAlign w:val="center"/>
                </w:tcPr>
                <w:p w14:paraId="20F359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油烟风机</w:t>
                  </w:r>
                </w:p>
              </w:tc>
              <w:tc>
                <w:tcPr>
                  <w:tcW w:w="289" w:type="pct"/>
                  <w:tcBorders>
                    <w:tl2br w:val="nil"/>
                    <w:tr2bl w:val="nil"/>
                  </w:tcBorders>
                  <w:noWrap w:val="0"/>
                  <w:vAlign w:val="center"/>
                </w:tcPr>
                <w:p w14:paraId="246736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c>
                <w:tcPr>
                  <w:tcW w:w="400" w:type="pct"/>
                  <w:tcBorders>
                    <w:tl2br w:val="nil"/>
                    <w:tr2bl w:val="nil"/>
                  </w:tcBorders>
                  <w:noWrap w:val="0"/>
                  <w:tcMar>
                    <w:left w:w="11" w:type="dxa"/>
                    <w:right w:w="11" w:type="dxa"/>
                  </w:tcMar>
                  <w:vAlign w:val="center"/>
                </w:tcPr>
                <w:p w14:paraId="3EEBDFFE">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45</w:t>
                  </w:r>
                </w:p>
              </w:tc>
              <w:tc>
                <w:tcPr>
                  <w:tcW w:w="350" w:type="pct"/>
                  <w:tcBorders>
                    <w:tl2br w:val="nil"/>
                    <w:tr2bl w:val="nil"/>
                  </w:tcBorders>
                  <w:noWrap w:val="0"/>
                  <w:vAlign w:val="center"/>
                </w:tcPr>
                <w:p w14:paraId="6FDF2535">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50</w:t>
                  </w:r>
                </w:p>
              </w:tc>
              <w:tc>
                <w:tcPr>
                  <w:tcW w:w="326" w:type="pct"/>
                  <w:tcBorders>
                    <w:tl2br w:val="nil"/>
                    <w:tr2bl w:val="nil"/>
                  </w:tcBorders>
                  <w:noWrap w:val="0"/>
                  <w:vAlign w:val="center"/>
                </w:tcPr>
                <w:p w14:paraId="54D1A7F8">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1.0</w:t>
                  </w:r>
                </w:p>
              </w:tc>
              <w:tc>
                <w:tcPr>
                  <w:tcW w:w="482" w:type="pct"/>
                  <w:tcBorders>
                    <w:tl2br w:val="nil"/>
                    <w:tr2bl w:val="nil"/>
                  </w:tcBorders>
                  <w:noWrap w:val="0"/>
                  <w:tcMar>
                    <w:left w:w="11" w:type="dxa"/>
                    <w:right w:w="11" w:type="dxa"/>
                  </w:tcMar>
                  <w:vAlign w:val="center"/>
                </w:tcPr>
                <w:p w14:paraId="75304682">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zCs w:val="21"/>
                      <w:lang w:val="en-US" w:eastAsia="zh-CN"/>
                    </w:rPr>
                  </w:pPr>
                  <w:r>
                    <w:rPr>
                      <w:rFonts w:hint="eastAsia" w:cs="Times New Roman"/>
                      <w:szCs w:val="21"/>
                      <w:lang w:val="en-US" w:eastAsia="zh-CN"/>
                    </w:rPr>
                    <w:t>85</w:t>
                  </w:r>
                </w:p>
              </w:tc>
              <w:tc>
                <w:tcPr>
                  <w:tcW w:w="1364" w:type="pct"/>
                  <w:vMerge w:val="restart"/>
                  <w:tcBorders>
                    <w:tl2br w:val="nil"/>
                    <w:tr2bl w:val="nil"/>
                  </w:tcBorders>
                  <w:shd w:val="clear" w:color="auto" w:fill="auto"/>
                  <w:noWrap w:val="0"/>
                  <w:tcMar>
                    <w:left w:w="11" w:type="dxa"/>
                    <w:right w:w="11" w:type="dxa"/>
                  </w:tcMar>
                  <w:vAlign w:val="center"/>
                </w:tcPr>
                <w:p w14:paraId="6F69C4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隔声、距离衰减、</w:t>
                  </w:r>
                </w:p>
                <w:p w14:paraId="501994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u w:val="none"/>
                      <w:lang w:val="en-US" w:eastAsia="zh-CN"/>
                    </w:rPr>
                    <w:t>基础减震</w:t>
                  </w:r>
                </w:p>
              </w:tc>
              <w:tc>
                <w:tcPr>
                  <w:tcW w:w="732" w:type="pct"/>
                  <w:vMerge w:val="restart"/>
                  <w:tcBorders>
                    <w:tl2br w:val="nil"/>
                    <w:tr2bl w:val="nil"/>
                  </w:tcBorders>
                  <w:shd w:val="clear" w:color="auto" w:fill="auto"/>
                  <w:noWrap w:val="0"/>
                  <w:vAlign w:val="center"/>
                </w:tcPr>
                <w:p w14:paraId="314ABF6E">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工作时间</w:t>
                  </w:r>
                </w:p>
              </w:tc>
            </w:tr>
            <w:tr w14:paraId="719E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67" w:type="pct"/>
                  <w:vMerge w:val="continue"/>
                  <w:tcBorders>
                    <w:tl2br w:val="nil"/>
                    <w:tr2bl w:val="nil"/>
                  </w:tcBorders>
                  <w:noWrap w:val="0"/>
                  <w:vAlign w:val="center"/>
                </w:tcPr>
                <w:p w14:paraId="1EF3BDE0">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sz w:val="21"/>
                      <w:szCs w:val="21"/>
                      <w:lang w:val="en-US" w:eastAsia="zh-CN"/>
                    </w:rPr>
                  </w:pPr>
                </w:p>
              </w:tc>
              <w:tc>
                <w:tcPr>
                  <w:tcW w:w="786" w:type="pct"/>
                  <w:tcBorders>
                    <w:tl2br w:val="nil"/>
                    <w:tr2bl w:val="nil"/>
                  </w:tcBorders>
                  <w:noWrap w:val="0"/>
                  <w:tcMar>
                    <w:left w:w="11" w:type="dxa"/>
                    <w:right w:w="11" w:type="dxa"/>
                  </w:tcMar>
                  <w:vAlign w:val="center"/>
                </w:tcPr>
                <w:p w14:paraId="24368C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污水设施</w:t>
                  </w:r>
                </w:p>
                <w:p w14:paraId="3374E3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风机</w:t>
                  </w:r>
                </w:p>
              </w:tc>
              <w:tc>
                <w:tcPr>
                  <w:tcW w:w="289" w:type="pct"/>
                  <w:tcBorders>
                    <w:tl2br w:val="nil"/>
                    <w:tr2bl w:val="nil"/>
                  </w:tcBorders>
                  <w:noWrap w:val="0"/>
                  <w:vAlign w:val="center"/>
                </w:tcPr>
                <w:p w14:paraId="3A2067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00" w:type="pct"/>
                  <w:tcBorders>
                    <w:tl2br w:val="nil"/>
                    <w:tr2bl w:val="nil"/>
                  </w:tcBorders>
                  <w:noWrap w:val="0"/>
                  <w:tcMar>
                    <w:left w:w="11" w:type="dxa"/>
                    <w:right w:w="11" w:type="dxa"/>
                  </w:tcMar>
                  <w:vAlign w:val="center"/>
                </w:tcPr>
                <w:p w14:paraId="15F504FC">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45</w:t>
                  </w:r>
                </w:p>
              </w:tc>
              <w:tc>
                <w:tcPr>
                  <w:tcW w:w="350" w:type="pct"/>
                  <w:tcBorders>
                    <w:tl2br w:val="nil"/>
                    <w:tr2bl w:val="nil"/>
                  </w:tcBorders>
                  <w:noWrap w:val="0"/>
                  <w:vAlign w:val="center"/>
                </w:tcPr>
                <w:p w14:paraId="6B44BE23">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45</w:t>
                  </w:r>
                </w:p>
              </w:tc>
              <w:tc>
                <w:tcPr>
                  <w:tcW w:w="326" w:type="pct"/>
                  <w:tcBorders>
                    <w:tl2br w:val="nil"/>
                    <w:tr2bl w:val="nil"/>
                  </w:tcBorders>
                  <w:noWrap w:val="0"/>
                  <w:vAlign w:val="center"/>
                </w:tcPr>
                <w:p w14:paraId="0423ADB7">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1.0</w:t>
                  </w:r>
                </w:p>
              </w:tc>
              <w:tc>
                <w:tcPr>
                  <w:tcW w:w="482" w:type="pct"/>
                  <w:tcBorders>
                    <w:tl2br w:val="nil"/>
                    <w:tr2bl w:val="nil"/>
                  </w:tcBorders>
                  <w:noWrap w:val="0"/>
                  <w:tcMar>
                    <w:left w:w="11" w:type="dxa"/>
                    <w:right w:w="11" w:type="dxa"/>
                  </w:tcMar>
                  <w:vAlign w:val="center"/>
                </w:tcPr>
                <w:p w14:paraId="7519F87D">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szCs w:val="21"/>
                      <w:lang w:val="en-US" w:eastAsia="zh-CN"/>
                    </w:rPr>
                  </w:pPr>
                  <w:r>
                    <w:rPr>
                      <w:rFonts w:hint="eastAsia" w:cs="Times New Roman"/>
                      <w:szCs w:val="21"/>
                      <w:lang w:val="en-US" w:eastAsia="zh-CN"/>
                    </w:rPr>
                    <w:t>75</w:t>
                  </w:r>
                </w:p>
              </w:tc>
              <w:tc>
                <w:tcPr>
                  <w:tcW w:w="1364" w:type="pct"/>
                  <w:vMerge w:val="continue"/>
                  <w:tcBorders>
                    <w:tl2br w:val="nil"/>
                    <w:tr2bl w:val="nil"/>
                  </w:tcBorders>
                  <w:shd w:val="clear" w:color="auto" w:fill="auto"/>
                  <w:noWrap w:val="0"/>
                  <w:tcMar>
                    <w:left w:w="11" w:type="dxa"/>
                    <w:right w:w="11" w:type="dxa"/>
                  </w:tcMar>
                  <w:vAlign w:val="center"/>
                </w:tcPr>
                <w:p w14:paraId="306362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val="en-US" w:eastAsia="zh-CN"/>
                    </w:rPr>
                  </w:pPr>
                </w:p>
              </w:tc>
              <w:tc>
                <w:tcPr>
                  <w:tcW w:w="732" w:type="pct"/>
                  <w:vMerge w:val="continue"/>
                  <w:tcBorders>
                    <w:tl2br w:val="nil"/>
                    <w:tr2bl w:val="nil"/>
                  </w:tcBorders>
                  <w:shd w:val="clear" w:color="auto" w:fill="auto"/>
                  <w:noWrap w:val="0"/>
                  <w:vAlign w:val="center"/>
                </w:tcPr>
                <w:p w14:paraId="116999CE">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sz w:val="21"/>
                      <w:szCs w:val="21"/>
                      <w:lang w:val="en-US" w:eastAsia="zh-CN"/>
                    </w:rPr>
                  </w:pPr>
                </w:p>
              </w:tc>
            </w:tr>
            <w:tr w14:paraId="7201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 w:type="pct"/>
                  <w:vMerge w:val="continue"/>
                  <w:tcBorders>
                    <w:tl2br w:val="nil"/>
                    <w:tr2bl w:val="nil"/>
                  </w:tcBorders>
                  <w:noWrap w:val="0"/>
                  <w:vAlign w:val="center"/>
                </w:tcPr>
                <w:p w14:paraId="696CE4AF">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sz w:val="21"/>
                      <w:szCs w:val="21"/>
                      <w:lang w:val="en-US" w:eastAsia="zh-CN"/>
                    </w:rPr>
                  </w:pPr>
                </w:p>
              </w:tc>
              <w:tc>
                <w:tcPr>
                  <w:tcW w:w="786" w:type="pct"/>
                  <w:tcBorders>
                    <w:tl2br w:val="nil"/>
                    <w:tr2bl w:val="nil"/>
                  </w:tcBorders>
                  <w:noWrap w:val="0"/>
                  <w:tcMar>
                    <w:left w:w="11" w:type="dxa"/>
                    <w:right w:w="11" w:type="dxa"/>
                  </w:tcMar>
                  <w:vAlign w:val="center"/>
                </w:tcPr>
                <w:p w14:paraId="54E4E9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污水处理</w:t>
                  </w:r>
                </w:p>
                <w:p w14:paraId="7F5C09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设施</w:t>
                  </w:r>
                </w:p>
              </w:tc>
              <w:tc>
                <w:tcPr>
                  <w:tcW w:w="289" w:type="pct"/>
                  <w:tcBorders>
                    <w:tl2br w:val="nil"/>
                    <w:tr2bl w:val="nil"/>
                  </w:tcBorders>
                  <w:noWrap w:val="0"/>
                  <w:vAlign w:val="center"/>
                </w:tcPr>
                <w:p w14:paraId="4C62AA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00" w:type="pct"/>
                  <w:tcBorders>
                    <w:tl2br w:val="nil"/>
                    <w:tr2bl w:val="nil"/>
                  </w:tcBorders>
                  <w:noWrap w:val="0"/>
                  <w:tcMar>
                    <w:left w:w="11" w:type="dxa"/>
                    <w:right w:w="11" w:type="dxa"/>
                  </w:tcMar>
                  <w:vAlign w:val="center"/>
                </w:tcPr>
                <w:p w14:paraId="26599A36">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40</w:t>
                  </w:r>
                </w:p>
              </w:tc>
              <w:tc>
                <w:tcPr>
                  <w:tcW w:w="350" w:type="pct"/>
                  <w:tcBorders>
                    <w:tl2br w:val="nil"/>
                    <w:tr2bl w:val="nil"/>
                  </w:tcBorders>
                  <w:noWrap w:val="0"/>
                  <w:vAlign w:val="center"/>
                </w:tcPr>
                <w:p w14:paraId="51714E42">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55</w:t>
                  </w:r>
                </w:p>
              </w:tc>
              <w:tc>
                <w:tcPr>
                  <w:tcW w:w="326" w:type="pct"/>
                  <w:tcBorders>
                    <w:tl2br w:val="nil"/>
                    <w:tr2bl w:val="nil"/>
                  </w:tcBorders>
                  <w:noWrap w:val="0"/>
                  <w:vAlign w:val="center"/>
                </w:tcPr>
                <w:p w14:paraId="27C317DE">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2.0</w:t>
                  </w:r>
                </w:p>
              </w:tc>
              <w:tc>
                <w:tcPr>
                  <w:tcW w:w="482" w:type="pct"/>
                  <w:tcBorders>
                    <w:tl2br w:val="nil"/>
                    <w:tr2bl w:val="nil"/>
                  </w:tcBorders>
                  <w:noWrap w:val="0"/>
                  <w:tcMar>
                    <w:left w:w="11" w:type="dxa"/>
                    <w:right w:w="11" w:type="dxa"/>
                  </w:tcMar>
                  <w:vAlign w:val="center"/>
                </w:tcPr>
                <w:p w14:paraId="6DE35F40">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szCs w:val="21"/>
                      <w:lang w:val="en-US" w:eastAsia="zh-CN"/>
                    </w:rPr>
                  </w:pPr>
                  <w:r>
                    <w:rPr>
                      <w:rFonts w:hint="eastAsia" w:cs="Times New Roman"/>
                      <w:szCs w:val="21"/>
                      <w:lang w:val="en-US" w:eastAsia="zh-CN"/>
                    </w:rPr>
                    <w:t>75</w:t>
                  </w:r>
                </w:p>
              </w:tc>
              <w:tc>
                <w:tcPr>
                  <w:tcW w:w="1364" w:type="pct"/>
                  <w:vMerge w:val="continue"/>
                  <w:tcBorders>
                    <w:tl2br w:val="nil"/>
                    <w:tr2bl w:val="nil"/>
                  </w:tcBorders>
                  <w:shd w:val="clear" w:color="auto" w:fill="auto"/>
                  <w:noWrap w:val="0"/>
                  <w:tcMar>
                    <w:left w:w="11" w:type="dxa"/>
                    <w:right w:w="11" w:type="dxa"/>
                  </w:tcMar>
                  <w:vAlign w:val="center"/>
                </w:tcPr>
                <w:p w14:paraId="17FD9A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val="en-US" w:eastAsia="zh-CN"/>
                    </w:rPr>
                  </w:pPr>
                </w:p>
              </w:tc>
              <w:tc>
                <w:tcPr>
                  <w:tcW w:w="732" w:type="pct"/>
                  <w:vMerge w:val="continue"/>
                  <w:tcBorders>
                    <w:tl2br w:val="nil"/>
                    <w:tr2bl w:val="nil"/>
                  </w:tcBorders>
                  <w:shd w:val="clear" w:color="auto" w:fill="auto"/>
                  <w:noWrap w:val="0"/>
                  <w:vAlign w:val="center"/>
                </w:tcPr>
                <w:p w14:paraId="60474015">
                  <w:pPr>
                    <w:pStyle w:val="3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sz w:val="21"/>
                      <w:szCs w:val="21"/>
                      <w:lang w:val="en-US" w:eastAsia="zh-CN"/>
                    </w:rPr>
                  </w:pPr>
                </w:p>
              </w:tc>
            </w:tr>
          </w:tbl>
          <w:p w14:paraId="7BD10777">
            <w:pPr>
              <w:keepNext w:val="0"/>
              <w:keepLines w:val="0"/>
              <w:pageBreakBefore w:val="0"/>
              <w:widowControl w:val="0"/>
              <w:numPr>
                <w:ilvl w:val="0"/>
                <w:numId w:val="0"/>
              </w:numPr>
              <w:kinsoku/>
              <w:wordWrap/>
              <w:overflowPunct/>
              <w:topLinePunct w:val="0"/>
              <w:autoSpaceDE/>
              <w:autoSpaceDN/>
              <w:bidi w:val="0"/>
              <w:spacing w:line="500" w:lineRule="exact"/>
              <w:ind w:left="0" w:leftChars="0" w:firstLine="480" w:firstLineChars="200"/>
              <w:jc w:val="left"/>
              <w:textAlignment w:val="auto"/>
              <w:rPr>
                <w:rFonts w:hint="eastAsia" w:ascii="Times New Roman" w:hAnsi="Times New Roman" w:cs="Times New Roman"/>
                <w:color w:val="auto"/>
                <w:sz w:val="24"/>
                <w:lang w:eastAsia="zh-CN"/>
              </w:rPr>
            </w:pPr>
            <w:r>
              <w:rPr>
                <w:rFonts w:ascii="Times New Roman" w:hAnsi="Times New Roman" w:cs="Times New Roman"/>
                <w:color w:val="auto"/>
                <w:sz w:val="24"/>
                <w:highlight w:val="none"/>
              </w:rPr>
              <w:t>注：表中坐标以</w:t>
            </w:r>
            <w:r>
              <w:rPr>
                <w:rFonts w:ascii="Times New Roman" w:hAnsi="Times New Roman" w:cs="Times New Roman"/>
                <w:color w:val="auto"/>
                <w:sz w:val="24"/>
                <w:highlight w:val="none"/>
                <w:u w:val="none"/>
              </w:rPr>
              <w:t>厂</w:t>
            </w:r>
            <w:r>
              <w:rPr>
                <w:rFonts w:hint="eastAsia" w:cs="Times New Roman"/>
                <w:color w:val="auto"/>
                <w:sz w:val="24"/>
                <w:highlight w:val="none"/>
                <w:u w:val="none"/>
                <w:lang w:val="en-US" w:eastAsia="zh-CN"/>
              </w:rPr>
              <w:t>区</w:t>
            </w:r>
            <w:r>
              <w:rPr>
                <w:rFonts w:ascii="Times New Roman" w:hAnsi="Times New Roman" w:cs="Times New Roman"/>
                <w:color w:val="auto"/>
                <w:sz w:val="24"/>
                <w:highlight w:val="none"/>
                <w:u w:val="none"/>
              </w:rPr>
              <w:t>中心（</w:t>
            </w:r>
            <w:r>
              <w:rPr>
                <w:rFonts w:ascii="Times New Roman" w:hAnsi="Times New Roman" w:cs="Times New Roman"/>
                <w:sz w:val="24"/>
                <w:highlight w:val="none"/>
                <w:u w:val="none"/>
              </w:rPr>
              <w:t>经度11</w:t>
            </w:r>
            <w:r>
              <w:rPr>
                <w:rFonts w:hint="eastAsia" w:ascii="Times New Roman" w:hAnsi="Times New Roman" w:cs="Times New Roman"/>
                <w:sz w:val="24"/>
                <w:highlight w:val="none"/>
                <w:u w:val="none"/>
                <w:lang w:val="en-US" w:eastAsia="zh-CN"/>
              </w:rPr>
              <w:t>3</w:t>
            </w:r>
            <w:r>
              <w:rPr>
                <w:rFonts w:hint="eastAsia" w:cs="Times New Roman"/>
                <w:sz w:val="24"/>
                <w:highlight w:val="none"/>
                <w:u w:val="none"/>
                <w:lang w:val="en-US" w:eastAsia="zh-CN"/>
              </w:rPr>
              <w:t>.5060148</w:t>
            </w:r>
            <w:r>
              <w:rPr>
                <w:rFonts w:ascii="Times New Roman" w:hAnsi="Times New Roman" w:cs="Times New Roman"/>
                <w:sz w:val="24"/>
                <w:highlight w:val="none"/>
                <w:u w:val="none"/>
              </w:rPr>
              <w:t>，纬度3</w:t>
            </w:r>
            <w:r>
              <w:rPr>
                <w:rFonts w:hint="eastAsia" w:ascii="Times New Roman" w:hAnsi="Times New Roman" w:cs="Times New Roman"/>
                <w:sz w:val="24"/>
                <w:highlight w:val="none"/>
                <w:u w:val="none"/>
                <w:lang w:val="en-US" w:eastAsia="zh-CN"/>
              </w:rPr>
              <w:t>3</w:t>
            </w:r>
            <w:r>
              <w:rPr>
                <w:rFonts w:hint="eastAsia" w:cs="Times New Roman"/>
                <w:sz w:val="24"/>
                <w:highlight w:val="none"/>
                <w:u w:val="none"/>
                <w:lang w:val="en-US" w:eastAsia="zh-CN"/>
              </w:rPr>
              <w:t>.6135504</w:t>
            </w:r>
            <w:r>
              <w:rPr>
                <w:rFonts w:hint="eastAsia" w:ascii="Times New Roman" w:hAnsi="Times New Roman" w:cs="Times New Roman"/>
                <w:color w:val="auto"/>
                <w:sz w:val="24"/>
                <w:szCs w:val="24"/>
                <w:highlight w:val="none"/>
                <w:u w:val="none"/>
              </w:rPr>
              <w:t>）</w:t>
            </w:r>
            <w:r>
              <w:rPr>
                <w:rFonts w:ascii="Times New Roman" w:hAnsi="Times New Roman" w:cs="Times New Roman"/>
                <w:color w:val="auto"/>
                <w:sz w:val="24"/>
                <w:highlight w:val="none"/>
                <w:u w:val="none"/>
              </w:rPr>
              <w:t>为坐</w:t>
            </w:r>
            <w:r>
              <w:rPr>
                <w:rFonts w:ascii="Times New Roman" w:hAnsi="Times New Roman" w:cs="Times New Roman"/>
                <w:color w:val="auto"/>
                <w:sz w:val="24"/>
                <w:highlight w:val="none"/>
              </w:rPr>
              <w:t>标原点</w:t>
            </w:r>
            <w:r>
              <w:rPr>
                <w:rFonts w:ascii="Times New Roman" w:hAnsi="Times New Roman" w:cs="Times New Roman"/>
                <w:color w:val="auto"/>
                <w:sz w:val="24"/>
              </w:rPr>
              <w:t>，正东向为 X 轴正方向，正北向为 Y 轴正方向</w:t>
            </w:r>
            <w:r>
              <w:rPr>
                <w:rFonts w:hint="eastAsia" w:ascii="Times New Roman" w:hAnsi="Times New Roman" w:cs="Times New Roman"/>
                <w:color w:val="auto"/>
                <w:sz w:val="24"/>
                <w:lang w:eastAsia="zh-CN"/>
              </w:rPr>
              <w:t>。</w:t>
            </w:r>
          </w:p>
          <w:p w14:paraId="24B71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b w:val="0"/>
                <w:bCs w:val="0"/>
                <w:sz w:val="24"/>
                <w:szCs w:val="24"/>
                <w:u w:val="none"/>
              </w:rPr>
            </w:pPr>
            <w:r>
              <w:rPr>
                <w:rFonts w:hint="eastAsia" w:cs="Times New Roman"/>
                <w:b w:val="0"/>
                <w:bCs w:val="0"/>
                <w:sz w:val="24"/>
                <w:szCs w:val="24"/>
                <w:u w:val="none"/>
                <w:lang w:val="en-US" w:eastAsia="zh-CN"/>
              </w:rPr>
              <w:t>3.2</w:t>
            </w:r>
            <w:r>
              <w:rPr>
                <w:rFonts w:hint="default" w:ascii="Times New Roman" w:hAnsi="Times New Roman" w:cs="Times New Roman"/>
                <w:b w:val="0"/>
                <w:bCs w:val="0"/>
                <w:sz w:val="24"/>
                <w:szCs w:val="24"/>
                <w:u w:val="none"/>
              </w:rPr>
              <w:t>噪声预测及达标情况</w:t>
            </w:r>
          </w:p>
          <w:p w14:paraId="43673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（1）评价标准</w:t>
            </w:r>
          </w:p>
          <w:p w14:paraId="3E755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厂界噪声排放执行《工业企业厂界环境噪声排放标准》（GB12348-2008）</w:t>
            </w:r>
            <w:r>
              <w:rPr>
                <w:rFonts w:hint="eastAsia" w:cs="Times New Roman"/>
                <w:sz w:val="24"/>
                <w:szCs w:val="24"/>
                <w:u w:val="none"/>
                <w:lang w:val="en-US" w:eastAsia="zh-CN"/>
              </w:rPr>
              <w:t>2类</w:t>
            </w:r>
            <w:r>
              <w:rPr>
                <w:rFonts w:hint="default" w:ascii="Times New Roman" w:hAnsi="Times New Roman" w:cs="Times New Roman"/>
                <w:sz w:val="24"/>
                <w:szCs w:val="24"/>
                <w:u w:val="none"/>
              </w:rPr>
              <w:t>标准。</w:t>
            </w:r>
          </w:p>
          <w:p w14:paraId="62688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（2）预测点位</w:t>
            </w:r>
          </w:p>
          <w:p w14:paraId="334F2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本次声环境影响评价范围为四周厂界外1m。</w:t>
            </w:r>
          </w:p>
          <w:p w14:paraId="66AFC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（3）评价方法及预测模式</w:t>
            </w:r>
          </w:p>
          <w:p w14:paraId="21136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根据《环境影响评价技术导则·声环境》（HJ2.4-2021），选用预测模式。</w:t>
            </w:r>
          </w:p>
          <w:p w14:paraId="4FD4EC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①室内点声源的预测</w:t>
            </w:r>
          </w:p>
          <w:p w14:paraId="44082BA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室内靠近围护结构处的倍频带声压级：</w:t>
            </w:r>
          </w:p>
          <w:p w14:paraId="732D3C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right="0" w:firstLine="240" w:firstLineChars="1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式中：Lp1—靠近开口处（或窗户）室内某倍频带的声压级或A声级，dB；</w:t>
            </w:r>
          </w:p>
          <w:p w14:paraId="00A91C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1200" w:firstLineChars="5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Lw——点声源声功率级（A计权或倍频带），dB；</w:t>
            </w:r>
          </w:p>
          <w:p w14:paraId="72BAD1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1200" w:firstLineChars="5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Q——指向性因数；</w:t>
            </w:r>
          </w:p>
          <w:p w14:paraId="102C6F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1200" w:firstLineChars="5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r ——声源到靠近围护结构某点处的距离，m。</w:t>
            </w:r>
          </w:p>
          <w:p w14:paraId="06D32902">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室内声源在靠近围护结构处产生的总倍频带声压级：</w:t>
            </w:r>
          </w:p>
          <w:p w14:paraId="31A28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drawing>
                <wp:anchor distT="0" distB="0" distL="114300" distR="114300" simplePos="0" relativeHeight="251662336" behindDoc="0" locked="0" layoutInCell="1" allowOverlap="1">
                  <wp:simplePos x="0" y="0"/>
                  <wp:positionH relativeFrom="column">
                    <wp:posOffset>764540</wp:posOffset>
                  </wp:positionH>
                  <wp:positionV relativeFrom="paragraph">
                    <wp:posOffset>171450</wp:posOffset>
                  </wp:positionV>
                  <wp:extent cx="1737995" cy="500380"/>
                  <wp:effectExtent l="0" t="0" r="14605" b="2540"/>
                  <wp:wrapTopAndBottom/>
                  <wp:docPr id="3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
                          <pic:cNvPicPr>
                            <a:picLocks noChangeAspect="1"/>
                          </pic:cNvPicPr>
                        </pic:nvPicPr>
                        <pic:blipFill>
                          <a:blip r:embed="rId23"/>
                          <a:stretch>
                            <a:fillRect/>
                          </a:stretch>
                        </pic:blipFill>
                        <pic:spPr>
                          <a:xfrm>
                            <a:off x="0" y="0"/>
                            <a:ext cx="1737995" cy="500380"/>
                          </a:xfrm>
                          <a:prstGeom prst="rect">
                            <a:avLst/>
                          </a:prstGeom>
                          <a:noFill/>
                          <a:ln>
                            <a:noFill/>
                          </a:ln>
                        </pic:spPr>
                      </pic:pic>
                    </a:graphicData>
                  </a:graphic>
                </wp:anchor>
              </w:drawing>
            </w:r>
            <w:r>
              <w:rPr>
                <w:rFonts w:hint="default" w:ascii="Times New Roman" w:hAnsi="Times New Roman" w:cs="Times New Roman"/>
                <w:sz w:val="24"/>
                <w:szCs w:val="24"/>
                <w:u w:val="none"/>
              </w:rPr>
              <w:t>式中：L</w:t>
            </w:r>
            <w:r>
              <w:rPr>
                <w:rFonts w:hint="default" w:ascii="Times New Roman" w:hAnsi="Times New Roman" w:cs="Times New Roman"/>
                <w:sz w:val="24"/>
                <w:szCs w:val="24"/>
                <w:u w:val="none"/>
                <w:vertAlign w:val="subscript"/>
              </w:rPr>
              <w:t>p1i</w:t>
            </w:r>
            <w:r>
              <w:rPr>
                <w:rFonts w:hint="default" w:ascii="Times New Roman" w:hAnsi="Times New Roman" w:cs="Times New Roman"/>
                <w:sz w:val="24"/>
                <w:szCs w:val="24"/>
                <w:u w:val="none"/>
              </w:rPr>
              <w:t>（T）—靠近围护结构处室内N个声源i倍频带的叠加声压级，dB；</w:t>
            </w:r>
          </w:p>
          <w:p w14:paraId="78E470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720" w:firstLineChars="3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L</w:t>
            </w:r>
            <w:r>
              <w:rPr>
                <w:rFonts w:hint="default" w:ascii="Times New Roman" w:hAnsi="Times New Roman" w:cs="Times New Roman"/>
                <w:sz w:val="24"/>
                <w:szCs w:val="24"/>
                <w:u w:val="none"/>
                <w:vertAlign w:val="subscript"/>
              </w:rPr>
              <w:t>p1ij</w:t>
            </w:r>
            <w:r>
              <w:rPr>
                <w:rFonts w:hint="default" w:ascii="Times New Roman" w:hAnsi="Times New Roman" w:cs="Times New Roman"/>
                <w:sz w:val="24"/>
                <w:szCs w:val="24"/>
                <w:u w:val="none"/>
              </w:rPr>
              <w:t>——室内j声源i倍频带的声压级，dB；</w:t>
            </w:r>
          </w:p>
          <w:p w14:paraId="66247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720" w:firstLineChars="3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N为室内声源总数。</w:t>
            </w:r>
          </w:p>
          <w:p w14:paraId="7B1D9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c、室外靠近围护结构处的总的声压级：</w:t>
            </w:r>
          </w:p>
          <w:p w14:paraId="1F56F3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drawing>
                <wp:anchor distT="0" distB="0" distL="114300" distR="114300" simplePos="0" relativeHeight="251663360" behindDoc="0" locked="0" layoutInCell="1" allowOverlap="1">
                  <wp:simplePos x="0" y="0"/>
                  <wp:positionH relativeFrom="column">
                    <wp:posOffset>1071245</wp:posOffset>
                  </wp:positionH>
                  <wp:positionV relativeFrom="paragraph">
                    <wp:posOffset>45720</wp:posOffset>
                  </wp:positionV>
                  <wp:extent cx="2096135" cy="289560"/>
                  <wp:effectExtent l="0" t="0" r="6985" b="0"/>
                  <wp:wrapTopAndBottom/>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pic:cNvPicPr>
                            <a:picLocks noChangeAspect="1"/>
                          </pic:cNvPicPr>
                        </pic:nvPicPr>
                        <pic:blipFill>
                          <a:blip r:embed="rId24"/>
                          <a:stretch>
                            <a:fillRect/>
                          </a:stretch>
                        </pic:blipFill>
                        <pic:spPr>
                          <a:xfrm>
                            <a:off x="0" y="0"/>
                            <a:ext cx="2096135" cy="289560"/>
                          </a:xfrm>
                          <a:prstGeom prst="rect">
                            <a:avLst/>
                          </a:prstGeom>
                          <a:noFill/>
                          <a:ln>
                            <a:noFill/>
                          </a:ln>
                        </pic:spPr>
                      </pic:pic>
                    </a:graphicData>
                  </a:graphic>
                </wp:anchor>
              </w:drawing>
            </w:r>
            <w:r>
              <w:rPr>
                <w:rFonts w:hint="default" w:ascii="Times New Roman" w:hAnsi="Times New Roman" w:cs="Times New Roman"/>
                <w:sz w:val="24"/>
                <w:szCs w:val="24"/>
                <w:u w:val="none"/>
              </w:rPr>
              <w:t>式中：L</w:t>
            </w:r>
            <w:r>
              <w:rPr>
                <w:rFonts w:hint="default" w:ascii="Times New Roman" w:hAnsi="Times New Roman" w:cs="Times New Roman"/>
                <w:sz w:val="24"/>
                <w:szCs w:val="24"/>
                <w:u w:val="none"/>
                <w:vertAlign w:val="subscript"/>
              </w:rPr>
              <w:t>p2i</w:t>
            </w:r>
            <w:r>
              <w:rPr>
                <w:rFonts w:hint="default" w:ascii="Times New Roman" w:hAnsi="Times New Roman" w:cs="Times New Roman"/>
                <w:sz w:val="24"/>
                <w:szCs w:val="24"/>
                <w:u w:val="none"/>
              </w:rPr>
              <w:t>（T）—靠近围护结构处室外N个声源i倍频带的叠加声压级，dB；</w:t>
            </w:r>
          </w:p>
          <w:p w14:paraId="3921B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720" w:firstLineChars="3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L</w:t>
            </w:r>
            <w:r>
              <w:rPr>
                <w:rFonts w:hint="default" w:ascii="Times New Roman" w:hAnsi="Times New Roman" w:cs="Times New Roman"/>
                <w:sz w:val="24"/>
                <w:szCs w:val="24"/>
                <w:u w:val="none"/>
                <w:vertAlign w:val="subscript"/>
              </w:rPr>
              <w:t>p1i</w:t>
            </w:r>
            <w:r>
              <w:rPr>
                <w:rFonts w:hint="default" w:ascii="Times New Roman" w:hAnsi="Times New Roman" w:cs="Times New Roman"/>
                <w:sz w:val="24"/>
                <w:szCs w:val="24"/>
                <w:u w:val="none"/>
              </w:rPr>
              <w:t>（T）—靠近围护结构处室内N个声源i倍频带的叠加声压级，dB；</w:t>
            </w:r>
          </w:p>
          <w:p w14:paraId="4A4D7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720" w:firstLineChars="3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TL</w:t>
            </w:r>
            <w:r>
              <w:rPr>
                <w:rFonts w:hint="default" w:ascii="Times New Roman" w:hAnsi="Times New Roman" w:cs="Times New Roman"/>
                <w:sz w:val="24"/>
                <w:szCs w:val="24"/>
                <w:u w:val="none"/>
                <w:vertAlign w:val="subscript"/>
              </w:rPr>
              <w:t>i</w:t>
            </w:r>
            <w:r>
              <w:rPr>
                <w:rFonts w:hint="default" w:ascii="Times New Roman" w:hAnsi="Times New Roman" w:cs="Times New Roman"/>
                <w:sz w:val="24"/>
                <w:szCs w:val="24"/>
                <w:u w:val="none"/>
              </w:rPr>
              <w:t>——围护结构i倍频带的隔声量，dB。</w:t>
            </w:r>
          </w:p>
          <w:p w14:paraId="3ED6D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d、室外声压级换算成等效的室外声源：</w:t>
            </w:r>
          </w:p>
          <w:p w14:paraId="08FDDC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drawing>
                <wp:anchor distT="0" distB="0" distL="114300" distR="114300" simplePos="0" relativeHeight="251681792" behindDoc="0" locked="0" layoutInCell="1" allowOverlap="1">
                  <wp:simplePos x="0" y="0"/>
                  <wp:positionH relativeFrom="column">
                    <wp:posOffset>1362075</wp:posOffset>
                  </wp:positionH>
                  <wp:positionV relativeFrom="paragraph">
                    <wp:posOffset>104775</wp:posOffset>
                  </wp:positionV>
                  <wp:extent cx="1821180" cy="271145"/>
                  <wp:effectExtent l="0" t="0" r="7620" b="3175"/>
                  <wp:wrapTopAndBottom/>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5"/>
                          <a:stretch>
                            <a:fillRect/>
                          </a:stretch>
                        </pic:blipFill>
                        <pic:spPr>
                          <a:xfrm>
                            <a:off x="0" y="0"/>
                            <a:ext cx="1821180" cy="271145"/>
                          </a:xfrm>
                          <a:prstGeom prst="rect">
                            <a:avLst/>
                          </a:prstGeom>
                          <a:noFill/>
                          <a:ln>
                            <a:noFill/>
                          </a:ln>
                        </pic:spPr>
                      </pic:pic>
                    </a:graphicData>
                  </a:graphic>
                </wp:anchor>
              </w:drawing>
            </w:r>
            <w:r>
              <w:rPr>
                <w:rFonts w:hint="default" w:ascii="Times New Roman" w:hAnsi="Times New Roman" w:cs="Times New Roman"/>
                <w:color w:val="auto"/>
                <w:sz w:val="24"/>
                <w:szCs w:val="24"/>
                <w:u w:val="none"/>
              </w:rPr>
              <w:t>式中：L</w:t>
            </w:r>
            <w:r>
              <w:rPr>
                <w:rFonts w:hint="default" w:ascii="Times New Roman" w:hAnsi="Times New Roman" w:cs="Times New Roman"/>
                <w:color w:val="auto"/>
                <w:sz w:val="24"/>
                <w:szCs w:val="24"/>
                <w:u w:val="none"/>
                <w:vertAlign w:val="subscript"/>
              </w:rPr>
              <w:t>w</w:t>
            </w:r>
            <w:r>
              <w:rPr>
                <w:rFonts w:hint="default" w:ascii="Times New Roman" w:hAnsi="Times New Roman" w:cs="Times New Roman"/>
                <w:color w:val="auto"/>
                <w:sz w:val="24"/>
                <w:szCs w:val="24"/>
                <w:u w:val="none"/>
              </w:rPr>
              <w:t>—中心位置位于透声面积（S）处的等效声源的倍频带声功率级</w:t>
            </w:r>
            <w:r>
              <w:rPr>
                <w:rFonts w:hint="eastAsia" w:cs="Times New Roman"/>
                <w:color w:val="auto"/>
                <w:sz w:val="24"/>
                <w:szCs w:val="24"/>
                <w:u w:val="none"/>
                <w:lang w:val="en-US" w:eastAsia="zh-CN"/>
              </w:rPr>
              <w:t>.</w:t>
            </w:r>
            <w:r>
              <w:rPr>
                <w:rFonts w:hint="default" w:ascii="Times New Roman" w:hAnsi="Times New Roman" w:cs="Times New Roman"/>
                <w:color w:val="auto"/>
                <w:sz w:val="24"/>
                <w:szCs w:val="24"/>
                <w:u w:val="none"/>
              </w:rPr>
              <w:t>dB；</w:t>
            </w:r>
          </w:p>
          <w:p w14:paraId="74F43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firstLine="720" w:firstLineChars="3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L</w:t>
            </w:r>
            <w:r>
              <w:rPr>
                <w:rFonts w:hint="default" w:ascii="Times New Roman" w:hAnsi="Times New Roman" w:cs="Times New Roman"/>
                <w:color w:val="auto"/>
                <w:sz w:val="24"/>
                <w:szCs w:val="24"/>
                <w:u w:val="none"/>
                <w:vertAlign w:val="subscript"/>
              </w:rPr>
              <w:t>p2</w:t>
            </w:r>
            <w:r>
              <w:rPr>
                <w:rFonts w:hint="default" w:ascii="Times New Roman" w:hAnsi="Times New Roman" w:cs="Times New Roman"/>
                <w:color w:val="auto"/>
                <w:sz w:val="24"/>
                <w:szCs w:val="24"/>
                <w:u w:val="none"/>
              </w:rPr>
              <w:t>(T)——靠近围护结构处室外声源的声压级，dB；</w:t>
            </w:r>
          </w:p>
          <w:p w14:paraId="514918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right="0" w:firstLine="720" w:firstLineChars="3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S——透声面积，m</w:t>
            </w:r>
            <w:r>
              <w:rPr>
                <w:rFonts w:hint="default" w:ascii="Times New Roman" w:hAnsi="Times New Roman" w:cs="Times New Roman"/>
                <w:color w:val="auto"/>
                <w:sz w:val="24"/>
                <w:szCs w:val="24"/>
                <w:u w:val="none"/>
                <w:vertAlign w:val="superscript"/>
              </w:rPr>
              <w:t>2</w:t>
            </w:r>
            <w:r>
              <w:rPr>
                <w:rFonts w:hint="default" w:ascii="Times New Roman" w:hAnsi="Times New Roman" w:cs="Times New Roman"/>
                <w:color w:val="auto"/>
                <w:sz w:val="24"/>
                <w:szCs w:val="24"/>
                <w:u w:val="none"/>
              </w:rPr>
              <w:t>。</w:t>
            </w:r>
          </w:p>
          <w:p w14:paraId="44EC0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color w:val="auto"/>
                <w:sz w:val="24"/>
                <w:szCs w:val="24"/>
                <w:u w:val="none"/>
              </w:rPr>
              <w:t>e、等效室外声源的位置为围护结构的位置，其倍频带声功率级为Lwoct，由此按室外声源方法计算等效室外声源在预测点产生的声级。</w:t>
            </w:r>
          </w:p>
          <w:p w14:paraId="6BE2E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②工业企业噪声计算：</w:t>
            </w:r>
          </w:p>
          <w:p w14:paraId="592874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设第i个室外声源在预测点产生的A声级为L</w:t>
            </w:r>
            <w:r>
              <w:rPr>
                <w:rFonts w:hint="default" w:ascii="Times New Roman" w:hAnsi="Times New Roman" w:cs="Times New Roman"/>
                <w:sz w:val="24"/>
                <w:szCs w:val="24"/>
                <w:u w:val="none"/>
                <w:vertAlign w:val="subscript"/>
              </w:rPr>
              <w:t>Ai</w:t>
            </w:r>
            <w:r>
              <w:rPr>
                <w:rFonts w:hint="default" w:ascii="Times New Roman" w:hAnsi="Times New Roman" w:cs="Times New Roman"/>
                <w:sz w:val="24"/>
                <w:szCs w:val="24"/>
                <w:u w:val="none"/>
              </w:rPr>
              <w:t>，在T时间内该声源工作时间为t</w:t>
            </w:r>
            <w:r>
              <w:rPr>
                <w:rFonts w:hint="default" w:ascii="Times New Roman" w:hAnsi="Times New Roman" w:cs="Times New Roman"/>
                <w:sz w:val="24"/>
                <w:szCs w:val="24"/>
                <w:u w:val="none"/>
                <w:vertAlign w:val="subscript"/>
              </w:rPr>
              <w:t>i</w:t>
            </w:r>
            <w:r>
              <w:rPr>
                <w:rFonts w:hint="default" w:ascii="Times New Roman" w:hAnsi="Times New Roman" w:cs="Times New Roman"/>
                <w:sz w:val="24"/>
                <w:szCs w:val="24"/>
                <w:u w:val="none"/>
              </w:rPr>
              <w:t>；第j个等效室外声源在预测点产生的A声级为L</w:t>
            </w:r>
            <w:r>
              <w:rPr>
                <w:rFonts w:hint="default" w:ascii="Times New Roman" w:hAnsi="Times New Roman" w:cs="Times New Roman"/>
                <w:sz w:val="24"/>
                <w:szCs w:val="24"/>
                <w:u w:val="none"/>
                <w:vertAlign w:val="subscript"/>
              </w:rPr>
              <w:t>Aj</w:t>
            </w:r>
            <w:r>
              <w:rPr>
                <w:rFonts w:hint="default" w:ascii="Times New Roman" w:hAnsi="Times New Roman" w:cs="Times New Roman"/>
                <w:sz w:val="24"/>
                <w:szCs w:val="24"/>
                <w:u w:val="none"/>
              </w:rPr>
              <w:t>，在T时间内该声源工作时间为tj，则拟建工程声源对预测点产生的贡献值（Leqg）为：</w:t>
            </w:r>
          </w:p>
          <w:p w14:paraId="4CA7CC0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u w:val="none"/>
              </w:rPr>
            </w:pPr>
            <w:r>
              <w:rPr>
                <w:rFonts w:hint="default" w:ascii="Times New Roman" w:hAnsi="Times New Roman" w:cs="Times New Roman"/>
                <w:u w:val="none"/>
              </w:rPr>
              <w:drawing>
                <wp:inline distT="0" distB="0" distL="114300" distR="114300">
                  <wp:extent cx="2494915" cy="508000"/>
                  <wp:effectExtent l="0" t="0" r="4445" b="10160"/>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
                          <pic:cNvPicPr>
                            <a:picLocks noChangeAspect="1"/>
                          </pic:cNvPicPr>
                        </pic:nvPicPr>
                        <pic:blipFill>
                          <a:blip r:embed="rId26"/>
                          <a:stretch>
                            <a:fillRect/>
                          </a:stretch>
                        </pic:blipFill>
                        <pic:spPr>
                          <a:xfrm>
                            <a:off x="0" y="0"/>
                            <a:ext cx="2494915" cy="508000"/>
                          </a:xfrm>
                          <a:prstGeom prst="rect">
                            <a:avLst/>
                          </a:prstGeom>
                          <a:noFill/>
                          <a:ln>
                            <a:noFill/>
                          </a:ln>
                        </pic:spPr>
                      </pic:pic>
                    </a:graphicData>
                  </a:graphic>
                </wp:inline>
              </w:drawing>
            </w:r>
          </w:p>
          <w:p w14:paraId="4FDA8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cs="Times New Roman"/>
                <w:sz w:val="24"/>
                <w:u w:val="none"/>
              </w:rPr>
            </w:pPr>
            <w:r>
              <w:rPr>
                <w:rFonts w:hint="default" w:ascii="Times New Roman" w:hAnsi="Times New Roman" w:cs="Times New Roman"/>
                <w:sz w:val="24"/>
                <w:u w:val="none"/>
              </w:rPr>
              <w:t>式中：Leqg——建设项目声源在预测点产生的噪声贡献值，dB；</w:t>
            </w:r>
          </w:p>
          <w:p w14:paraId="2BFE6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200" w:firstLineChars="500"/>
              <w:textAlignment w:val="auto"/>
              <w:rPr>
                <w:rFonts w:hint="default" w:ascii="Times New Roman" w:hAnsi="Times New Roman" w:cs="Times New Roman"/>
                <w:sz w:val="24"/>
                <w:u w:val="none"/>
              </w:rPr>
            </w:pPr>
            <w:r>
              <w:rPr>
                <w:rFonts w:hint="default" w:ascii="Times New Roman" w:hAnsi="Times New Roman" w:cs="Times New Roman"/>
                <w:sz w:val="24"/>
                <w:u w:val="none"/>
              </w:rPr>
              <w:t>T——用于计算等效声级的时间，s；</w:t>
            </w:r>
          </w:p>
          <w:p w14:paraId="177B5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200" w:firstLineChars="500"/>
              <w:textAlignment w:val="auto"/>
              <w:rPr>
                <w:rFonts w:hint="default" w:ascii="Times New Roman" w:hAnsi="Times New Roman" w:cs="Times New Roman"/>
                <w:sz w:val="24"/>
                <w:u w:val="none"/>
              </w:rPr>
            </w:pPr>
            <w:r>
              <w:rPr>
                <w:rFonts w:hint="default" w:ascii="Times New Roman" w:hAnsi="Times New Roman" w:cs="Times New Roman"/>
                <w:sz w:val="24"/>
                <w:u w:val="none"/>
              </w:rPr>
              <w:t>N——室外声源个数；</w:t>
            </w:r>
          </w:p>
          <w:p w14:paraId="0FD8F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200" w:firstLineChars="500"/>
              <w:textAlignment w:val="auto"/>
              <w:rPr>
                <w:rFonts w:hint="default" w:ascii="Times New Roman" w:hAnsi="Times New Roman" w:cs="Times New Roman"/>
                <w:sz w:val="24"/>
                <w:u w:val="none"/>
              </w:rPr>
            </w:pPr>
            <w:r>
              <w:rPr>
                <w:rFonts w:hint="default" w:ascii="Times New Roman" w:hAnsi="Times New Roman" w:cs="Times New Roman"/>
                <w:sz w:val="24"/>
                <w:u w:val="none"/>
              </w:rPr>
              <w:t xml:space="preserve">ti——在T时间内i声源工作时间，s； </w:t>
            </w:r>
          </w:p>
          <w:p w14:paraId="0974DB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200" w:firstLineChars="500"/>
              <w:textAlignment w:val="auto"/>
              <w:rPr>
                <w:rFonts w:hint="default" w:ascii="Times New Roman" w:hAnsi="Times New Roman" w:cs="Times New Roman"/>
                <w:sz w:val="24"/>
                <w:u w:val="none"/>
              </w:rPr>
            </w:pPr>
            <w:r>
              <w:rPr>
                <w:rFonts w:hint="default" w:ascii="Times New Roman" w:hAnsi="Times New Roman" w:cs="Times New Roman"/>
                <w:sz w:val="24"/>
                <w:u w:val="none"/>
              </w:rPr>
              <w:t>M——等效室外声源个数；</w:t>
            </w:r>
          </w:p>
          <w:p w14:paraId="008A2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200" w:firstLineChars="500"/>
              <w:textAlignment w:val="auto"/>
              <w:rPr>
                <w:rFonts w:hint="default" w:ascii="Times New Roman" w:hAnsi="Times New Roman" w:cs="Times New Roman"/>
                <w:sz w:val="24"/>
                <w:u w:val="none"/>
              </w:rPr>
            </w:pPr>
            <w:r>
              <w:rPr>
                <w:rFonts w:hint="default" w:ascii="Times New Roman" w:hAnsi="Times New Roman" w:cs="Times New Roman"/>
                <w:sz w:val="24"/>
                <w:u w:val="none"/>
              </w:rPr>
              <w:t>t j——在T时间内j声源工作时间，s。</w:t>
            </w:r>
          </w:p>
          <w:p w14:paraId="62FDE7E4">
            <w:pPr>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ascii="Times New Roman" w:hAnsi="Times New Roman" w:cs="Times New Roman"/>
                <w:sz w:val="24"/>
              </w:rPr>
            </w:pPr>
            <w:r>
              <w:rPr>
                <w:rFonts w:hint="eastAsia" w:ascii="Times New Roman" w:hAnsi="Times New Roman" w:cs="Times New Roman"/>
                <w:sz w:val="24"/>
              </w:rPr>
              <w:t>根据项目噪声源在</w:t>
            </w:r>
            <w:r>
              <w:rPr>
                <w:rFonts w:hint="eastAsia" w:cs="Times New Roman"/>
                <w:sz w:val="24"/>
                <w:lang w:val="en-US" w:eastAsia="zh-CN"/>
              </w:rPr>
              <w:t>厂</w:t>
            </w:r>
            <w:r>
              <w:rPr>
                <w:rFonts w:hint="eastAsia" w:ascii="Times New Roman" w:hAnsi="Times New Roman" w:cs="Times New Roman"/>
                <w:sz w:val="24"/>
              </w:rPr>
              <w:t>区内的分布，选择主要高噪声源对厂界的影响进行预测。</w:t>
            </w:r>
            <w:r>
              <w:rPr>
                <w:rFonts w:ascii="Times New Roman" w:hAnsi="Times New Roman" w:cs="Times New Roman"/>
                <w:sz w:val="24"/>
              </w:rPr>
              <w:t>经基础减振、消声等措施治理后源强可将</w:t>
            </w:r>
            <w:r>
              <w:rPr>
                <w:rFonts w:hint="eastAsia" w:ascii="Times New Roman" w:hAnsi="Times New Roman" w:cs="Times New Roman"/>
                <w:sz w:val="24"/>
              </w:rPr>
              <w:t>1</w:t>
            </w:r>
            <w:r>
              <w:rPr>
                <w:rFonts w:ascii="Times New Roman" w:hAnsi="Times New Roman" w:cs="Times New Roman"/>
                <w:sz w:val="24"/>
              </w:rPr>
              <w:t>5dB（</w:t>
            </w:r>
            <w:r>
              <w:rPr>
                <w:rFonts w:hint="eastAsia" w:ascii="Times New Roman" w:hAnsi="Times New Roman" w:cs="Times New Roman"/>
                <w:sz w:val="24"/>
              </w:rPr>
              <w:t>A</w:t>
            </w:r>
            <w:r>
              <w:rPr>
                <w:rFonts w:ascii="Times New Roman" w:hAnsi="Times New Roman" w:cs="Times New Roman"/>
                <w:sz w:val="24"/>
              </w:rPr>
              <w:t>）</w:t>
            </w:r>
            <w:r>
              <w:rPr>
                <w:rFonts w:hint="eastAsia" w:ascii="Times New Roman" w:hAnsi="Times New Roman" w:cs="Times New Roman"/>
                <w:sz w:val="24"/>
              </w:rPr>
              <w:t>以上</w:t>
            </w:r>
            <w:r>
              <w:rPr>
                <w:rFonts w:ascii="Times New Roman" w:hAnsi="Times New Roman" w:cs="Times New Roman"/>
                <w:sz w:val="24"/>
              </w:rPr>
              <w:t>，评价以</w:t>
            </w:r>
            <w:r>
              <w:rPr>
                <w:rFonts w:hint="eastAsia" w:ascii="Times New Roman" w:hAnsi="Times New Roman" w:cs="Times New Roman"/>
                <w:sz w:val="24"/>
                <w:lang w:val="en-US" w:eastAsia="zh-CN"/>
              </w:rPr>
              <w:t>15</w:t>
            </w:r>
            <w:r>
              <w:rPr>
                <w:rFonts w:ascii="Times New Roman" w:hAnsi="Times New Roman" w:cs="Times New Roman"/>
                <w:sz w:val="24"/>
              </w:rPr>
              <w:t>dB（</w:t>
            </w:r>
            <w:r>
              <w:rPr>
                <w:rFonts w:hint="eastAsia" w:ascii="Times New Roman" w:hAnsi="Times New Roman" w:cs="Times New Roman"/>
                <w:sz w:val="24"/>
              </w:rPr>
              <w:t>A</w:t>
            </w:r>
            <w:r>
              <w:rPr>
                <w:rFonts w:ascii="Times New Roman" w:hAnsi="Times New Roman" w:cs="Times New Roman"/>
                <w:sz w:val="24"/>
              </w:rPr>
              <w:t>）</w:t>
            </w:r>
            <w:r>
              <w:rPr>
                <w:rFonts w:hint="eastAsia" w:ascii="Times New Roman" w:hAnsi="Times New Roman" w:cs="Times New Roman"/>
                <w:sz w:val="24"/>
                <w:lang w:val="en-US" w:eastAsia="zh-CN"/>
              </w:rPr>
              <w:t>计算</w:t>
            </w:r>
            <w:r>
              <w:rPr>
                <w:rFonts w:ascii="Times New Roman" w:hAnsi="Times New Roman" w:cs="Times New Roman"/>
                <w:sz w:val="24"/>
              </w:rPr>
              <w:t>。</w:t>
            </w:r>
            <w:r>
              <w:rPr>
                <w:rFonts w:hint="default" w:ascii="Times New Roman" w:hAnsi="Times New Roman" w:cs="Times New Roman"/>
                <w:color w:val="auto"/>
                <w:kern w:val="2"/>
                <w:sz w:val="24"/>
                <w:szCs w:val="24"/>
                <w:highlight w:val="none"/>
                <w:u w:val="none"/>
              </w:rPr>
              <w:t>噪声预测结果见下表。</w:t>
            </w:r>
          </w:p>
          <w:p w14:paraId="3D5C036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val="0"/>
                <w:bCs w:val="0"/>
                <w:sz w:val="24"/>
                <w:highlight w:val="none"/>
                <w:u w:val="none"/>
              </w:rPr>
            </w:pPr>
            <w:r>
              <w:rPr>
                <w:rFonts w:hint="eastAsia" w:cs="Times New Roman"/>
                <w:b w:val="0"/>
                <w:bCs w:val="0"/>
                <w:sz w:val="24"/>
                <w:highlight w:val="none"/>
                <w:u w:val="none"/>
                <w:lang w:val="en-US" w:eastAsia="zh-CN"/>
              </w:rPr>
              <w:t>3.3</w:t>
            </w:r>
            <w:r>
              <w:rPr>
                <w:rFonts w:hint="default" w:ascii="Times New Roman" w:hAnsi="Times New Roman" w:cs="Times New Roman"/>
                <w:b w:val="0"/>
                <w:bCs w:val="0"/>
                <w:sz w:val="24"/>
                <w:highlight w:val="none"/>
                <w:u w:val="none"/>
              </w:rPr>
              <w:t>预测结果</w:t>
            </w:r>
          </w:p>
          <w:p w14:paraId="4A70C27B">
            <w:pPr>
              <w:pStyle w:val="40"/>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auto"/>
                <w:kern w:val="2"/>
                <w:szCs w:val="24"/>
                <w:u w:val="none"/>
              </w:rPr>
            </w:pPr>
            <w:r>
              <w:rPr>
                <w:rFonts w:hint="default" w:ascii="Times New Roman" w:hAnsi="Times New Roman" w:cs="Times New Roman"/>
                <w:color w:val="auto"/>
                <w:kern w:val="2"/>
                <w:sz w:val="24"/>
                <w:szCs w:val="24"/>
                <w:u w:val="none"/>
              </w:rPr>
              <w:t>本次评价预测项目噪声源对厂界四周噪声贡献情况。噪声预测结果见下表。</w:t>
            </w:r>
          </w:p>
          <w:p w14:paraId="6BB05AB7">
            <w:pPr>
              <w:pStyle w:val="14"/>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b w:val="0"/>
                <w:bCs w:val="0"/>
                <w:sz w:val="24"/>
                <w:szCs w:val="24"/>
                <w:highlight w:val="none"/>
                <w:u w:val="none"/>
                <w:lang w:val="en-US" w:eastAsia="zh-CN"/>
              </w:rPr>
              <w:t>表</w:t>
            </w:r>
            <w:r>
              <w:rPr>
                <w:rFonts w:hint="eastAsia" w:eastAsia="黑体" w:cs="Times New Roman"/>
                <w:b w:val="0"/>
                <w:bCs w:val="0"/>
                <w:sz w:val="24"/>
                <w:szCs w:val="24"/>
                <w:highlight w:val="none"/>
                <w:u w:val="none"/>
                <w:lang w:val="en-US" w:eastAsia="zh-CN"/>
              </w:rPr>
              <w:t>4-12</w:t>
            </w:r>
            <w:r>
              <w:rPr>
                <w:rFonts w:hint="default" w:ascii="Times New Roman" w:hAnsi="Times New Roman" w:eastAsia="黑体" w:cs="Times New Roman"/>
                <w:b w:val="0"/>
                <w:bCs w:val="0"/>
                <w:sz w:val="24"/>
                <w:szCs w:val="24"/>
                <w:highlight w:val="none"/>
                <w:u w:val="none"/>
                <w:lang w:val="en-US" w:eastAsia="zh-CN"/>
              </w:rPr>
              <w:t xml:space="preserve"> </w:t>
            </w:r>
            <w:r>
              <w:rPr>
                <w:rFonts w:hint="eastAsia" w:ascii="Times New Roman" w:hAnsi="Times New Roman" w:eastAsia="黑体" w:cs="Times New Roman"/>
                <w:color w:val="auto"/>
                <w:kern w:val="2"/>
                <w:sz w:val="24"/>
                <w:szCs w:val="24"/>
                <w:highlight w:val="none"/>
                <w:lang w:val="en-US" w:eastAsia="zh-CN" w:bidi="ar-SA"/>
              </w:rPr>
              <w:t>项目实施后厂界噪声预测结果一览表 单位：dB（A）</w:t>
            </w:r>
          </w:p>
          <w:tbl>
            <w:tblPr>
              <w:tblStyle w:val="21"/>
              <w:tblW w:w="80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58"/>
              <w:gridCol w:w="1255"/>
              <w:gridCol w:w="864"/>
              <w:gridCol w:w="974"/>
              <w:gridCol w:w="1104"/>
              <w:gridCol w:w="1111"/>
              <w:gridCol w:w="862"/>
            </w:tblGrid>
            <w:tr w14:paraId="6AD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88" w:type="dxa"/>
                  <w:tcBorders>
                    <w:tl2br w:val="nil"/>
                    <w:tr2bl w:val="nil"/>
                  </w:tcBorders>
                  <w:noWrap w:val="0"/>
                  <w:vAlign w:val="center"/>
                </w:tcPr>
                <w:p w14:paraId="3B059122">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预测</w:t>
                  </w:r>
                </w:p>
                <w:p w14:paraId="7FCD9B02">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方位</w:t>
                  </w:r>
                </w:p>
              </w:tc>
              <w:tc>
                <w:tcPr>
                  <w:tcW w:w="1158" w:type="dxa"/>
                  <w:tcBorders>
                    <w:tl2br w:val="nil"/>
                    <w:tr2bl w:val="nil"/>
                  </w:tcBorders>
                  <w:noWrap w:val="0"/>
                  <w:vAlign w:val="center"/>
                </w:tcPr>
                <w:p w14:paraId="1F5F18D2">
                  <w:pPr>
                    <w:adjustRightInd w:val="0"/>
                    <w:snapToGrid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声源</w:t>
                  </w:r>
                </w:p>
              </w:tc>
              <w:tc>
                <w:tcPr>
                  <w:tcW w:w="1255" w:type="dxa"/>
                  <w:tcBorders>
                    <w:tl2br w:val="nil"/>
                    <w:tr2bl w:val="nil"/>
                  </w:tcBorders>
                  <w:noWrap w:val="0"/>
                  <w:vAlign w:val="center"/>
                </w:tcPr>
                <w:p w14:paraId="53E82174">
                  <w:pPr>
                    <w:adjustRightInd w:val="0"/>
                    <w:snapToGrid w:val="0"/>
                    <w:spacing w:line="240" w:lineRule="auto"/>
                    <w:jc w:val="center"/>
                    <w:rPr>
                      <w:rFonts w:hint="eastAsia" w:cs="Times New Roman"/>
                      <w:b/>
                      <w:bCs/>
                      <w:color w:val="auto"/>
                      <w:szCs w:val="21"/>
                      <w:lang w:val="en-US" w:eastAsia="zh-CN"/>
                    </w:rPr>
                  </w:pPr>
                  <w:r>
                    <w:rPr>
                      <w:rFonts w:hint="eastAsia" w:cs="Times New Roman"/>
                      <w:b/>
                      <w:bCs/>
                      <w:color w:val="auto"/>
                      <w:szCs w:val="21"/>
                      <w:lang w:val="en-US" w:eastAsia="zh-CN"/>
                    </w:rPr>
                    <w:t>治理后</w:t>
                  </w:r>
                </w:p>
                <w:p w14:paraId="50EF8078">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源强</w:t>
                  </w:r>
                </w:p>
                <w:p w14:paraId="4B9CC961">
                  <w:pPr>
                    <w:adjustRightInd w:val="0"/>
                    <w:snapToGrid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（dB（A））</w:t>
                  </w:r>
                </w:p>
              </w:tc>
              <w:tc>
                <w:tcPr>
                  <w:tcW w:w="864" w:type="dxa"/>
                  <w:tcBorders>
                    <w:tl2br w:val="nil"/>
                    <w:tr2bl w:val="nil"/>
                  </w:tcBorders>
                  <w:noWrap w:val="0"/>
                  <w:vAlign w:val="center"/>
                </w:tcPr>
                <w:p w14:paraId="5BB212EA">
                  <w:pPr>
                    <w:adjustRightInd w:val="0"/>
                    <w:snapToGrid w:val="0"/>
                    <w:spacing w:line="240" w:lineRule="auto"/>
                    <w:jc w:val="center"/>
                    <w:rPr>
                      <w:rFonts w:hint="default" w:ascii="Times New Roman" w:hAnsi="Times New Roman" w:cs="Times New Roman"/>
                      <w:b/>
                      <w:bCs/>
                      <w:color w:val="auto"/>
                      <w:szCs w:val="21"/>
                      <w:lang w:val="en-US" w:eastAsia="zh-CN"/>
                    </w:rPr>
                  </w:pPr>
                  <w:r>
                    <w:rPr>
                      <w:rFonts w:hint="eastAsia" w:cs="Times New Roman"/>
                      <w:b/>
                      <w:bCs/>
                      <w:color w:val="auto"/>
                      <w:szCs w:val="21"/>
                      <w:lang w:val="en-US" w:eastAsia="zh-CN"/>
                    </w:rPr>
                    <w:t>车间</w:t>
                  </w:r>
                  <w:r>
                    <w:rPr>
                      <w:rFonts w:hint="eastAsia" w:ascii="Times New Roman" w:hAnsi="Times New Roman" w:cs="Times New Roman"/>
                      <w:b/>
                      <w:bCs/>
                      <w:color w:val="auto"/>
                      <w:szCs w:val="21"/>
                      <w:lang w:val="en-US" w:eastAsia="zh-CN"/>
                    </w:rPr>
                    <w:t>与厂界距离（m）</w:t>
                  </w:r>
                </w:p>
              </w:tc>
              <w:tc>
                <w:tcPr>
                  <w:tcW w:w="974" w:type="dxa"/>
                  <w:tcBorders>
                    <w:tl2br w:val="nil"/>
                    <w:tr2bl w:val="nil"/>
                  </w:tcBorders>
                  <w:noWrap w:val="0"/>
                  <w:vAlign w:val="center"/>
                </w:tcPr>
                <w:p w14:paraId="09175EEA">
                  <w:pPr>
                    <w:adjustRightInd w:val="0"/>
                    <w:snapToGrid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贡献值（dB（A））</w:t>
                  </w:r>
                </w:p>
              </w:tc>
              <w:tc>
                <w:tcPr>
                  <w:tcW w:w="1104" w:type="dxa"/>
                  <w:tcBorders>
                    <w:tl2br w:val="nil"/>
                    <w:tr2bl w:val="nil"/>
                  </w:tcBorders>
                  <w:noWrap w:val="0"/>
                  <w:vAlign w:val="center"/>
                </w:tcPr>
                <w:p w14:paraId="215FDE78">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cs="Times New Roman"/>
                      <w:b/>
                      <w:bCs/>
                      <w:color w:val="auto"/>
                      <w:szCs w:val="21"/>
                      <w:highlight w:val="none"/>
                      <w:lang w:val="en-US" w:eastAsia="zh-CN"/>
                    </w:rPr>
                    <w:t>贡献值叠加值</w:t>
                  </w:r>
                  <w:r>
                    <w:rPr>
                      <w:rFonts w:hint="eastAsia" w:ascii="Times New Roman" w:hAnsi="Times New Roman" w:cs="Times New Roman"/>
                      <w:b/>
                      <w:bCs/>
                      <w:color w:val="auto"/>
                      <w:szCs w:val="21"/>
                      <w:highlight w:val="none"/>
                      <w:lang w:val="en-US" w:eastAsia="zh-CN"/>
                    </w:rPr>
                    <w:t>（dB（A））</w:t>
                  </w:r>
                </w:p>
              </w:tc>
              <w:tc>
                <w:tcPr>
                  <w:tcW w:w="1111" w:type="dxa"/>
                  <w:tcBorders>
                    <w:tl2br w:val="nil"/>
                    <w:tr2bl w:val="nil"/>
                  </w:tcBorders>
                  <w:noWrap w:val="0"/>
                  <w:vAlign w:val="center"/>
                </w:tcPr>
                <w:p w14:paraId="59D876C9">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标准限值</w:t>
                  </w:r>
                </w:p>
                <w:p w14:paraId="70033CB2">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（dB（A））</w:t>
                  </w:r>
                </w:p>
              </w:tc>
              <w:tc>
                <w:tcPr>
                  <w:tcW w:w="862" w:type="dxa"/>
                  <w:tcBorders>
                    <w:tl2br w:val="nil"/>
                    <w:tr2bl w:val="nil"/>
                  </w:tcBorders>
                  <w:noWrap w:val="0"/>
                  <w:vAlign w:val="center"/>
                </w:tcPr>
                <w:p w14:paraId="0EA27EA2">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达标</w:t>
                  </w:r>
                </w:p>
                <w:p w14:paraId="22953056">
                  <w:pPr>
                    <w:adjustRightInd w:val="0"/>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情况</w:t>
                  </w:r>
                </w:p>
              </w:tc>
            </w:tr>
            <w:tr w14:paraId="4DFF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restart"/>
                  <w:tcBorders>
                    <w:tl2br w:val="nil"/>
                    <w:tr2bl w:val="nil"/>
                  </w:tcBorders>
                  <w:noWrap w:val="0"/>
                  <w:vAlign w:val="center"/>
                </w:tcPr>
                <w:p w14:paraId="64725FAA">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东厂界</w:t>
                  </w:r>
                </w:p>
              </w:tc>
              <w:tc>
                <w:tcPr>
                  <w:tcW w:w="1158" w:type="dxa"/>
                  <w:tcBorders>
                    <w:tl2br w:val="nil"/>
                    <w:tr2bl w:val="nil"/>
                  </w:tcBorders>
                  <w:shd w:val="clear" w:color="auto" w:fill="auto"/>
                  <w:noWrap w:val="0"/>
                  <w:vAlign w:val="center"/>
                </w:tcPr>
                <w:p w14:paraId="22CC22B5">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粉碎机</w:t>
                  </w:r>
                </w:p>
              </w:tc>
              <w:tc>
                <w:tcPr>
                  <w:tcW w:w="1255" w:type="dxa"/>
                  <w:tcBorders>
                    <w:tl2br w:val="nil"/>
                    <w:tr2bl w:val="nil"/>
                  </w:tcBorders>
                  <w:shd w:val="clear" w:color="auto" w:fill="auto"/>
                  <w:noWrap w:val="0"/>
                  <w:vAlign w:val="center"/>
                </w:tcPr>
                <w:p w14:paraId="21DA36B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57.5</w:t>
                  </w:r>
                </w:p>
              </w:tc>
              <w:tc>
                <w:tcPr>
                  <w:tcW w:w="864" w:type="dxa"/>
                  <w:tcBorders>
                    <w:tl2br w:val="nil"/>
                    <w:tr2bl w:val="nil"/>
                  </w:tcBorders>
                  <w:noWrap w:val="0"/>
                  <w:vAlign w:val="center"/>
                </w:tcPr>
                <w:p w14:paraId="074DC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12223E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34.0</w:t>
                  </w:r>
                </w:p>
              </w:tc>
              <w:tc>
                <w:tcPr>
                  <w:tcW w:w="1104" w:type="dxa"/>
                  <w:vMerge w:val="restart"/>
                  <w:tcBorders>
                    <w:tl2br w:val="nil"/>
                    <w:tr2bl w:val="nil"/>
                  </w:tcBorders>
                  <w:noWrap w:val="0"/>
                  <w:vAlign w:val="center"/>
                </w:tcPr>
                <w:p w14:paraId="18FB353B">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57.5</w:t>
                  </w:r>
                </w:p>
              </w:tc>
              <w:tc>
                <w:tcPr>
                  <w:tcW w:w="1111" w:type="dxa"/>
                  <w:vMerge w:val="restart"/>
                  <w:tcBorders>
                    <w:tl2br w:val="nil"/>
                    <w:tr2bl w:val="nil"/>
                  </w:tcBorders>
                  <w:noWrap w:val="0"/>
                  <w:vAlign w:val="center"/>
                </w:tcPr>
                <w:p w14:paraId="33C3721E">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862" w:type="dxa"/>
                  <w:vMerge w:val="restart"/>
                  <w:tcBorders>
                    <w:tl2br w:val="nil"/>
                    <w:tr2bl w:val="nil"/>
                  </w:tcBorders>
                  <w:noWrap w:val="0"/>
                  <w:vAlign w:val="center"/>
                </w:tcPr>
                <w:p w14:paraId="2F913BC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达标</w:t>
                  </w:r>
                </w:p>
              </w:tc>
            </w:tr>
            <w:tr w14:paraId="7F02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51D3879">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7382FFD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5F8FFC3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51.8</w:t>
                  </w:r>
                </w:p>
              </w:tc>
              <w:tc>
                <w:tcPr>
                  <w:tcW w:w="864" w:type="dxa"/>
                  <w:tcBorders>
                    <w:tl2br w:val="nil"/>
                    <w:tr2bl w:val="nil"/>
                  </w:tcBorders>
                  <w:noWrap w:val="0"/>
                  <w:vAlign w:val="center"/>
                </w:tcPr>
                <w:p w14:paraId="556E17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0387D2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28.3</w:t>
                  </w:r>
                </w:p>
              </w:tc>
              <w:tc>
                <w:tcPr>
                  <w:tcW w:w="1104" w:type="dxa"/>
                  <w:vMerge w:val="continue"/>
                  <w:tcBorders>
                    <w:tl2br w:val="nil"/>
                    <w:tr2bl w:val="nil"/>
                  </w:tcBorders>
                  <w:noWrap w:val="0"/>
                  <w:vAlign w:val="center"/>
                </w:tcPr>
                <w:p w14:paraId="5F7D9BB0">
                  <w:pPr>
                    <w:adjustRightInd w:val="0"/>
                    <w:snapToGrid w:val="0"/>
                    <w:spacing w:line="360" w:lineRule="auto"/>
                    <w:jc w:val="center"/>
                    <w:rPr>
                      <w:rFonts w:hint="eastAsia" w:cs="Times New Roman"/>
                      <w:color w:val="auto"/>
                      <w:szCs w:val="21"/>
                      <w:lang w:val="en-US" w:eastAsia="zh-CN"/>
                    </w:rPr>
                  </w:pPr>
                </w:p>
              </w:tc>
              <w:tc>
                <w:tcPr>
                  <w:tcW w:w="1111" w:type="dxa"/>
                  <w:vMerge w:val="continue"/>
                  <w:tcBorders>
                    <w:tl2br w:val="nil"/>
                    <w:tr2bl w:val="nil"/>
                  </w:tcBorders>
                  <w:noWrap w:val="0"/>
                  <w:vAlign w:val="center"/>
                </w:tcPr>
                <w:p w14:paraId="12CC0B5F">
                  <w:pPr>
                    <w:adjustRightInd w:val="0"/>
                    <w:snapToGrid w:val="0"/>
                    <w:spacing w:line="360" w:lineRule="auto"/>
                    <w:jc w:val="center"/>
                    <w:rPr>
                      <w:rFonts w:hint="eastAsia" w:cs="Times New Roman"/>
                      <w:color w:val="auto"/>
                      <w:szCs w:val="21"/>
                      <w:lang w:val="en-US" w:eastAsia="zh-CN"/>
                    </w:rPr>
                  </w:pPr>
                </w:p>
              </w:tc>
              <w:tc>
                <w:tcPr>
                  <w:tcW w:w="862" w:type="dxa"/>
                  <w:vMerge w:val="continue"/>
                  <w:tcBorders>
                    <w:tl2br w:val="nil"/>
                    <w:tr2bl w:val="nil"/>
                  </w:tcBorders>
                  <w:noWrap w:val="0"/>
                  <w:vAlign w:val="center"/>
                </w:tcPr>
                <w:p w14:paraId="5D833FF1">
                  <w:pPr>
                    <w:adjustRightInd w:val="0"/>
                    <w:snapToGrid w:val="0"/>
                    <w:spacing w:line="360" w:lineRule="auto"/>
                    <w:jc w:val="center"/>
                    <w:rPr>
                      <w:rFonts w:hint="eastAsia" w:cs="Times New Roman"/>
                      <w:color w:val="auto"/>
                      <w:szCs w:val="21"/>
                      <w:lang w:val="en-US" w:eastAsia="zh-CN"/>
                    </w:rPr>
                  </w:pPr>
                </w:p>
              </w:tc>
            </w:tr>
            <w:tr w14:paraId="17EA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3D89AAF2">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79732726">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w:t>
                  </w:r>
                </w:p>
                <w:p w14:paraId="0C7D755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57999ED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48.0</w:t>
                  </w:r>
                </w:p>
              </w:tc>
              <w:tc>
                <w:tcPr>
                  <w:tcW w:w="864" w:type="dxa"/>
                  <w:tcBorders>
                    <w:tl2br w:val="nil"/>
                    <w:tr2bl w:val="nil"/>
                  </w:tcBorders>
                  <w:noWrap w:val="0"/>
                  <w:vAlign w:val="center"/>
                </w:tcPr>
                <w:p w14:paraId="30E12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28084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24.5</w:t>
                  </w:r>
                </w:p>
              </w:tc>
              <w:tc>
                <w:tcPr>
                  <w:tcW w:w="1104" w:type="dxa"/>
                  <w:vMerge w:val="continue"/>
                  <w:tcBorders>
                    <w:tl2br w:val="nil"/>
                    <w:tr2bl w:val="nil"/>
                  </w:tcBorders>
                  <w:noWrap w:val="0"/>
                  <w:vAlign w:val="center"/>
                </w:tcPr>
                <w:p w14:paraId="16EF3516">
                  <w:pPr>
                    <w:adjustRightInd w:val="0"/>
                    <w:snapToGrid w:val="0"/>
                    <w:spacing w:line="360" w:lineRule="auto"/>
                    <w:jc w:val="center"/>
                    <w:rPr>
                      <w:rFonts w:hint="eastAsia" w:cs="Times New Roman"/>
                      <w:color w:val="auto"/>
                      <w:szCs w:val="21"/>
                      <w:lang w:val="en-US" w:eastAsia="zh-CN"/>
                    </w:rPr>
                  </w:pPr>
                </w:p>
              </w:tc>
              <w:tc>
                <w:tcPr>
                  <w:tcW w:w="1111" w:type="dxa"/>
                  <w:vMerge w:val="continue"/>
                  <w:tcBorders>
                    <w:tl2br w:val="nil"/>
                    <w:tr2bl w:val="nil"/>
                  </w:tcBorders>
                  <w:noWrap w:val="0"/>
                  <w:vAlign w:val="center"/>
                </w:tcPr>
                <w:p w14:paraId="333A5841">
                  <w:pPr>
                    <w:adjustRightInd w:val="0"/>
                    <w:snapToGrid w:val="0"/>
                    <w:spacing w:line="360" w:lineRule="auto"/>
                    <w:jc w:val="center"/>
                    <w:rPr>
                      <w:rFonts w:hint="eastAsia" w:cs="Times New Roman"/>
                      <w:color w:val="auto"/>
                      <w:szCs w:val="21"/>
                      <w:lang w:val="en-US" w:eastAsia="zh-CN"/>
                    </w:rPr>
                  </w:pPr>
                </w:p>
              </w:tc>
              <w:tc>
                <w:tcPr>
                  <w:tcW w:w="862" w:type="dxa"/>
                  <w:vMerge w:val="continue"/>
                  <w:tcBorders>
                    <w:tl2br w:val="nil"/>
                    <w:tr2bl w:val="nil"/>
                  </w:tcBorders>
                  <w:noWrap w:val="0"/>
                  <w:vAlign w:val="center"/>
                </w:tcPr>
                <w:p w14:paraId="1941BA19">
                  <w:pPr>
                    <w:adjustRightInd w:val="0"/>
                    <w:snapToGrid w:val="0"/>
                    <w:spacing w:line="360" w:lineRule="auto"/>
                    <w:jc w:val="center"/>
                    <w:rPr>
                      <w:rFonts w:hint="eastAsia" w:cs="Times New Roman"/>
                      <w:color w:val="auto"/>
                      <w:szCs w:val="21"/>
                      <w:lang w:val="en-US" w:eastAsia="zh-CN"/>
                    </w:rPr>
                  </w:pPr>
                </w:p>
              </w:tc>
            </w:tr>
            <w:tr w14:paraId="4748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6EAE8112">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3940358B">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#1静置罐</w:t>
                  </w:r>
                </w:p>
              </w:tc>
              <w:tc>
                <w:tcPr>
                  <w:tcW w:w="1255" w:type="dxa"/>
                  <w:tcBorders>
                    <w:tl2br w:val="nil"/>
                    <w:tr2bl w:val="nil"/>
                  </w:tcBorders>
                  <w:shd w:val="clear" w:color="auto" w:fill="auto"/>
                  <w:noWrap w:val="0"/>
                  <w:vAlign w:val="center"/>
                </w:tcPr>
                <w:p w14:paraId="17F0C1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48.0</w:t>
                  </w:r>
                </w:p>
              </w:tc>
              <w:tc>
                <w:tcPr>
                  <w:tcW w:w="864" w:type="dxa"/>
                  <w:tcBorders>
                    <w:tl2br w:val="nil"/>
                    <w:tr2bl w:val="nil"/>
                  </w:tcBorders>
                  <w:noWrap w:val="0"/>
                  <w:vAlign w:val="center"/>
                </w:tcPr>
                <w:p w14:paraId="0CFD7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5EF3F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24.5</w:t>
                  </w:r>
                </w:p>
              </w:tc>
              <w:tc>
                <w:tcPr>
                  <w:tcW w:w="1104" w:type="dxa"/>
                  <w:vMerge w:val="continue"/>
                  <w:tcBorders>
                    <w:tl2br w:val="nil"/>
                    <w:tr2bl w:val="nil"/>
                  </w:tcBorders>
                  <w:noWrap w:val="0"/>
                  <w:vAlign w:val="center"/>
                </w:tcPr>
                <w:p w14:paraId="49C3FDF0">
                  <w:pPr>
                    <w:adjustRightInd w:val="0"/>
                    <w:snapToGrid w:val="0"/>
                    <w:spacing w:line="360" w:lineRule="auto"/>
                    <w:jc w:val="center"/>
                    <w:rPr>
                      <w:rFonts w:hint="eastAsia" w:cs="Times New Roman"/>
                      <w:color w:val="auto"/>
                      <w:szCs w:val="21"/>
                      <w:lang w:val="en-US" w:eastAsia="zh-CN"/>
                    </w:rPr>
                  </w:pPr>
                </w:p>
              </w:tc>
              <w:tc>
                <w:tcPr>
                  <w:tcW w:w="1111" w:type="dxa"/>
                  <w:vMerge w:val="continue"/>
                  <w:tcBorders>
                    <w:tl2br w:val="nil"/>
                    <w:tr2bl w:val="nil"/>
                  </w:tcBorders>
                  <w:noWrap w:val="0"/>
                  <w:vAlign w:val="center"/>
                </w:tcPr>
                <w:p w14:paraId="4FEB2868">
                  <w:pPr>
                    <w:adjustRightInd w:val="0"/>
                    <w:snapToGrid w:val="0"/>
                    <w:spacing w:line="360" w:lineRule="auto"/>
                    <w:jc w:val="center"/>
                    <w:rPr>
                      <w:rFonts w:hint="eastAsia" w:cs="Times New Roman"/>
                      <w:color w:val="auto"/>
                      <w:szCs w:val="21"/>
                      <w:lang w:val="en-US" w:eastAsia="zh-CN"/>
                    </w:rPr>
                  </w:pPr>
                </w:p>
              </w:tc>
              <w:tc>
                <w:tcPr>
                  <w:tcW w:w="862" w:type="dxa"/>
                  <w:vMerge w:val="continue"/>
                  <w:tcBorders>
                    <w:tl2br w:val="nil"/>
                    <w:tr2bl w:val="nil"/>
                  </w:tcBorders>
                  <w:noWrap w:val="0"/>
                  <w:vAlign w:val="center"/>
                </w:tcPr>
                <w:p w14:paraId="26ACC634">
                  <w:pPr>
                    <w:adjustRightInd w:val="0"/>
                    <w:snapToGrid w:val="0"/>
                    <w:spacing w:line="360" w:lineRule="auto"/>
                    <w:jc w:val="center"/>
                    <w:rPr>
                      <w:rFonts w:hint="eastAsia" w:cs="Times New Roman"/>
                      <w:color w:val="auto"/>
                      <w:szCs w:val="21"/>
                      <w:lang w:val="en-US" w:eastAsia="zh-CN"/>
                    </w:rPr>
                  </w:pPr>
                </w:p>
              </w:tc>
            </w:tr>
            <w:tr w14:paraId="561A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3147871">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50D3714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#2静置罐</w:t>
                  </w:r>
                </w:p>
              </w:tc>
              <w:tc>
                <w:tcPr>
                  <w:tcW w:w="1255" w:type="dxa"/>
                  <w:tcBorders>
                    <w:tl2br w:val="nil"/>
                    <w:tr2bl w:val="nil"/>
                  </w:tcBorders>
                  <w:shd w:val="clear" w:color="auto" w:fill="auto"/>
                  <w:noWrap w:val="0"/>
                  <w:vAlign w:val="center"/>
                </w:tcPr>
                <w:p w14:paraId="58C7CEC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51.8</w:t>
                  </w:r>
                </w:p>
              </w:tc>
              <w:tc>
                <w:tcPr>
                  <w:tcW w:w="864" w:type="dxa"/>
                  <w:tcBorders>
                    <w:tl2br w:val="nil"/>
                    <w:tr2bl w:val="nil"/>
                  </w:tcBorders>
                  <w:noWrap w:val="0"/>
                  <w:vAlign w:val="center"/>
                </w:tcPr>
                <w:p w14:paraId="3A40E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66ABC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28.3</w:t>
                  </w:r>
                </w:p>
              </w:tc>
              <w:tc>
                <w:tcPr>
                  <w:tcW w:w="1104" w:type="dxa"/>
                  <w:vMerge w:val="continue"/>
                  <w:tcBorders>
                    <w:tl2br w:val="nil"/>
                    <w:tr2bl w:val="nil"/>
                  </w:tcBorders>
                  <w:noWrap w:val="0"/>
                  <w:vAlign w:val="center"/>
                </w:tcPr>
                <w:p w14:paraId="7A3CC8BB">
                  <w:pPr>
                    <w:adjustRightInd w:val="0"/>
                    <w:snapToGrid w:val="0"/>
                    <w:spacing w:line="360" w:lineRule="auto"/>
                    <w:jc w:val="center"/>
                    <w:rPr>
                      <w:rFonts w:hint="eastAsia" w:cs="Times New Roman"/>
                      <w:color w:val="auto"/>
                      <w:szCs w:val="21"/>
                      <w:lang w:val="en-US" w:eastAsia="zh-CN"/>
                    </w:rPr>
                  </w:pPr>
                </w:p>
              </w:tc>
              <w:tc>
                <w:tcPr>
                  <w:tcW w:w="1111" w:type="dxa"/>
                  <w:vMerge w:val="continue"/>
                  <w:tcBorders>
                    <w:tl2br w:val="nil"/>
                    <w:tr2bl w:val="nil"/>
                  </w:tcBorders>
                  <w:noWrap w:val="0"/>
                  <w:vAlign w:val="center"/>
                </w:tcPr>
                <w:p w14:paraId="7C7E055B">
                  <w:pPr>
                    <w:adjustRightInd w:val="0"/>
                    <w:snapToGrid w:val="0"/>
                    <w:spacing w:line="360" w:lineRule="auto"/>
                    <w:jc w:val="center"/>
                    <w:rPr>
                      <w:rFonts w:hint="eastAsia" w:cs="Times New Roman"/>
                      <w:color w:val="auto"/>
                      <w:szCs w:val="21"/>
                      <w:lang w:val="en-US" w:eastAsia="zh-CN"/>
                    </w:rPr>
                  </w:pPr>
                </w:p>
              </w:tc>
              <w:tc>
                <w:tcPr>
                  <w:tcW w:w="862" w:type="dxa"/>
                  <w:vMerge w:val="continue"/>
                  <w:tcBorders>
                    <w:tl2br w:val="nil"/>
                    <w:tr2bl w:val="nil"/>
                  </w:tcBorders>
                  <w:noWrap w:val="0"/>
                  <w:vAlign w:val="center"/>
                </w:tcPr>
                <w:p w14:paraId="0CC1EB23">
                  <w:pPr>
                    <w:adjustRightInd w:val="0"/>
                    <w:snapToGrid w:val="0"/>
                    <w:spacing w:line="360" w:lineRule="auto"/>
                    <w:jc w:val="center"/>
                    <w:rPr>
                      <w:rFonts w:hint="eastAsia" w:cs="Times New Roman"/>
                      <w:color w:val="auto"/>
                      <w:szCs w:val="21"/>
                      <w:lang w:val="en-US" w:eastAsia="zh-CN"/>
                    </w:rPr>
                  </w:pPr>
                </w:p>
              </w:tc>
            </w:tr>
            <w:tr w14:paraId="02BA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86E95C7">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618C363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浓缩锅</w:t>
                  </w:r>
                </w:p>
              </w:tc>
              <w:tc>
                <w:tcPr>
                  <w:tcW w:w="1255" w:type="dxa"/>
                  <w:tcBorders>
                    <w:tl2br w:val="nil"/>
                    <w:tr2bl w:val="nil"/>
                  </w:tcBorders>
                  <w:shd w:val="clear" w:color="auto" w:fill="auto"/>
                  <w:noWrap w:val="0"/>
                  <w:vAlign w:val="center"/>
                </w:tcPr>
                <w:p w14:paraId="30C8582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44.2</w:t>
                  </w:r>
                </w:p>
              </w:tc>
              <w:tc>
                <w:tcPr>
                  <w:tcW w:w="864" w:type="dxa"/>
                  <w:tcBorders>
                    <w:tl2br w:val="nil"/>
                    <w:tr2bl w:val="nil"/>
                  </w:tcBorders>
                  <w:noWrap w:val="0"/>
                  <w:vAlign w:val="center"/>
                </w:tcPr>
                <w:p w14:paraId="0D4C28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408ED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20.7</w:t>
                  </w:r>
                </w:p>
              </w:tc>
              <w:tc>
                <w:tcPr>
                  <w:tcW w:w="1104" w:type="dxa"/>
                  <w:vMerge w:val="continue"/>
                  <w:tcBorders>
                    <w:tl2br w:val="nil"/>
                    <w:tr2bl w:val="nil"/>
                  </w:tcBorders>
                  <w:noWrap w:val="0"/>
                  <w:vAlign w:val="center"/>
                </w:tcPr>
                <w:p w14:paraId="4D205F18">
                  <w:pPr>
                    <w:adjustRightInd w:val="0"/>
                    <w:snapToGrid w:val="0"/>
                    <w:spacing w:line="360" w:lineRule="auto"/>
                    <w:jc w:val="center"/>
                    <w:rPr>
                      <w:rFonts w:hint="eastAsia" w:cs="Times New Roman"/>
                      <w:color w:val="auto"/>
                      <w:szCs w:val="21"/>
                      <w:lang w:val="en-US" w:eastAsia="zh-CN"/>
                    </w:rPr>
                  </w:pPr>
                </w:p>
              </w:tc>
              <w:tc>
                <w:tcPr>
                  <w:tcW w:w="1111" w:type="dxa"/>
                  <w:vMerge w:val="continue"/>
                  <w:tcBorders>
                    <w:tl2br w:val="nil"/>
                    <w:tr2bl w:val="nil"/>
                  </w:tcBorders>
                  <w:noWrap w:val="0"/>
                  <w:vAlign w:val="center"/>
                </w:tcPr>
                <w:p w14:paraId="24390417">
                  <w:pPr>
                    <w:adjustRightInd w:val="0"/>
                    <w:snapToGrid w:val="0"/>
                    <w:spacing w:line="360" w:lineRule="auto"/>
                    <w:jc w:val="center"/>
                    <w:rPr>
                      <w:rFonts w:hint="eastAsia" w:cs="Times New Roman"/>
                      <w:color w:val="auto"/>
                      <w:szCs w:val="21"/>
                      <w:lang w:val="en-US" w:eastAsia="zh-CN"/>
                    </w:rPr>
                  </w:pPr>
                </w:p>
              </w:tc>
              <w:tc>
                <w:tcPr>
                  <w:tcW w:w="862" w:type="dxa"/>
                  <w:vMerge w:val="continue"/>
                  <w:tcBorders>
                    <w:tl2br w:val="nil"/>
                    <w:tr2bl w:val="nil"/>
                  </w:tcBorders>
                  <w:noWrap w:val="0"/>
                  <w:vAlign w:val="center"/>
                </w:tcPr>
                <w:p w14:paraId="28D9240F">
                  <w:pPr>
                    <w:adjustRightInd w:val="0"/>
                    <w:snapToGrid w:val="0"/>
                    <w:spacing w:line="360" w:lineRule="auto"/>
                    <w:jc w:val="center"/>
                    <w:rPr>
                      <w:rFonts w:hint="eastAsia" w:cs="Times New Roman"/>
                      <w:color w:val="auto"/>
                      <w:szCs w:val="21"/>
                      <w:lang w:val="en-US" w:eastAsia="zh-CN"/>
                    </w:rPr>
                  </w:pPr>
                </w:p>
              </w:tc>
            </w:tr>
            <w:tr w14:paraId="397D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88" w:type="dxa"/>
                  <w:vMerge w:val="continue"/>
                  <w:tcBorders>
                    <w:tl2br w:val="nil"/>
                    <w:tr2bl w:val="nil"/>
                  </w:tcBorders>
                  <w:noWrap w:val="0"/>
                  <w:vAlign w:val="center"/>
                </w:tcPr>
                <w:p w14:paraId="35DC1C0D">
                  <w:pPr>
                    <w:adjustRightInd w:val="0"/>
                    <w:snapToGrid w:val="0"/>
                    <w:spacing w:line="360" w:lineRule="auto"/>
                    <w:jc w:val="center"/>
                    <w:rPr>
                      <w:rFonts w:ascii="Times New Roman" w:hAnsi="Times New Roman" w:cs="Times New Roman"/>
                    </w:rPr>
                  </w:pPr>
                </w:p>
              </w:tc>
              <w:tc>
                <w:tcPr>
                  <w:tcW w:w="1158" w:type="dxa"/>
                  <w:tcBorders>
                    <w:tl2br w:val="nil"/>
                    <w:tr2bl w:val="nil"/>
                  </w:tcBorders>
                  <w:shd w:val="clear" w:color="auto" w:fill="auto"/>
                  <w:noWrap w:val="0"/>
                  <w:vAlign w:val="center"/>
                </w:tcPr>
                <w:p w14:paraId="13D899C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过滤器</w:t>
                  </w:r>
                </w:p>
              </w:tc>
              <w:tc>
                <w:tcPr>
                  <w:tcW w:w="1255" w:type="dxa"/>
                  <w:tcBorders>
                    <w:tl2br w:val="nil"/>
                    <w:tr2bl w:val="nil"/>
                  </w:tcBorders>
                  <w:shd w:val="clear" w:color="auto" w:fill="auto"/>
                  <w:noWrap w:val="0"/>
                  <w:vAlign w:val="center"/>
                </w:tcPr>
                <w:p w14:paraId="4C2D12C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tcBorders>
                    <w:tl2br w:val="nil"/>
                    <w:tr2bl w:val="nil"/>
                  </w:tcBorders>
                  <w:noWrap w:val="0"/>
                  <w:vAlign w:val="center"/>
                </w:tcPr>
                <w:p w14:paraId="096FF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7B4FA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28.9</w:t>
                  </w:r>
                </w:p>
              </w:tc>
              <w:tc>
                <w:tcPr>
                  <w:tcW w:w="1104" w:type="dxa"/>
                  <w:vMerge w:val="continue"/>
                  <w:tcBorders>
                    <w:tl2br w:val="nil"/>
                    <w:tr2bl w:val="nil"/>
                  </w:tcBorders>
                  <w:noWrap w:val="0"/>
                  <w:vAlign w:val="center"/>
                </w:tcPr>
                <w:p w14:paraId="6138BFA7">
                  <w:pPr>
                    <w:adjustRightInd w:val="0"/>
                    <w:snapToGrid w:val="0"/>
                    <w:spacing w:line="360" w:lineRule="auto"/>
                    <w:jc w:val="center"/>
                    <w:rPr>
                      <w:rFonts w:hint="eastAsia"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4DA16C85">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235B03A4">
                  <w:pPr>
                    <w:adjustRightInd w:val="0"/>
                    <w:snapToGrid w:val="0"/>
                    <w:spacing w:line="360" w:lineRule="auto"/>
                    <w:jc w:val="center"/>
                    <w:rPr>
                      <w:rFonts w:hint="eastAsia" w:ascii="Times New Roman" w:hAnsi="Times New Roman" w:cs="Times New Roman"/>
                      <w:color w:val="auto"/>
                      <w:szCs w:val="21"/>
                      <w:lang w:val="en-US" w:eastAsia="zh-CN"/>
                    </w:rPr>
                  </w:pPr>
                </w:p>
              </w:tc>
            </w:tr>
            <w:tr w14:paraId="2F7A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3984B2CE">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66F53D9E">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高压均</w:t>
                  </w:r>
                </w:p>
                <w:p w14:paraId="36E661F9">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质机</w:t>
                  </w:r>
                </w:p>
              </w:tc>
              <w:tc>
                <w:tcPr>
                  <w:tcW w:w="1255" w:type="dxa"/>
                  <w:tcBorders>
                    <w:tl2br w:val="nil"/>
                    <w:tr2bl w:val="nil"/>
                  </w:tcBorders>
                  <w:shd w:val="clear" w:color="auto" w:fill="auto"/>
                  <w:noWrap w:val="0"/>
                  <w:vAlign w:val="center"/>
                </w:tcPr>
                <w:p w14:paraId="2DD5C9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44.2</w:t>
                  </w:r>
                </w:p>
              </w:tc>
              <w:tc>
                <w:tcPr>
                  <w:tcW w:w="864" w:type="dxa"/>
                  <w:tcBorders>
                    <w:tl2br w:val="nil"/>
                    <w:tr2bl w:val="nil"/>
                  </w:tcBorders>
                  <w:noWrap w:val="0"/>
                  <w:vAlign w:val="center"/>
                </w:tcPr>
                <w:p w14:paraId="348046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053AE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20.7</w:t>
                  </w:r>
                </w:p>
              </w:tc>
              <w:tc>
                <w:tcPr>
                  <w:tcW w:w="1104" w:type="dxa"/>
                  <w:vMerge w:val="continue"/>
                  <w:tcBorders>
                    <w:tl2br w:val="nil"/>
                    <w:tr2bl w:val="nil"/>
                  </w:tcBorders>
                  <w:noWrap w:val="0"/>
                  <w:vAlign w:val="center"/>
                </w:tcPr>
                <w:p w14:paraId="42A108F8">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2AAD294E">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07368BFA">
                  <w:pPr>
                    <w:adjustRightInd w:val="0"/>
                    <w:snapToGrid w:val="0"/>
                    <w:spacing w:line="360" w:lineRule="auto"/>
                    <w:jc w:val="center"/>
                    <w:rPr>
                      <w:rFonts w:hint="eastAsia" w:ascii="Times New Roman" w:hAnsi="Times New Roman" w:cs="Times New Roman"/>
                      <w:color w:val="auto"/>
                      <w:szCs w:val="21"/>
                      <w:lang w:val="en-US" w:eastAsia="zh-CN"/>
                    </w:rPr>
                  </w:pPr>
                </w:p>
              </w:tc>
            </w:tr>
            <w:tr w14:paraId="3EB7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193478BD">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001063B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调配罐</w:t>
                  </w:r>
                </w:p>
              </w:tc>
              <w:tc>
                <w:tcPr>
                  <w:tcW w:w="1255" w:type="dxa"/>
                  <w:tcBorders>
                    <w:tl2br w:val="nil"/>
                    <w:tr2bl w:val="nil"/>
                  </w:tcBorders>
                  <w:shd w:val="clear" w:color="auto" w:fill="auto"/>
                  <w:noWrap w:val="0"/>
                  <w:vAlign w:val="center"/>
                </w:tcPr>
                <w:p w14:paraId="5A9A03B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40.0</w:t>
                  </w:r>
                </w:p>
              </w:tc>
              <w:tc>
                <w:tcPr>
                  <w:tcW w:w="864" w:type="dxa"/>
                  <w:tcBorders>
                    <w:tl2br w:val="nil"/>
                    <w:tr2bl w:val="nil"/>
                  </w:tcBorders>
                  <w:noWrap w:val="0"/>
                  <w:vAlign w:val="center"/>
                </w:tcPr>
                <w:p w14:paraId="17988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70BC55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16.5</w:t>
                  </w:r>
                </w:p>
              </w:tc>
              <w:tc>
                <w:tcPr>
                  <w:tcW w:w="1104" w:type="dxa"/>
                  <w:vMerge w:val="continue"/>
                  <w:tcBorders>
                    <w:tl2br w:val="nil"/>
                    <w:tr2bl w:val="nil"/>
                  </w:tcBorders>
                  <w:noWrap w:val="0"/>
                  <w:vAlign w:val="center"/>
                </w:tcPr>
                <w:p w14:paraId="3DAA635C">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201DF245">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26F8C2EE">
                  <w:pPr>
                    <w:adjustRightInd w:val="0"/>
                    <w:snapToGrid w:val="0"/>
                    <w:spacing w:line="360" w:lineRule="auto"/>
                    <w:jc w:val="center"/>
                    <w:rPr>
                      <w:rFonts w:hint="eastAsia" w:ascii="Times New Roman" w:hAnsi="Times New Roman" w:cs="Times New Roman"/>
                      <w:color w:val="auto"/>
                      <w:szCs w:val="21"/>
                      <w:lang w:val="en-US" w:eastAsia="zh-CN"/>
                    </w:rPr>
                  </w:pPr>
                </w:p>
              </w:tc>
            </w:tr>
            <w:tr w14:paraId="35F1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E540EB3">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30D84BA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灌装车</w:t>
                  </w:r>
                </w:p>
              </w:tc>
              <w:tc>
                <w:tcPr>
                  <w:tcW w:w="1255" w:type="dxa"/>
                  <w:tcBorders>
                    <w:tl2br w:val="nil"/>
                    <w:tr2bl w:val="nil"/>
                  </w:tcBorders>
                  <w:shd w:val="clear" w:color="auto" w:fill="auto"/>
                  <w:noWrap w:val="0"/>
                  <w:vAlign w:val="center"/>
                </w:tcPr>
                <w:p w14:paraId="76994EF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tcBorders>
                    <w:tl2br w:val="nil"/>
                    <w:tr2bl w:val="nil"/>
                  </w:tcBorders>
                  <w:noWrap w:val="0"/>
                  <w:vAlign w:val="center"/>
                </w:tcPr>
                <w:p w14:paraId="07E77F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6E8F97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28.9</w:t>
                  </w:r>
                </w:p>
              </w:tc>
              <w:tc>
                <w:tcPr>
                  <w:tcW w:w="1104" w:type="dxa"/>
                  <w:vMerge w:val="continue"/>
                  <w:tcBorders>
                    <w:tl2br w:val="nil"/>
                    <w:tr2bl w:val="nil"/>
                  </w:tcBorders>
                  <w:noWrap w:val="0"/>
                  <w:vAlign w:val="center"/>
                </w:tcPr>
                <w:p w14:paraId="74E2201B">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7C51AFAC">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1E053E7C">
                  <w:pPr>
                    <w:adjustRightInd w:val="0"/>
                    <w:snapToGrid w:val="0"/>
                    <w:spacing w:line="360" w:lineRule="auto"/>
                    <w:jc w:val="center"/>
                    <w:rPr>
                      <w:rFonts w:hint="eastAsia" w:ascii="Times New Roman" w:hAnsi="Times New Roman" w:cs="Times New Roman"/>
                      <w:color w:val="auto"/>
                      <w:szCs w:val="21"/>
                      <w:lang w:val="en-US" w:eastAsia="zh-CN"/>
                    </w:rPr>
                  </w:pPr>
                </w:p>
              </w:tc>
            </w:tr>
            <w:tr w14:paraId="3CB6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009ACFF4">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422BE26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热水罐</w:t>
                  </w:r>
                </w:p>
              </w:tc>
              <w:tc>
                <w:tcPr>
                  <w:tcW w:w="1255" w:type="dxa"/>
                  <w:tcBorders>
                    <w:tl2br w:val="nil"/>
                    <w:tr2bl w:val="nil"/>
                  </w:tcBorders>
                  <w:shd w:val="clear" w:color="auto" w:fill="auto"/>
                  <w:noWrap w:val="0"/>
                  <w:vAlign w:val="center"/>
                </w:tcPr>
                <w:p w14:paraId="4FB1EA2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51.8</w:t>
                  </w:r>
                </w:p>
              </w:tc>
              <w:tc>
                <w:tcPr>
                  <w:tcW w:w="864" w:type="dxa"/>
                  <w:tcBorders>
                    <w:tl2br w:val="nil"/>
                    <w:tr2bl w:val="nil"/>
                  </w:tcBorders>
                  <w:shd w:val="clear" w:color="auto" w:fill="auto"/>
                  <w:noWrap w:val="0"/>
                  <w:vAlign w:val="center"/>
                </w:tcPr>
                <w:p w14:paraId="42178C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74" w:type="dxa"/>
                  <w:tcBorders>
                    <w:tl2br w:val="nil"/>
                    <w:tr2bl w:val="nil"/>
                  </w:tcBorders>
                  <w:noWrap w:val="0"/>
                  <w:vAlign w:val="center"/>
                </w:tcPr>
                <w:p w14:paraId="656AB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28.3</w:t>
                  </w:r>
                </w:p>
              </w:tc>
              <w:tc>
                <w:tcPr>
                  <w:tcW w:w="1104" w:type="dxa"/>
                  <w:vMerge w:val="continue"/>
                  <w:tcBorders>
                    <w:tl2br w:val="nil"/>
                    <w:tr2bl w:val="nil"/>
                  </w:tcBorders>
                  <w:noWrap w:val="0"/>
                  <w:vAlign w:val="center"/>
                </w:tcPr>
                <w:p w14:paraId="5DF25C7F">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582D59C9">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6B9AC409">
                  <w:pPr>
                    <w:adjustRightInd w:val="0"/>
                    <w:snapToGrid w:val="0"/>
                    <w:spacing w:line="360" w:lineRule="auto"/>
                    <w:jc w:val="center"/>
                    <w:rPr>
                      <w:rFonts w:hint="eastAsia" w:ascii="Times New Roman" w:hAnsi="Times New Roman" w:cs="Times New Roman"/>
                      <w:color w:val="auto"/>
                      <w:szCs w:val="21"/>
                      <w:lang w:val="en-US" w:eastAsia="zh-CN"/>
                    </w:rPr>
                  </w:pPr>
                </w:p>
              </w:tc>
            </w:tr>
            <w:tr w14:paraId="2BC0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1B92CCAD">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2F86108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打包机</w:t>
                  </w:r>
                </w:p>
              </w:tc>
              <w:tc>
                <w:tcPr>
                  <w:tcW w:w="1255" w:type="dxa"/>
                  <w:tcBorders>
                    <w:tl2br w:val="nil"/>
                    <w:tr2bl w:val="nil"/>
                  </w:tcBorders>
                  <w:shd w:val="clear" w:color="auto" w:fill="auto"/>
                  <w:noWrap w:val="0"/>
                  <w:vAlign w:val="center"/>
                </w:tcPr>
                <w:p w14:paraId="5EDEBF7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40.0</w:t>
                  </w:r>
                </w:p>
              </w:tc>
              <w:tc>
                <w:tcPr>
                  <w:tcW w:w="864" w:type="dxa"/>
                  <w:tcBorders>
                    <w:tl2br w:val="nil"/>
                    <w:tr2bl w:val="nil"/>
                  </w:tcBorders>
                  <w:shd w:val="clear" w:color="auto" w:fill="auto"/>
                  <w:noWrap w:val="0"/>
                  <w:vAlign w:val="center"/>
                </w:tcPr>
                <w:p w14:paraId="3A314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74" w:type="dxa"/>
                  <w:tcBorders>
                    <w:tl2br w:val="nil"/>
                    <w:tr2bl w:val="nil"/>
                  </w:tcBorders>
                  <w:noWrap w:val="0"/>
                  <w:vAlign w:val="center"/>
                </w:tcPr>
                <w:p w14:paraId="16C810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16.5</w:t>
                  </w:r>
                </w:p>
              </w:tc>
              <w:tc>
                <w:tcPr>
                  <w:tcW w:w="1104" w:type="dxa"/>
                  <w:vMerge w:val="continue"/>
                  <w:tcBorders>
                    <w:tl2br w:val="nil"/>
                    <w:tr2bl w:val="nil"/>
                  </w:tcBorders>
                  <w:noWrap w:val="0"/>
                  <w:vAlign w:val="center"/>
                </w:tcPr>
                <w:p w14:paraId="09DECBEA">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0A5B86DA">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60592739">
                  <w:pPr>
                    <w:adjustRightInd w:val="0"/>
                    <w:snapToGrid w:val="0"/>
                    <w:spacing w:line="360" w:lineRule="auto"/>
                    <w:jc w:val="center"/>
                    <w:rPr>
                      <w:rFonts w:hint="eastAsia" w:ascii="Times New Roman" w:hAnsi="Times New Roman" w:cs="Times New Roman"/>
                      <w:color w:val="auto"/>
                      <w:szCs w:val="21"/>
                      <w:lang w:val="en-US" w:eastAsia="zh-CN"/>
                    </w:rPr>
                  </w:pPr>
                </w:p>
              </w:tc>
            </w:tr>
            <w:tr w14:paraId="095A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40CFDD12">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2A905AC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#1炒制锅</w:t>
                  </w:r>
                </w:p>
              </w:tc>
              <w:tc>
                <w:tcPr>
                  <w:tcW w:w="1255" w:type="dxa"/>
                  <w:tcBorders>
                    <w:tl2br w:val="nil"/>
                    <w:tr2bl w:val="nil"/>
                  </w:tcBorders>
                  <w:shd w:val="clear" w:color="auto" w:fill="auto"/>
                  <w:noWrap w:val="0"/>
                  <w:vAlign w:val="center"/>
                </w:tcPr>
                <w:p w14:paraId="1EDE87B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44.0</w:t>
                  </w:r>
                </w:p>
              </w:tc>
              <w:tc>
                <w:tcPr>
                  <w:tcW w:w="864" w:type="dxa"/>
                  <w:tcBorders>
                    <w:tl2br w:val="nil"/>
                    <w:tr2bl w:val="nil"/>
                  </w:tcBorders>
                  <w:shd w:val="clear" w:color="auto" w:fill="auto"/>
                  <w:noWrap w:val="0"/>
                  <w:vAlign w:val="center"/>
                </w:tcPr>
                <w:p w14:paraId="64BB3E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74" w:type="dxa"/>
                  <w:tcBorders>
                    <w:tl2br w:val="nil"/>
                    <w:tr2bl w:val="nil"/>
                  </w:tcBorders>
                  <w:noWrap w:val="0"/>
                  <w:vAlign w:val="center"/>
                </w:tcPr>
                <w:p w14:paraId="636B24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20.5</w:t>
                  </w:r>
                </w:p>
              </w:tc>
              <w:tc>
                <w:tcPr>
                  <w:tcW w:w="1104" w:type="dxa"/>
                  <w:vMerge w:val="continue"/>
                  <w:tcBorders>
                    <w:tl2br w:val="nil"/>
                    <w:tr2bl w:val="nil"/>
                  </w:tcBorders>
                  <w:noWrap w:val="0"/>
                  <w:vAlign w:val="center"/>
                </w:tcPr>
                <w:p w14:paraId="78003587">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02A21A65">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2E2C38A3">
                  <w:pPr>
                    <w:adjustRightInd w:val="0"/>
                    <w:snapToGrid w:val="0"/>
                    <w:spacing w:line="360" w:lineRule="auto"/>
                    <w:jc w:val="center"/>
                    <w:rPr>
                      <w:rFonts w:hint="eastAsia" w:ascii="Times New Roman" w:hAnsi="Times New Roman" w:cs="Times New Roman"/>
                      <w:color w:val="auto"/>
                      <w:szCs w:val="21"/>
                      <w:lang w:val="en-US" w:eastAsia="zh-CN"/>
                    </w:rPr>
                  </w:pPr>
                </w:p>
              </w:tc>
            </w:tr>
            <w:tr w14:paraId="396A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101CBB5C">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0C43D4C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#2炒制锅</w:t>
                  </w:r>
                </w:p>
              </w:tc>
              <w:tc>
                <w:tcPr>
                  <w:tcW w:w="1255" w:type="dxa"/>
                  <w:tcBorders>
                    <w:tl2br w:val="nil"/>
                    <w:tr2bl w:val="nil"/>
                  </w:tcBorders>
                  <w:shd w:val="clear" w:color="auto" w:fill="auto"/>
                  <w:noWrap w:val="0"/>
                  <w:vAlign w:val="center"/>
                </w:tcPr>
                <w:p w14:paraId="58DFA6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48.2</w:t>
                  </w:r>
                </w:p>
              </w:tc>
              <w:tc>
                <w:tcPr>
                  <w:tcW w:w="864" w:type="dxa"/>
                  <w:tcBorders>
                    <w:tl2br w:val="nil"/>
                    <w:tr2bl w:val="nil"/>
                  </w:tcBorders>
                  <w:shd w:val="clear" w:color="auto" w:fill="auto"/>
                  <w:noWrap w:val="0"/>
                  <w:vAlign w:val="center"/>
                </w:tcPr>
                <w:p w14:paraId="07247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74" w:type="dxa"/>
                  <w:tcBorders>
                    <w:tl2br w:val="nil"/>
                    <w:tr2bl w:val="nil"/>
                  </w:tcBorders>
                  <w:noWrap w:val="0"/>
                  <w:vAlign w:val="center"/>
                </w:tcPr>
                <w:p w14:paraId="5C1347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24.7</w:t>
                  </w:r>
                </w:p>
              </w:tc>
              <w:tc>
                <w:tcPr>
                  <w:tcW w:w="1104" w:type="dxa"/>
                  <w:vMerge w:val="continue"/>
                  <w:tcBorders>
                    <w:tl2br w:val="nil"/>
                    <w:tr2bl w:val="nil"/>
                  </w:tcBorders>
                  <w:noWrap w:val="0"/>
                  <w:vAlign w:val="center"/>
                </w:tcPr>
                <w:p w14:paraId="673F01D6">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082C4DA3">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24A07AE3">
                  <w:pPr>
                    <w:adjustRightInd w:val="0"/>
                    <w:snapToGrid w:val="0"/>
                    <w:spacing w:line="360" w:lineRule="auto"/>
                    <w:jc w:val="center"/>
                    <w:rPr>
                      <w:rFonts w:hint="eastAsia" w:ascii="Times New Roman" w:hAnsi="Times New Roman" w:cs="Times New Roman"/>
                      <w:color w:val="auto"/>
                      <w:szCs w:val="21"/>
                      <w:lang w:val="en-US" w:eastAsia="zh-CN"/>
                    </w:rPr>
                  </w:pPr>
                </w:p>
              </w:tc>
            </w:tr>
            <w:tr w14:paraId="7681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59757736">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61404A6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#3炒制锅</w:t>
                  </w:r>
                </w:p>
              </w:tc>
              <w:tc>
                <w:tcPr>
                  <w:tcW w:w="1255" w:type="dxa"/>
                  <w:tcBorders>
                    <w:tl2br w:val="nil"/>
                    <w:tr2bl w:val="nil"/>
                  </w:tcBorders>
                  <w:shd w:val="clear" w:color="auto" w:fill="auto"/>
                  <w:noWrap w:val="0"/>
                  <w:vAlign w:val="center"/>
                </w:tcPr>
                <w:p w14:paraId="3256D2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tcBorders>
                    <w:tl2br w:val="nil"/>
                    <w:tr2bl w:val="nil"/>
                  </w:tcBorders>
                  <w:shd w:val="clear" w:color="auto" w:fill="auto"/>
                  <w:noWrap w:val="0"/>
                  <w:vAlign w:val="center"/>
                </w:tcPr>
                <w:p w14:paraId="253ADF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74" w:type="dxa"/>
                  <w:tcBorders>
                    <w:tl2br w:val="nil"/>
                    <w:tr2bl w:val="nil"/>
                  </w:tcBorders>
                  <w:noWrap w:val="0"/>
                  <w:vAlign w:val="center"/>
                </w:tcPr>
                <w:p w14:paraId="5974F4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28.9</w:t>
                  </w:r>
                </w:p>
              </w:tc>
              <w:tc>
                <w:tcPr>
                  <w:tcW w:w="1104" w:type="dxa"/>
                  <w:vMerge w:val="continue"/>
                  <w:tcBorders>
                    <w:tl2br w:val="nil"/>
                    <w:tr2bl w:val="nil"/>
                  </w:tcBorders>
                  <w:noWrap w:val="0"/>
                  <w:vAlign w:val="center"/>
                </w:tcPr>
                <w:p w14:paraId="0D71ADFF">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1EB621B2">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14DE988E">
                  <w:pPr>
                    <w:adjustRightInd w:val="0"/>
                    <w:snapToGrid w:val="0"/>
                    <w:spacing w:line="360" w:lineRule="auto"/>
                    <w:jc w:val="center"/>
                    <w:rPr>
                      <w:rFonts w:hint="eastAsia" w:ascii="Times New Roman" w:hAnsi="Times New Roman" w:cs="Times New Roman"/>
                      <w:color w:val="auto"/>
                      <w:szCs w:val="21"/>
                      <w:lang w:val="en-US" w:eastAsia="zh-CN"/>
                    </w:rPr>
                  </w:pPr>
                </w:p>
              </w:tc>
            </w:tr>
            <w:tr w14:paraId="3F8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47CB5951">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2D5EF0C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1255" w:type="dxa"/>
                  <w:tcBorders>
                    <w:tl2br w:val="nil"/>
                    <w:tr2bl w:val="nil"/>
                  </w:tcBorders>
                  <w:shd w:val="clear" w:color="auto" w:fill="auto"/>
                  <w:noWrap w:val="0"/>
                  <w:vAlign w:val="center"/>
                </w:tcPr>
                <w:p w14:paraId="4F62333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53.3</w:t>
                  </w:r>
                </w:p>
              </w:tc>
              <w:tc>
                <w:tcPr>
                  <w:tcW w:w="864" w:type="dxa"/>
                  <w:tcBorders>
                    <w:tl2br w:val="nil"/>
                    <w:tr2bl w:val="nil"/>
                  </w:tcBorders>
                  <w:noWrap w:val="0"/>
                  <w:vAlign w:val="center"/>
                </w:tcPr>
                <w:p w14:paraId="57512E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1713B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29.8</w:t>
                  </w:r>
                </w:p>
              </w:tc>
              <w:tc>
                <w:tcPr>
                  <w:tcW w:w="1104" w:type="dxa"/>
                  <w:vMerge w:val="continue"/>
                  <w:tcBorders>
                    <w:tl2br w:val="nil"/>
                    <w:tr2bl w:val="nil"/>
                  </w:tcBorders>
                  <w:noWrap w:val="0"/>
                  <w:vAlign w:val="center"/>
                </w:tcPr>
                <w:p w14:paraId="2BDBEA1D">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47843E83">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004E3B13">
                  <w:pPr>
                    <w:adjustRightInd w:val="0"/>
                    <w:snapToGrid w:val="0"/>
                    <w:spacing w:line="360" w:lineRule="auto"/>
                    <w:jc w:val="center"/>
                    <w:rPr>
                      <w:rFonts w:hint="eastAsia" w:ascii="Times New Roman" w:hAnsi="Times New Roman" w:cs="Times New Roman"/>
                      <w:color w:val="auto"/>
                      <w:szCs w:val="21"/>
                      <w:lang w:val="en-US" w:eastAsia="zh-CN"/>
                    </w:rPr>
                  </w:pPr>
                </w:p>
              </w:tc>
            </w:tr>
            <w:tr w14:paraId="6ADF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5E3FCBFA">
                  <w:pPr>
                    <w:adjustRightInd w:val="0"/>
                    <w:snapToGrid w:val="0"/>
                    <w:spacing w:line="360" w:lineRule="auto"/>
                    <w:jc w:val="center"/>
                    <w:rPr>
                      <w:rFonts w:hint="eastAsia" w:ascii="Times New Roman" w:hAnsi="Times New Roman" w:cs="Times New Roman"/>
                      <w:color w:val="auto"/>
                      <w:szCs w:val="21"/>
                      <w:lang w:val="en-US" w:eastAsia="zh-CN"/>
                    </w:rPr>
                  </w:pPr>
                </w:p>
              </w:tc>
              <w:tc>
                <w:tcPr>
                  <w:tcW w:w="1158" w:type="dxa"/>
                  <w:tcBorders>
                    <w:tl2br w:val="nil"/>
                    <w:tr2bl w:val="nil"/>
                  </w:tcBorders>
                  <w:shd w:val="clear" w:color="auto" w:fill="auto"/>
                  <w:noWrap w:val="0"/>
                  <w:vAlign w:val="center"/>
                </w:tcPr>
                <w:p w14:paraId="46D94553">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真空包</w:t>
                  </w:r>
                </w:p>
                <w:p w14:paraId="39CC628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装机</w:t>
                  </w:r>
                </w:p>
              </w:tc>
              <w:tc>
                <w:tcPr>
                  <w:tcW w:w="1255" w:type="dxa"/>
                  <w:tcBorders>
                    <w:tl2br w:val="nil"/>
                    <w:tr2bl w:val="nil"/>
                  </w:tcBorders>
                  <w:shd w:val="clear" w:color="auto" w:fill="auto"/>
                  <w:noWrap w:val="0"/>
                  <w:vAlign w:val="center"/>
                </w:tcPr>
                <w:p w14:paraId="732E22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48.0</w:t>
                  </w:r>
                </w:p>
              </w:tc>
              <w:tc>
                <w:tcPr>
                  <w:tcW w:w="864" w:type="dxa"/>
                  <w:tcBorders>
                    <w:tl2br w:val="nil"/>
                    <w:tr2bl w:val="nil"/>
                  </w:tcBorders>
                  <w:noWrap w:val="0"/>
                  <w:vAlign w:val="center"/>
                </w:tcPr>
                <w:p w14:paraId="32E64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974" w:type="dxa"/>
                  <w:tcBorders>
                    <w:tl2br w:val="nil"/>
                    <w:tr2bl w:val="nil"/>
                  </w:tcBorders>
                  <w:noWrap w:val="0"/>
                  <w:vAlign w:val="center"/>
                </w:tcPr>
                <w:p w14:paraId="78815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24.5</w:t>
                  </w:r>
                </w:p>
              </w:tc>
              <w:tc>
                <w:tcPr>
                  <w:tcW w:w="1104" w:type="dxa"/>
                  <w:vMerge w:val="continue"/>
                  <w:tcBorders>
                    <w:tl2br w:val="nil"/>
                    <w:tr2bl w:val="nil"/>
                  </w:tcBorders>
                  <w:noWrap w:val="0"/>
                  <w:vAlign w:val="center"/>
                </w:tcPr>
                <w:p w14:paraId="1D486927">
                  <w:pPr>
                    <w:adjustRightInd w:val="0"/>
                    <w:snapToGrid w:val="0"/>
                    <w:spacing w:line="360" w:lineRule="auto"/>
                    <w:jc w:val="center"/>
                    <w:rPr>
                      <w:rFonts w:hint="default" w:ascii="Times New Roman" w:hAnsi="Times New Roman" w:cs="Times New Roman"/>
                      <w:color w:val="auto"/>
                      <w:szCs w:val="21"/>
                      <w:lang w:val="en-US" w:eastAsia="zh-CN"/>
                    </w:rPr>
                  </w:pPr>
                </w:p>
              </w:tc>
              <w:tc>
                <w:tcPr>
                  <w:tcW w:w="1111" w:type="dxa"/>
                  <w:vMerge w:val="continue"/>
                  <w:tcBorders>
                    <w:tl2br w:val="nil"/>
                    <w:tr2bl w:val="nil"/>
                  </w:tcBorders>
                  <w:noWrap w:val="0"/>
                  <w:vAlign w:val="center"/>
                </w:tcPr>
                <w:p w14:paraId="781FC0F4">
                  <w:pPr>
                    <w:adjustRightInd w:val="0"/>
                    <w:snapToGrid w:val="0"/>
                    <w:spacing w:line="360" w:lineRule="auto"/>
                    <w:jc w:val="center"/>
                    <w:rPr>
                      <w:rFonts w:hint="eastAsia" w:ascii="Times New Roman" w:hAnsi="Times New Roman" w:cs="Times New Roman"/>
                      <w:color w:val="auto"/>
                      <w:szCs w:val="21"/>
                      <w:lang w:val="en-US" w:eastAsia="zh-CN"/>
                    </w:rPr>
                  </w:pPr>
                </w:p>
              </w:tc>
              <w:tc>
                <w:tcPr>
                  <w:tcW w:w="862" w:type="dxa"/>
                  <w:vMerge w:val="continue"/>
                  <w:tcBorders>
                    <w:tl2br w:val="nil"/>
                    <w:tr2bl w:val="nil"/>
                  </w:tcBorders>
                  <w:noWrap w:val="0"/>
                  <w:vAlign w:val="center"/>
                </w:tcPr>
                <w:p w14:paraId="0B20BFD6">
                  <w:pPr>
                    <w:adjustRightInd w:val="0"/>
                    <w:snapToGrid w:val="0"/>
                    <w:spacing w:line="360" w:lineRule="auto"/>
                    <w:jc w:val="center"/>
                    <w:rPr>
                      <w:rFonts w:hint="eastAsia" w:ascii="Times New Roman" w:hAnsi="Times New Roman" w:cs="Times New Roman"/>
                      <w:color w:val="auto"/>
                      <w:szCs w:val="21"/>
                      <w:lang w:val="en-US" w:eastAsia="zh-CN"/>
                    </w:rPr>
                  </w:pPr>
                </w:p>
              </w:tc>
            </w:tr>
            <w:tr w14:paraId="24DB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5DC0487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26E93A5F">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切菜机</w:t>
                  </w:r>
                </w:p>
              </w:tc>
              <w:tc>
                <w:tcPr>
                  <w:tcW w:w="1255" w:type="dxa"/>
                  <w:tcBorders>
                    <w:tl2br w:val="nil"/>
                    <w:tr2bl w:val="nil"/>
                  </w:tcBorders>
                  <w:shd w:val="clear" w:color="auto" w:fill="auto"/>
                  <w:noWrap w:val="0"/>
                  <w:vAlign w:val="center"/>
                </w:tcPr>
                <w:p w14:paraId="68E8BC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54.7</w:t>
                  </w:r>
                </w:p>
              </w:tc>
              <w:tc>
                <w:tcPr>
                  <w:tcW w:w="864" w:type="dxa"/>
                  <w:tcBorders>
                    <w:tl2br w:val="nil"/>
                    <w:tr2bl w:val="nil"/>
                  </w:tcBorders>
                  <w:noWrap w:val="0"/>
                  <w:vAlign w:val="center"/>
                </w:tcPr>
                <w:p w14:paraId="355B3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974" w:type="dxa"/>
                  <w:tcBorders>
                    <w:tl2br w:val="nil"/>
                    <w:tr2bl w:val="nil"/>
                  </w:tcBorders>
                  <w:noWrap w:val="0"/>
                  <w:vAlign w:val="center"/>
                </w:tcPr>
                <w:p w14:paraId="086F0A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19.1</w:t>
                  </w:r>
                </w:p>
              </w:tc>
              <w:tc>
                <w:tcPr>
                  <w:tcW w:w="1104" w:type="dxa"/>
                  <w:vMerge w:val="continue"/>
                  <w:tcBorders>
                    <w:tl2br w:val="nil"/>
                    <w:tr2bl w:val="nil"/>
                  </w:tcBorders>
                  <w:noWrap w:val="0"/>
                  <w:vAlign w:val="center"/>
                </w:tcPr>
                <w:p w14:paraId="55C72793">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5472971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56EA73C9">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0E84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88" w:type="dxa"/>
                  <w:vMerge w:val="continue"/>
                  <w:tcBorders>
                    <w:tl2br w:val="nil"/>
                    <w:tr2bl w:val="nil"/>
                  </w:tcBorders>
                  <w:noWrap w:val="0"/>
                  <w:vAlign w:val="center"/>
                </w:tcPr>
                <w:p w14:paraId="0D09EE06">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1C6FE63F">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#1腌制罐</w:t>
                  </w:r>
                </w:p>
              </w:tc>
              <w:tc>
                <w:tcPr>
                  <w:tcW w:w="1255" w:type="dxa"/>
                  <w:tcBorders>
                    <w:tl2br w:val="nil"/>
                    <w:tr2bl w:val="nil"/>
                  </w:tcBorders>
                  <w:shd w:val="clear" w:color="auto" w:fill="auto"/>
                  <w:noWrap w:val="0"/>
                  <w:vAlign w:val="center"/>
                </w:tcPr>
                <w:p w14:paraId="18B08BB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51.8</w:t>
                  </w:r>
                </w:p>
              </w:tc>
              <w:tc>
                <w:tcPr>
                  <w:tcW w:w="864" w:type="dxa"/>
                  <w:tcBorders>
                    <w:tl2br w:val="nil"/>
                    <w:tr2bl w:val="nil"/>
                  </w:tcBorders>
                  <w:noWrap w:val="0"/>
                  <w:vAlign w:val="center"/>
                </w:tcPr>
                <w:p w14:paraId="06185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974" w:type="dxa"/>
                  <w:tcBorders>
                    <w:tl2br w:val="nil"/>
                    <w:tr2bl w:val="nil"/>
                  </w:tcBorders>
                  <w:noWrap w:val="0"/>
                  <w:vAlign w:val="center"/>
                </w:tcPr>
                <w:p w14:paraId="436161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16.2</w:t>
                  </w:r>
                </w:p>
              </w:tc>
              <w:tc>
                <w:tcPr>
                  <w:tcW w:w="1104" w:type="dxa"/>
                  <w:vMerge w:val="continue"/>
                  <w:tcBorders>
                    <w:tl2br w:val="nil"/>
                    <w:tr2bl w:val="nil"/>
                  </w:tcBorders>
                  <w:noWrap w:val="0"/>
                  <w:vAlign w:val="center"/>
                </w:tcPr>
                <w:p w14:paraId="32754AC7">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255BCFA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0701991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79B2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88" w:type="dxa"/>
                  <w:vMerge w:val="continue"/>
                  <w:tcBorders>
                    <w:tl2br w:val="nil"/>
                    <w:tr2bl w:val="nil"/>
                  </w:tcBorders>
                  <w:noWrap w:val="0"/>
                  <w:vAlign w:val="center"/>
                </w:tcPr>
                <w:p w14:paraId="74376EC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2993CAC8">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#2腌制罐</w:t>
                  </w:r>
                </w:p>
              </w:tc>
              <w:tc>
                <w:tcPr>
                  <w:tcW w:w="1255" w:type="dxa"/>
                  <w:tcBorders>
                    <w:tl2br w:val="nil"/>
                    <w:tr2bl w:val="nil"/>
                  </w:tcBorders>
                  <w:shd w:val="clear" w:color="auto" w:fill="auto"/>
                  <w:noWrap w:val="0"/>
                  <w:vAlign w:val="center"/>
                </w:tcPr>
                <w:p w14:paraId="3A9E14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51.8</w:t>
                  </w:r>
                </w:p>
              </w:tc>
              <w:tc>
                <w:tcPr>
                  <w:tcW w:w="864" w:type="dxa"/>
                  <w:tcBorders>
                    <w:tl2br w:val="nil"/>
                    <w:tr2bl w:val="nil"/>
                  </w:tcBorders>
                  <w:noWrap w:val="0"/>
                  <w:vAlign w:val="center"/>
                </w:tcPr>
                <w:p w14:paraId="43A07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974" w:type="dxa"/>
                  <w:tcBorders>
                    <w:tl2br w:val="nil"/>
                    <w:tr2bl w:val="nil"/>
                  </w:tcBorders>
                  <w:noWrap w:val="0"/>
                  <w:vAlign w:val="center"/>
                </w:tcPr>
                <w:p w14:paraId="6ACC8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16.2</w:t>
                  </w:r>
                </w:p>
              </w:tc>
              <w:tc>
                <w:tcPr>
                  <w:tcW w:w="1104" w:type="dxa"/>
                  <w:vMerge w:val="continue"/>
                  <w:tcBorders>
                    <w:tl2br w:val="nil"/>
                    <w:tr2bl w:val="nil"/>
                  </w:tcBorders>
                  <w:noWrap w:val="0"/>
                  <w:vAlign w:val="center"/>
                </w:tcPr>
                <w:p w14:paraId="44E4FAB8">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4F678AF3">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340034C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6A69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2CAB1790">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39976751">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单层搅</w:t>
                  </w:r>
                </w:p>
                <w:p w14:paraId="656A522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拌锅</w:t>
                  </w:r>
                </w:p>
              </w:tc>
              <w:tc>
                <w:tcPr>
                  <w:tcW w:w="1255" w:type="dxa"/>
                  <w:tcBorders>
                    <w:tl2br w:val="nil"/>
                    <w:tr2bl w:val="nil"/>
                  </w:tcBorders>
                  <w:shd w:val="clear" w:color="auto" w:fill="auto"/>
                  <w:noWrap w:val="0"/>
                  <w:vAlign w:val="center"/>
                </w:tcPr>
                <w:p w14:paraId="70D13A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54.7</w:t>
                  </w:r>
                </w:p>
              </w:tc>
              <w:tc>
                <w:tcPr>
                  <w:tcW w:w="864" w:type="dxa"/>
                  <w:tcBorders>
                    <w:tl2br w:val="nil"/>
                    <w:tr2bl w:val="nil"/>
                  </w:tcBorders>
                  <w:noWrap w:val="0"/>
                  <w:vAlign w:val="center"/>
                </w:tcPr>
                <w:p w14:paraId="38C4A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974" w:type="dxa"/>
                  <w:tcBorders>
                    <w:tl2br w:val="nil"/>
                    <w:tr2bl w:val="nil"/>
                  </w:tcBorders>
                  <w:noWrap w:val="0"/>
                  <w:vAlign w:val="center"/>
                </w:tcPr>
                <w:p w14:paraId="492CE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19.1</w:t>
                  </w:r>
                </w:p>
              </w:tc>
              <w:tc>
                <w:tcPr>
                  <w:tcW w:w="1104" w:type="dxa"/>
                  <w:vMerge w:val="continue"/>
                  <w:tcBorders>
                    <w:tl2br w:val="nil"/>
                    <w:tr2bl w:val="nil"/>
                  </w:tcBorders>
                  <w:noWrap w:val="0"/>
                  <w:vAlign w:val="center"/>
                </w:tcPr>
                <w:p w14:paraId="150A28FC">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3BCFEFD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37208EF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1C2B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74B2B39">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6801EDC3">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蒸汽锅炉</w:t>
                  </w:r>
                </w:p>
              </w:tc>
              <w:tc>
                <w:tcPr>
                  <w:tcW w:w="1255" w:type="dxa"/>
                  <w:tcBorders>
                    <w:tl2br w:val="nil"/>
                    <w:tr2bl w:val="nil"/>
                  </w:tcBorders>
                  <w:shd w:val="clear" w:color="auto" w:fill="auto"/>
                  <w:noWrap w:val="0"/>
                  <w:vAlign w:val="center"/>
                </w:tcPr>
                <w:p w14:paraId="0F4E784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51</w:t>
                  </w:r>
                </w:p>
              </w:tc>
              <w:tc>
                <w:tcPr>
                  <w:tcW w:w="864" w:type="dxa"/>
                  <w:tcBorders>
                    <w:tl2br w:val="nil"/>
                    <w:tr2bl w:val="nil"/>
                  </w:tcBorders>
                  <w:noWrap w:val="0"/>
                  <w:vAlign w:val="center"/>
                </w:tcPr>
                <w:p w14:paraId="3211D8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4FE7B2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31.0</w:t>
                  </w:r>
                </w:p>
              </w:tc>
              <w:tc>
                <w:tcPr>
                  <w:tcW w:w="1104" w:type="dxa"/>
                  <w:vMerge w:val="continue"/>
                  <w:tcBorders>
                    <w:tl2br w:val="nil"/>
                    <w:tr2bl w:val="nil"/>
                  </w:tcBorders>
                  <w:noWrap w:val="0"/>
                  <w:vAlign w:val="center"/>
                </w:tcPr>
                <w:p w14:paraId="198878F3">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4CB319B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20CCE1F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5CEE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4D4C6968">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3484C93B">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油烟风机</w:t>
                  </w:r>
                </w:p>
              </w:tc>
              <w:tc>
                <w:tcPr>
                  <w:tcW w:w="1255" w:type="dxa"/>
                  <w:tcBorders>
                    <w:tl2br w:val="nil"/>
                    <w:tr2bl w:val="nil"/>
                  </w:tcBorders>
                  <w:shd w:val="clear" w:color="auto" w:fill="auto"/>
                  <w:noWrap w:val="0"/>
                  <w:vAlign w:val="center"/>
                </w:tcPr>
                <w:p w14:paraId="25A994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85</w:t>
                  </w:r>
                </w:p>
              </w:tc>
              <w:tc>
                <w:tcPr>
                  <w:tcW w:w="864" w:type="dxa"/>
                  <w:tcBorders>
                    <w:tl2br w:val="nil"/>
                    <w:tr2bl w:val="nil"/>
                  </w:tcBorders>
                  <w:noWrap w:val="0"/>
                  <w:vAlign w:val="center"/>
                </w:tcPr>
                <w:p w14:paraId="175178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25</w:t>
                  </w:r>
                </w:p>
              </w:tc>
              <w:tc>
                <w:tcPr>
                  <w:tcW w:w="974" w:type="dxa"/>
                  <w:tcBorders>
                    <w:tl2br w:val="nil"/>
                    <w:tr2bl w:val="nil"/>
                  </w:tcBorders>
                  <w:noWrap w:val="0"/>
                  <w:vAlign w:val="center"/>
                </w:tcPr>
                <w:p w14:paraId="303F5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57.0</w:t>
                  </w:r>
                </w:p>
              </w:tc>
              <w:tc>
                <w:tcPr>
                  <w:tcW w:w="1104" w:type="dxa"/>
                  <w:vMerge w:val="continue"/>
                  <w:tcBorders>
                    <w:tl2br w:val="nil"/>
                    <w:tr2bl w:val="nil"/>
                  </w:tcBorders>
                  <w:noWrap w:val="0"/>
                  <w:vAlign w:val="center"/>
                </w:tcPr>
                <w:p w14:paraId="74C9A608">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08FE645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5AEDAA8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3456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1D7AE18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5F4D9C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污水设施风机</w:t>
                  </w:r>
                </w:p>
              </w:tc>
              <w:tc>
                <w:tcPr>
                  <w:tcW w:w="1255" w:type="dxa"/>
                  <w:tcBorders>
                    <w:tl2br w:val="nil"/>
                    <w:tr2bl w:val="nil"/>
                  </w:tcBorders>
                  <w:shd w:val="clear" w:color="auto" w:fill="auto"/>
                  <w:noWrap w:val="0"/>
                  <w:vAlign w:val="center"/>
                </w:tcPr>
                <w:p w14:paraId="03E1E3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tcBorders>
                    <w:tl2br w:val="nil"/>
                    <w:tr2bl w:val="nil"/>
                  </w:tcBorders>
                  <w:noWrap w:val="0"/>
                  <w:vAlign w:val="center"/>
                </w:tcPr>
                <w:p w14:paraId="02363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30</w:t>
                  </w:r>
                </w:p>
              </w:tc>
              <w:tc>
                <w:tcPr>
                  <w:tcW w:w="974" w:type="dxa"/>
                  <w:tcBorders>
                    <w:tl2br w:val="nil"/>
                    <w:tr2bl w:val="nil"/>
                  </w:tcBorders>
                  <w:noWrap w:val="0"/>
                  <w:vAlign w:val="center"/>
                </w:tcPr>
                <w:p w14:paraId="4658DF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45.5</w:t>
                  </w:r>
                </w:p>
              </w:tc>
              <w:tc>
                <w:tcPr>
                  <w:tcW w:w="1104" w:type="dxa"/>
                  <w:vMerge w:val="continue"/>
                  <w:tcBorders>
                    <w:tl2br w:val="nil"/>
                    <w:tr2bl w:val="nil"/>
                  </w:tcBorders>
                  <w:noWrap w:val="0"/>
                  <w:vAlign w:val="center"/>
                </w:tcPr>
                <w:p w14:paraId="52DFD2C9">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00949B23">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5E28D313">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1606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7EB3BE54">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CA66E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污水处理</w:t>
                  </w:r>
                </w:p>
                <w:p w14:paraId="647F12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设施</w:t>
                  </w:r>
                </w:p>
              </w:tc>
              <w:tc>
                <w:tcPr>
                  <w:tcW w:w="1255" w:type="dxa"/>
                  <w:tcBorders>
                    <w:tl2br w:val="nil"/>
                    <w:tr2bl w:val="nil"/>
                  </w:tcBorders>
                  <w:shd w:val="clear" w:color="auto" w:fill="auto"/>
                  <w:noWrap w:val="0"/>
                  <w:vAlign w:val="center"/>
                </w:tcPr>
                <w:p w14:paraId="71F9725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tcBorders>
                    <w:tl2br w:val="nil"/>
                    <w:tr2bl w:val="nil"/>
                  </w:tcBorders>
                  <w:noWrap w:val="0"/>
                  <w:vAlign w:val="center"/>
                </w:tcPr>
                <w:p w14:paraId="432D6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45</w:t>
                  </w:r>
                </w:p>
              </w:tc>
              <w:tc>
                <w:tcPr>
                  <w:tcW w:w="974" w:type="dxa"/>
                  <w:tcBorders>
                    <w:tl2br w:val="nil"/>
                    <w:tr2bl w:val="nil"/>
                  </w:tcBorders>
                  <w:noWrap w:val="0"/>
                  <w:vAlign w:val="center"/>
                </w:tcPr>
                <w:p w14:paraId="6AD552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41.9</w:t>
                  </w:r>
                </w:p>
              </w:tc>
              <w:tc>
                <w:tcPr>
                  <w:tcW w:w="1104" w:type="dxa"/>
                  <w:vMerge w:val="continue"/>
                  <w:tcBorders>
                    <w:tl2br w:val="nil"/>
                    <w:tr2bl w:val="nil"/>
                  </w:tcBorders>
                  <w:noWrap w:val="0"/>
                  <w:vAlign w:val="center"/>
                </w:tcPr>
                <w:p w14:paraId="67EB2DBB">
                  <w:pPr>
                    <w:adjustRightInd w:val="0"/>
                    <w:snapToGrid w:val="0"/>
                    <w:spacing w:line="360" w:lineRule="auto"/>
                    <w:jc w:val="center"/>
                    <w:rPr>
                      <w:rFonts w:hint="default" w:ascii="Times New Roman" w:hAnsi="Times New Roman" w:cs="Times New Roman"/>
                      <w:color w:val="auto"/>
                      <w:szCs w:val="21"/>
                      <w:highlight w:val="none"/>
                      <w:lang w:val="en-US" w:eastAsia="zh-CN"/>
                    </w:rPr>
                  </w:pPr>
                </w:p>
              </w:tc>
              <w:tc>
                <w:tcPr>
                  <w:tcW w:w="1111" w:type="dxa"/>
                  <w:vMerge w:val="continue"/>
                  <w:tcBorders>
                    <w:tl2br w:val="nil"/>
                    <w:tr2bl w:val="nil"/>
                  </w:tcBorders>
                  <w:noWrap w:val="0"/>
                  <w:vAlign w:val="center"/>
                </w:tcPr>
                <w:p w14:paraId="08450840">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862" w:type="dxa"/>
                  <w:vMerge w:val="continue"/>
                  <w:tcBorders>
                    <w:tl2br w:val="nil"/>
                    <w:tr2bl w:val="nil"/>
                  </w:tcBorders>
                  <w:noWrap w:val="0"/>
                  <w:vAlign w:val="center"/>
                </w:tcPr>
                <w:p w14:paraId="2C5486A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r>
            <w:tr w14:paraId="2CB5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restart"/>
                  <w:tcBorders>
                    <w:tl2br w:val="nil"/>
                    <w:tr2bl w:val="nil"/>
                  </w:tcBorders>
                  <w:noWrap w:val="0"/>
                  <w:vAlign w:val="center"/>
                </w:tcPr>
                <w:p w14:paraId="6316F281">
                  <w:pPr>
                    <w:adjustRightInd w:val="0"/>
                    <w:snapToGrid w:val="0"/>
                    <w:spacing w:line="36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北厂界</w:t>
                  </w:r>
                </w:p>
              </w:tc>
              <w:tc>
                <w:tcPr>
                  <w:tcW w:w="1158" w:type="dxa"/>
                  <w:tcBorders>
                    <w:tl2br w:val="nil"/>
                    <w:tr2bl w:val="nil"/>
                  </w:tcBorders>
                  <w:shd w:val="clear" w:color="auto" w:fill="auto"/>
                  <w:noWrap w:val="0"/>
                  <w:vAlign w:val="center"/>
                </w:tcPr>
                <w:p w14:paraId="399E724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粉碎机</w:t>
                  </w:r>
                </w:p>
              </w:tc>
              <w:tc>
                <w:tcPr>
                  <w:tcW w:w="1255" w:type="dxa"/>
                  <w:tcBorders>
                    <w:tl2br w:val="nil"/>
                    <w:tr2bl w:val="nil"/>
                  </w:tcBorders>
                  <w:shd w:val="clear" w:color="auto" w:fill="auto"/>
                  <w:noWrap w:val="0"/>
                  <w:vAlign w:val="center"/>
                </w:tcPr>
                <w:p w14:paraId="51EC4A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6.7</w:t>
                  </w:r>
                </w:p>
              </w:tc>
              <w:tc>
                <w:tcPr>
                  <w:tcW w:w="864" w:type="dxa"/>
                  <w:tcBorders>
                    <w:tl2br w:val="nil"/>
                    <w:tr2bl w:val="nil"/>
                  </w:tcBorders>
                  <w:noWrap w:val="0"/>
                  <w:vAlign w:val="center"/>
                </w:tcPr>
                <w:p w14:paraId="68EBA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1C51C1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restart"/>
                  <w:tcBorders>
                    <w:tl2br w:val="nil"/>
                    <w:tr2bl w:val="nil"/>
                  </w:tcBorders>
                  <w:noWrap w:val="0"/>
                  <w:vAlign w:val="center"/>
                </w:tcPr>
                <w:p w14:paraId="1F346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52.3</w:t>
                  </w:r>
                </w:p>
              </w:tc>
              <w:tc>
                <w:tcPr>
                  <w:tcW w:w="1111" w:type="dxa"/>
                  <w:vMerge w:val="restart"/>
                  <w:tcBorders>
                    <w:tl2br w:val="nil"/>
                    <w:tr2bl w:val="nil"/>
                  </w:tcBorders>
                  <w:noWrap w:val="0"/>
                  <w:vAlign w:val="center"/>
                </w:tcPr>
                <w:p w14:paraId="7EC62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highlight w:val="none"/>
                    </w:rPr>
                  </w:pPr>
                  <w:r>
                    <w:rPr>
                      <w:rFonts w:hint="eastAsia" w:cs="Times New Roman"/>
                      <w:color w:val="auto"/>
                      <w:szCs w:val="21"/>
                      <w:highlight w:val="none"/>
                      <w:lang w:val="en-US" w:eastAsia="zh-CN"/>
                    </w:rPr>
                    <w:t>60</w:t>
                  </w:r>
                </w:p>
              </w:tc>
              <w:tc>
                <w:tcPr>
                  <w:tcW w:w="862" w:type="dxa"/>
                  <w:vMerge w:val="restart"/>
                  <w:tcBorders>
                    <w:tl2br w:val="nil"/>
                    <w:tr2bl w:val="nil"/>
                  </w:tcBorders>
                  <w:noWrap w:val="0"/>
                  <w:vAlign w:val="center"/>
                </w:tcPr>
                <w:p w14:paraId="665EA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highlight w:val="none"/>
                    </w:rPr>
                  </w:pPr>
                  <w:r>
                    <w:rPr>
                      <w:rFonts w:hint="eastAsia" w:cs="Times New Roman"/>
                      <w:color w:val="auto"/>
                      <w:szCs w:val="21"/>
                      <w:highlight w:val="none"/>
                      <w:lang w:val="en-US" w:eastAsia="zh-CN"/>
                    </w:rPr>
                    <w:t>达标</w:t>
                  </w:r>
                </w:p>
              </w:tc>
            </w:tr>
            <w:tr w14:paraId="587F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496A0AF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64B77934">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4EDF67E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14.3</w:t>
                  </w:r>
                </w:p>
              </w:tc>
              <w:tc>
                <w:tcPr>
                  <w:tcW w:w="864" w:type="dxa"/>
                  <w:tcBorders>
                    <w:tl2br w:val="nil"/>
                    <w:tr2bl w:val="nil"/>
                  </w:tcBorders>
                  <w:noWrap w:val="0"/>
                  <w:vAlign w:val="center"/>
                </w:tcPr>
                <w:p w14:paraId="70C65B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26637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14786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67C88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0C8B41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1C20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7555E6C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571BCA6B">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w:t>
                  </w:r>
                </w:p>
                <w:p w14:paraId="7C7427B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11352F4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14.3</w:t>
                  </w:r>
                </w:p>
              </w:tc>
              <w:tc>
                <w:tcPr>
                  <w:tcW w:w="864" w:type="dxa"/>
                  <w:tcBorders>
                    <w:tl2br w:val="nil"/>
                    <w:tr2bl w:val="nil"/>
                  </w:tcBorders>
                  <w:noWrap w:val="0"/>
                  <w:vAlign w:val="center"/>
                </w:tcPr>
                <w:p w14:paraId="07BBA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289EF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20065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7CF48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B01C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24C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88" w:type="dxa"/>
                  <w:vMerge w:val="continue"/>
                  <w:tcBorders>
                    <w:tl2br w:val="nil"/>
                    <w:tr2bl w:val="nil"/>
                  </w:tcBorders>
                  <w:noWrap w:val="0"/>
                  <w:vAlign w:val="center"/>
                </w:tcPr>
                <w:p w14:paraId="115FF506">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2AB031B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#1静置罐</w:t>
                  </w:r>
                </w:p>
              </w:tc>
              <w:tc>
                <w:tcPr>
                  <w:tcW w:w="1255" w:type="dxa"/>
                  <w:tcBorders>
                    <w:tl2br w:val="nil"/>
                    <w:tr2bl w:val="nil"/>
                  </w:tcBorders>
                  <w:shd w:val="clear" w:color="auto" w:fill="auto"/>
                  <w:noWrap w:val="0"/>
                  <w:vAlign w:val="center"/>
                </w:tcPr>
                <w:p w14:paraId="61348FB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17.5</w:t>
                  </w:r>
                </w:p>
              </w:tc>
              <w:tc>
                <w:tcPr>
                  <w:tcW w:w="864" w:type="dxa"/>
                  <w:tcBorders>
                    <w:tl2br w:val="nil"/>
                    <w:tr2bl w:val="nil"/>
                  </w:tcBorders>
                  <w:noWrap w:val="0"/>
                  <w:vAlign w:val="center"/>
                </w:tcPr>
                <w:p w14:paraId="66A9F4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5A8DF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77657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00F25D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5316C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3774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88" w:type="dxa"/>
                  <w:vMerge w:val="continue"/>
                  <w:tcBorders>
                    <w:tl2br w:val="nil"/>
                    <w:tr2bl w:val="nil"/>
                  </w:tcBorders>
                  <w:noWrap w:val="0"/>
                  <w:vAlign w:val="center"/>
                </w:tcPr>
                <w:p w14:paraId="4947DBF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793366E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#2静置罐</w:t>
                  </w:r>
                </w:p>
              </w:tc>
              <w:tc>
                <w:tcPr>
                  <w:tcW w:w="1255" w:type="dxa"/>
                  <w:tcBorders>
                    <w:tl2br w:val="nil"/>
                    <w:tr2bl w:val="nil"/>
                  </w:tcBorders>
                  <w:shd w:val="clear" w:color="auto" w:fill="auto"/>
                  <w:noWrap w:val="0"/>
                  <w:vAlign w:val="center"/>
                </w:tcPr>
                <w:p w14:paraId="04903A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17.5</w:t>
                  </w:r>
                </w:p>
              </w:tc>
              <w:tc>
                <w:tcPr>
                  <w:tcW w:w="864" w:type="dxa"/>
                  <w:tcBorders>
                    <w:tl2br w:val="nil"/>
                    <w:tr2bl w:val="nil"/>
                  </w:tcBorders>
                  <w:noWrap w:val="0"/>
                  <w:vAlign w:val="center"/>
                </w:tcPr>
                <w:p w14:paraId="218E6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73249C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0E4C8A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1BCC3D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51756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760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88" w:type="dxa"/>
                  <w:vMerge w:val="continue"/>
                  <w:tcBorders>
                    <w:tl2br w:val="nil"/>
                    <w:tr2bl w:val="nil"/>
                  </w:tcBorders>
                  <w:noWrap w:val="0"/>
                  <w:vAlign w:val="center"/>
                </w:tcPr>
                <w:p w14:paraId="03D25484">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5C8BD04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浓缩锅</w:t>
                  </w:r>
                </w:p>
              </w:tc>
              <w:tc>
                <w:tcPr>
                  <w:tcW w:w="1255" w:type="dxa"/>
                  <w:tcBorders>
                    <w:tl2br w:val="nil"/>
                    <w:tr2bl w:val="nil"/>
                  </w:tcBorders>
                  <w:shd w:val="clear" w:color="auto" w:fill="auto"/>
                  <w:noWrap w:val="0"/>
                  <w:vAlign w:val="center"/>
                </w:tcPr>
                <w:p w14:paraId="68EFC5E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17.5</w:t>
                  </w:r>
                </w:p>
              </w:tc>
              <w:tc>
                <w:tcPr>
                  <w:tcW w:w="864" w:type="dxa"/>
                  <w:tcBorders>
                    <w:tl2br w:val="nil"/>
                    <w:tr2bl w:val="nil"/>
                  </w:tcBorders>
                  <w:noWrap w:val="0"/>
                  <w:vAlign w:val="center"/>
                </w:tcPr>
                <w:p w14:paraId="716F4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159B2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25EF9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0E6B0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B0DDD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7AB5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7F18FE8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75A4A17B">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过滤器</w:t>
                  </w:r>
                </w:p>
              </w:tc>
              <w:tc>
                <w:tcPr>
                  <w:tcW w:w="1255" w:type="dxa"/>
                  <w:tcBorders>
                    <w:tl2br w:val="nil"/>
                    <w:tr2bl w:val="nil"/>
                  </w:tcBorders>
                  <w:shd w:val="clear" w:color="auto" w:fill="auto"/>
                  <w:noWrap w:val="0"/>
                  <w:vAlign w:val="center"/>
                </w:tcPr>
                <w:p w14:paraId="0F306FF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10.6</w:t>
                  </w:r>
                </w:p>
              </w:tc>
              <w:tc>
                <w:tcPr>
                  <w:tcW w:w="864" w:type="dxa"/>
                  <w:tcBorders>
                    <w:tl2br w:val="nil"/>
                    <w:tr2bl w:val="nil"/>
                  </w:tcBorders>
                  <w:noWrap w:val="0"/>
                  <w:vAlign w:val="center"/>
                </w:tcPr>
                <w:p w14:paraId="02944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248ECD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1C950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56F52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2BF62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2C21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F0431B6">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0023E82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高压均质机</w:t>
                  </w:r>
                </w:p>
              </w:tc>
              <w:tc>
                <w:tcPr>
                  <w:tcW w:w="1255" w:type="dxa"/>
                  <w:tcBorders>
                    <w:tl2br w:val="nil"/>
                    <w:tr2bl w:val="nil"/>
                  </w:tcBorders>
                  <w:shd w:val="clear" w:color="auto" w:fill="auto"/>
                  <w:noWrap w:val="0"/>
                  <w:vAlign w:val="center"/>
                </w:tcPr>
                <w:p w14:paraId="7A2E3C8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17.5</w:t>
                  </w:r>
                </w:p>
              </w:tc>
              <w:tc>
                <w:tcPr>
                  <w:tcW w:w="864" w:type="dxa"/>
                  <w:tcBorders>
                    <w:tl2br w:val="nil"/>
                    <w:tr2bl w:val="nil"/>
                  </w:tcBorders>
                  <w:noWrap w:val="0"/>
                  <w:vAlign w:val="center"/>
                </w:tcPr>
                <w:p w14:paraId="53EA15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4FA63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4632B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19776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357607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0437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17952E6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0CACE6C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调配罐</w:t>
                  </w:r>
                </w:p>
              </w:tc>
              <w:tc>
                <w:tcPr>
                  <w:tcW w:w="1255" w:type="dxa"/>
                  <w:tcBorders>
                    <w:tl2br w:val="nil"/>
                    <w:tr2bl w:val="nil"/>
                  </w:tcBorders>
                  <w:shd w:val="clear" w:color="auto" w:fill="auto"/>
                  <w:noWrap w:val="0"/>
                  <w:vAlign w:val="center"/>
                </w:tcPr>
                <w:p w14:paraId="7A07F6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11.7</w:t>
                  </w:r>
                </w:p>
              </w:tc>
              <w:tc>
                <w:tcPr>
                  <w:tcW w:w="864" w:type="dxa"/>
                  <w:tcBorders>
                    <w:tl2br w:val="nil"/>
                    <w:tr2bl w:val="nil"/>
                  </w:tcBorders>
                  <w:noWrap w:val="0"/>
                  <w:vAlign w:val="center"/>
                </w:tcPr>
                <w:p w14:paraId="0559D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3BA21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159EA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48EB2F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F5F9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5A0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041B1023">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5B64CEB9">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灌装车</w:t>
                  </w:r>
                </w:p>
              </w:tc>
              <w:tc>
                <w:tcPr>
                  <w:tcW w:w="1255" w:type="dxa"/>
                  <w:tcBorders>
                    <w:tl2br w:val="nil"/>
                    <w:tr2bl w:val="nil"/>
                  </w:tcBorders>
                  <w:shd w:val="clear" w:color="auto" w:fill="auto"/>
                  <w:noWrap w:val="0"/>
                  <w:vAlign w:val="center"/>
                </w:tcPr>
                <w:p w14:paraId="61B8134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34.0</w:t>
                  </w:r>
                </w:p>
              </w:tc>
              <w:tc>
                <w:tcPr>
                  <w:tcW w:w="864" w:type="dxa"/>
                  <w:tcBorders>
                    <w:tl2br w:val="nil"/>
                    <w:tr2bl w:val="nil"/>
                  </w:tcBorders>
                  <w:shd w:val="clear" w:color="auto" w:fill="auto"/>
                  <w:noWrap w:val="0"/>
                  <w:vAlign w:val="center"/>
                </w:tcPr>
                <w:p w14:paraId="1EAFF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26057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tcBorders>
                    <w:tl2br w:val="nil"/>
                    <w:tr2bl w:val="nil"/>
                  </w:tcBorders>
                  <w:noWrap w:val="0"/>
                  <w:vAlign w:val="center"/>
                </w:tcPr>
                <w:p w14:paraId="72DA83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1B2FB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19560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8A6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6D7EC388">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A3392B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热水罐</w:t>
                  </w:r>
                </w:p>
              </w:tc>
              <w:tc>
                <w:tcPr>
                  <w:tcW w:w="1255" w:type="dxa"/>
                  <w:tcBorders>
                    <w:tl2br w:val="nil"/>
                    <w:tr2bl w:val="nil"/>
                  </w:tcBorders>
                  <w:shd w:val="clear" w:color="auto" w:fill="auto"/>
                  <w:noWrap w:val="0"/>
                  <w:vAlign w:val="center"/>
                </w:tcPr>
                <w:p w14:paraId="1EA82AF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19.5</w:t>
                  </w:r>
                </w:p>
              </w:tc>
              <w:tc>
                <w:tcPr>
                  <w:tcW w:w="864" w:type="dxa"/>
                  <w:tcBorders>
                    <w:tl2br w:val="nil"/>
                    <w:tr2bl w:val="nil"/>
                  </w:tcBorders>
                  <w:shd w:val="clear" w:color="auto" w:fill="auto"/>
                  <w:noWrap w:val="0"/>
                  <w:vAlign w:val="center"/>
                </w:tcPr>
                <w:p w14:paraId="22D186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5F9BAE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07CFE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318BD7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3EA1A2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58E6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5AAC413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74591AB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打包机</w:t>
                  </w:r>
                </w:p>
              </w:tc>
              <w:tc>
                <w:tcPr>
                  <w:tcW w:w="1255" w:type="dxa"/>
                  <w:tcBorders>
                    <w:tl2br w:val="nil"/>
                    <w:tr2bl w:val="nil"/>
                  </w:tcBorders>
                  <w:shd w:val="clear" w:color="auto" w:fill="auto"/>
                  <w:noWrap w:val="0"/>
                  <w:vAlign w:val="center"/>
                </w:tcPr>
                <w:p w14:paraId="3486B6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21.5</w:t>
                  </w:r>
                </w:p>
              </w:tc>
              <w:tc>
                <w:tcPr>
                  <w:tcW w:w="864" w:type="dxa"/>
                  <w:tcBorders>
                    <w:tl2br w:val="nil"/>
                    <w:tr2bl w:val="nil"/>
                  </w:tcBorders>
                  <w:shd w:val="clear" w:color="auto" w:fill="auto"/>
                  <w:noWrap w:val="0"/>
                  <w:vAlign w:val="center"/>
                </w:tcPr>
                <w:p w14:paraId="33C8F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noWrap w:val="0"/>
                  <w:vAlign w:val="center"/>
                </w:tcPr>
                <w:p w14:paraId="04AC2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1104" w:type="dxa"/>
                  <w:vMerge w:val="continue"/>
                  <w:tcBorders>
                    <w:tl2br w:val="nil"/>
                    <w:tr2bl w:val="nil"/>
                  </w:tcBorders>
                  <w:noWrap w:val="0"/>
                  <w:vAlign w:val="center"/>
                </w:tcPr>
                <w:p w14:paraId="777E9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3896C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596E8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1B80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44876ED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236026B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#1炒制锅</w:t>
                  </w:r>
                </w:p>
              </w:tc>
              <w:tc>
                <w:tcPr>
                  <w:tcW w:w="1255" w:type="dxa"/>
                  <w:tcBorders>
                    <w:tl2br w:val="nil"/>
                    <w:tr2bl w:val="nil"/>
                  </w:tcBorders>
                  <w:shd w:val="clear" w:color="auto" w:fill="auto"/>
                  <w:noWrap w:val="0"/>
                  <w:vAlign w:val="center"/>
                </w:tcPr>
                <w:p w14:paraId="6979377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40.8</w:t>
                  </w:r>
                </w:p>
              </w:tc>
              <w:tc>
                <w:tcPr>
                  <w:tcW w:w="864" w:type="dxa"/>
                  <w:tcBorders>
                    <w:tl2br w:val="nil"/>
                    <w:tr2bl w:val="nil"/>
                  </w:tcBorders>
                  <w:shd w:val="clear" w:color="auto" w:fill="auto"/>
                  <w:noWrap w:val="0"/>
                  <w:vAlign w:val="center"/>
                </w:tcPr>
                <w:p w14:paraId="411F14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shd w:val="clear" w:color="auto" w:fill="auto"/>
                  <w:noWrap w:val="0"/>
                  <w:vAlign w:val="center"/>
                </w:tcPr>
                <w:p w14:paraId="36BA4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20.8</w:t>
                  </w:r>
                </w:p>
              </w:tc>
              <w:tc>
                <w:tcPr>
                  <w:tcW w:w="1104" w:type="dxa"/>
                  <w:vMerge w:val="continue"/>
                  <w:tcBorders>
                    <w:tl2br w:val="nil"/>
                    <w:tr2bl w:val="nil"/>
                  </w:tcBorders>
                  <w:noWrap w:val="0"/>
                  <w:vAlign w:val="center"/>
                </w:tcPr>
                <w:p w14:paraId="1F13B7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76CF40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19A9D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2AB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535646D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30299CE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#2炒制锅</w:t>
                  </w:r>
                </w:p>
              </w:tc>
              <w:tc>
                <w:tcPr>
                  <w:tcW w:w="1255" w:type="dxa"/>
                  <w:tcBorders>
                    <w:tl2br w:val="nil"/>
                    <w:tr2bl w:val="nil"/>
                  </w:tcBorders>
                  <w:shd w:val="clear" w:color="auto" w:fill="auto"/>
                  <w:noWrap w:val="0"/>
                  <w:vAlign w:val="center"/>
                </w:tcPr>
                <w:p w14:paraId="1D638BF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40.8</w:t>
                  </w:r>
                </w:p>
              </w:tc>
              <w:tc>
                <w:tcPr>
                  <w:tcW w:w="864" w:type="dxa"/>
                  <w:tcBorders>
                    <w:tl2br w:val="nil"/>
                    <w:tr2bl w:val="nil"/>
                  </w:tcBorders>
                  <w:shd w:val="clear" w:color="auto" w:fill="auto"/>
                  <w:noWrap w:val="0"/>
                  <w:vAlign w:val="center"/>
                </w:tcPr>
                <w:p w14:paraId="39616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shd w:val="clear" w:color="auto" w:fill="auto"/>
                  <w:noWrap w:val="0"/>
                  <w:vAlign w:val="center"/>
                </w:tcPr>
                <w:p w14:paraId="22128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20.8</w:t>
                  </w:r>
                </w:p>
              </w:tc>
              <w:tc>
                <w:tcPr>
                  <w:tcW w:w="1104" w:type="dxa"/>
                  <w:vMerge w:val="continue"/>
                  <w:tcBorders>
                    <w:tl2br w:val="nil"/>
                    <w:tr2bl w:val="nil"/>
                  </w:tcBorders>
                  <w:noWrap w:val="0"/>
                  <w:vAlign w:val="center"/>
                </w:tcPr>
                <w:p w14:paraId="1E600A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FE7E0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813BE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714F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70C810C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26875E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#3炒制锅</w:t>
                  </w:r>
                </w:p>
              </w:tc>
              <w:tc>
                <w:tcPr>
                  <w:tcW w:w="1255" w:type="dxa"/>
                  <w:tcBorders>
                    <w:tl2br w:val="nil"/>
                    <w:tr2bl w:val="nil"/>
                  </w:tcBorders>
                  <w:shd w:val="clear" w:color="auto" w:fill="auto"/>
                  <w:noWrap w:val="0"/>
                  <w:vAlign w:val="center"/>
                </w:tcPr>
                <w:p w14:paraId="2A596EA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40.8</w:t>
                  </w:r>
                </w:p>
              </w:tc>
              <w:tc>
                <w:tcPr>
                  <w:tcW w:w="864" w:type="dxa"/>
                  <w:tcBorders>
                    <w:tl2br w:val="nil"/>
                    <w:tr2bl w:val="nil"/>
                  </w:tcBorders>
                  <w:shd w:val="clear" w:color="auto" w:fill="auto"/>
                  <w:noWrap w:val="0"/>
                  <w:vAlign w:val="center"/>
                </w:tcPr>
                <w:p w14:paraId="27C5EE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shd w:val="clear" w:color="auto" w:fill="auto"/>
                  <w:noWrap w:val="0"/>
                  <w:vAlign w:val="center"/>
                </w:tcPr>
                <w:p w14:paraId="18CEC2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20.8</w:t>
                  </w:r>
                </w:p>
              </w:tc>
              <w:tc>
                <w:tcPr>
                  <w:tcW w:w="1104" w:type="dxa"/>
                  <w:vMerge w:val="continue"/>
                  <w:tcBorders>
                    <w:tl2br w:val="nil"/>
                    <w:tr2bl w:val="nil"/>
                  </w:tcBorders>
                  <w:noWrap w:val="0"/>
                  <w:vAlign w:val="center"/>
                </w:tcPr>
                <w:p w14:paraId="1838B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7EDC8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28A28E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0B4A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74227B1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1860534">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1255" w:type="dxa"/>
                  <w:tcBorders>
                    <w:tl2br w:val="nil"/>
                    <w:tr2bl w:val="nil"/>
                  </w:tcBorders>
                  <w:shd w:val="clear" w:color="auto" w:fill="auto"/>
                  <w:noWrap w:val="0"/>
                  <w:vAlign w:val="center"/>
                </w:tcPr>
                <w:p w14:paraId="60FE44D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49.1</w:t>
                  </w:r>
                </w:p>
              </w:tc>
              <w:tc>
                <w:tcPr>
                  <w:tcW w:w="864" w:type="dxa"/>
                  <w:tcBorders>
                    <w:tl2br w:val="nil"/>
                    <w:tr2bl w:val="nil"/>
                  </w:tcBorders>
                  <w:shd w:val="clear" w:color="auto" w:fill="auto"/>
                  <w:noWrap w:val="0"/>
                  <w:vAlign w:val="center"/>
                </w:tcPr>
                <w:p w14:paraId="00CA22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shd w:val="clear" w:color="auto" w:fill="auto"/>
                  <w:noWrap w:val="0"/>
                  <w:vAlign w:val="center"/>
                </w:tcPr>
                <w:p w14:paraId="5BD992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29.1</w:t>
                  </w:r>
                </w:p>
              </w:tc>
              <w:tc>
                <w:tcPr>
                  <w:tcW w:w="1104" w:type="dxa"/>
                  <w:vMerge w:val="continue"/>
                  <w:tcBorders>
                    <w:tl2br w:val="nil"/>
                    <w:tr2bl w:val="nil"/>
                  </w:tcBorders>
                  <w:noWrap w:val="0"/>
                  <w:vAlign w:val="center"/>
                </w:tcPr>
                <w:p w14:paraId="247DD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C25D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5A169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3D6F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688" w:type="dxa"/>
                  <w:vMerge w:val="continue"/>
                  <w:tcBorders>
                    <w:tl2br w:val="nil"/>
                    <w:tr2bl w:val="nil"/>
                  </w:tcBorders>
                  <w:noWrap w:val="0"/>
                  <w:vAlign w:val="center"/>
                </w:tcPr>
                <w:p w14:paraId="329857C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2F66DA6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真空包装机</w:t>
                  </w:r>
                </w:p>
              </w:tc>
              <w:tc>
                <w:tcPr>
                  <w:tcW w:w="1255" w:type="dxa"/>
                  <w:tcBorders>
                    <w:tl2br w:val="nil"/>
                    <w:tr2bl w:val="nil"/>
                  </w:tcBorders>
                  <w:shd w:val="clear" w:color="auto" w:fill="auto"/>
                  <w:noWrap w:val="0"/>
                  <w:vAlign w:val="center"/>
                </w:tcPr>
                <w:p w14:paraId="40B51C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25.6</w:t>
                  </w:r>
                </w:p>
              </w:tc>
              <w:tc>
                <w:tcPr>
                  <w:tcW w:w="864" w:type="dxa"/>
                  <w:tcBorders>
                    <w:tl2br w:val="nil"/>
                    <w:tr2bl w:val="nil"/>
                  </w:tcBorders>
                  <w:shd w:val="clear" w:color="auto" w:fill="auto"/>
                  <w:noWrap w:val="0"/>
                  <w:vAlign w:val="center"/>
                </w:tcPr>
                <w:p w14:paraId="07797D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tcBorders>
                    <w:tl2br w:val="nil"/>
                    <w:tr2bl w:val="nil"/>
                  </w:tcBorders>
                  <w:shd w:val="clear" w:color="auto" w:fill="auto"/>
                  <w:noWrap w:val="0"/>
                  <w:vAlign w:val="center"/>
                </w:tcPr>
                <w:p w14:paraId="2686B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5.6</w:t>
                  </w:r>
                </w:p>
              </w:tc>
              <w:tc>
                <w:tcPr>
                  <w:tcW w:w="1104" w:type="dxa"/>
                  <w:vMerge w:val="continue"/>
                  <w:tcBorders>
                    <w:tl2br w:val="nil"/>
                    <w:tr2bl w:val="nil"/>
                  </w:tcBorders>
                  <w:noWrap w:val="0"/>
                  <w:vAlign w:val="center"/>
                </w:tcPr>
                <w:p w14:paraId="68CB0C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58FB3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66FEAB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3710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8" w:type="dxa"/>
                  <w:vMerge w:val="continue"/>
                  <w:tcBorders>
                    <w:tl2br w:val="nil"/>
                    <w:tr2bl w:val="nil"/>
                  </w:tcBorders>
                  <w:noWrap w:val="0"/>
                  <w:vAlign w:val="center"/>
                </w:tcPr>
                <w:p w14:paraId="2A6EAA1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6FBF6EB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切菜机</w:t>
                  </w:r>
                </w:p>
              </w:tc>
              <w:tc>
                <w:tcPr>
                  <w:tcW w:w="1255" w:type="dxa"/>
                  <w:tcBorders>
                    <w:tl2br w:val="nil"/>
                    <w:tr2bl w:val="nil"/>
                  </w:tcBorders>
                  <w:shd w:val="clear" w:color="auto" w:fill="auto"/>
                  <w:noWrap w:val="0"/>
                  <w:vAlign w:val="center"/>
                </w:tcPr>
                <w:p w14:paraId="504E90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23.3</w:t>
                  </w:r>
                </w:p>
              </w:tc>
              <w:tc>
                <w:tcPr>
                  <w:tcW w:w="864" w:type="dxa"/>
                  <w:tcBorders>
                    <w:tl2br w:val="nil"/>
                    <w:tr2bl w:val="nil"/>
                  </w:tcBorders>
                  <w:noWrap w:val="0"/>
                  <w:vAlign w:val="center"/>
                </w:tcPr>
                <w:p w14:paraId="277CA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974" w:type="dxa"/>
                  <w:tcBorders>
                    <w:tl2br w:val="nil"/>
                    <w:tr2bl w:val="nil"/>
                  </w:tcBorders>
                  <w:shd w:val="clear" w:color="auto" w:fill="auto"/>
                  <w:noWrap w:val="0"/>
                  <w:vAlign w:val="center"/>
                </w:tcPr>
                <w:p w14:paraId="239F79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4856A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4A577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1D116A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3D25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88" w:type="dxa"/>
                  <w:vMerge w:val="continue"/>
                  <w:tcBorders>
                    <w:tl2br w:val="nil"/>
                    <w:tr2bl w:val="nil"/>
                  </w:tcBorders>
                  <w:noWrap w:val="0"/>
                  <w:vAlign w:val="center"/>
                </w:tcPr>
                <w:p w14:paraId="3D91471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786E2744">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#1腌制罐</w:t>
                  </w:r>
                </w:p>
              </w:tc>
              <w:tc>
                <w:tcPr>
                  <w:tcW w:w="1255" w:type="dxa"/>
                  <w:tcBorders>
                    <w:tl2br w:val="nil"/>
                    <w:tr2bl w:val="nil"/>
                  </w:tcBorders>
                  <w:shd w:val="clear" w:color="auto" w:fill="auto"/>
                  <w:noWrap w:val="0"/>
                  <w:vAlign w:val="center"/>
                </w:tcPr>
                <w:p w14:paraId="17ED5B4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21.5</w:t>
                  </w:r>
                </w:p>
              </w:tc>
              <w:tc>
                <w:tcPr>
                  <w:tcW w:w="864" w:type="dxa"/>
                  <w:tcBorders>
                    <w:tl2br w:val="nil"/>
                    <w:tr2bl w:val="nil"/>
                  </w:tcBorders>
                  <w:noWrap w:val="0"/>
                  <w:vAlign w:val="center"/>
                </w:tcPr>
                <w:p w14:paraId="46131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974" w:type="dxa"/>
                  <w:tcBorders>
                    <w:tl2br w:val="nil"/>
                    <w:tr2bl w:val="nil"/>
                  </w:tcBorders>
                  <w:shd w:val="clear" w:color="auto" w:fill="auto"/>
                  <w:noWrap w:val="0"/>
                  <w:vAlign w:val="center"/>
                </w:tcPr>
                <w:p w14:paraId="619EE2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37D49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4A93F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721A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A9C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88" w:type="dxa"/>
                  <w:vMerge w:val="continue"/>
                  <w:tcBorders>
                    <w:tl2br w:val="nil"/>
                    <w:tr2bl w:val="nil"/>
                  </w:tcBorders>
                  <w:noWrap w:val="0"/>
                  <w:vAlign w:val="center"/>
                </w:tcPr>
                <w:p w14:paraId="253A77F3">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311EDC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#2腌制罐</w:t>
                  </w:r>
                </w:p>
              </w:tc>
              <w:tc>
                <w:tcPr>
                  <w:tcW w:w="1255" w:type="dxa"/>
                  <w:tcBorders>
                    <w:tl2br w:val="nil"/>
                    <w:tr2bl w:val="nil"/>
                  </w:tcBorders>
                  <w:shd w:val="clear" w:color="auto" w:fill="auto"/>
                  <w:noWrap w:val="0"/>
                  <w:vAlign w:val="center"/>
                </w:tcPr>
                <w:p w14:paraId="5784AC0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24.0</w:t>
                  </w:r>
                </w:p>
              </w:tc>
              <w:tc>
                <w:tcPr>
                  <w:tcW w:w="864" w:type="dxa"/>
                  <w:tcBorders>
                    <w:tl2br w:val="nil"/>
                    <w:tr2bl w:val="nil"/>
                  </w:tcBorders>
                  <w:noWrap w:val="0"/>
                  <w:vAlign w:val="center"/>
                </w:tcPr>
                <w:p w14:paraId="16319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974" w:type="dxa"/>
                  <w:tcBorders>
                    <w:tl2br w:val="nil"/>
                    <w:tr2bl w:val="nil"/>
                  </w:tcBorders>
                  <w:shd w:val="clear" w:color="auto" w:fill="auto"/>
                  <w:noWrap w:val="0"/>
                  <w:vAlign w:val="center"/>
                </w:tcPr>
                <w:p w14:paraId="40CBE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0.5</w:t>
                  </w:r>
                </w:p>
              </w:tc>
              <w:tc>
                <w:tcPr>
                  <w:tcW w:w="1104" w:type="dxa"/>
                  <w:vMerge w:val="continue"/>
                  <w:tcBorders>
                    <w:tl2br w:val="nil"/>
                    <w:tr2bl w:val="nil"/>
                  </w:tcBorders>
                  <w:noWrap w:val="0"/>
                  <w:vAlign w:val="center"/>
                </w:tcPr>
                <w:p w14:paraId="36532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610B4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33A82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5C0E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88" w:type="dxa"/>
                  <w:vMerge w:val="continue"/>
                  <w:tcBorders>
                    <w:tl2br w:val="nil"/>
                    <w:tr2bl w:val="nil"/>
                  </w:tcBorders>
                  <w:noWrap w:val="0"/>
                  <w:vAlign w:val="center"/>
                </w:tcPr>
                <w:p w14:paraId="548AFAA9">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141D3A4E">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单层</w:t>
                  </w:r>
                </w:p>
                <w:p w14:paraId="6F6A4C3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1255" w:type="dxa"/>
                  <w:tcBorders>
                    <w:tl2br w:val="nil"/>
                    <w:tr2bl w:val="nil"/>
                  </w:tcBorders>
                  <w:shd w:val="clear" w:color="auto" w:fill="auto"/>
                  <w:noWrap w:val="0"/>
                  <w:vAlign w:val="center"/>
                </w:tcPr>
                <w:p w14:paraId="74ED58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15.2</w:t>
                  </w:r>
                </w:p>
              </w:tc>
              <w:tc>
                <w:tcPr>
                  <w:tcW w:w="864" w:type="dxa"/>
                  <w:tcBorders>
                    <w:tl2br w:val="nil"/>
                    <w:tr2bl w:val="nil"/>
                  </w:tcBorders>
                  <w:noWrap w:val="0"/>
                  <w:vAlign w:val="center"/>
                </w:tcPr>
                <w:p w14:paraId="45A49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974" w:type="dxa"/>
                  <w:tcBorders>
                    <w:tl2br w:val="nil"/>
                    <w:tr2bl w:val="nil"/>
                  </w:tcBorders>
                  <w:shd w:val="clear" w:color="auto" w:fill="auto"/>
                  <w:noWrap w:val="0"/>
                  <w:vAlign w:val="center"/>
                </w:tcPr>
                <w:p w14:paraId="270A8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104" w:type="dxa"/>
                  <w:vMerge w:val="continue"/>
                  <w:tcBorders>
                    <w:tl2br w:val="nil"/>
                    <w:tr2bl w:val="nil"/>
                  </w:tcBorders>
                  <w:noWrap w:val="0"/>
                  <w:vAlign w:val="center"/>
                </w:tcPr>
                <w:p w14:paraId="170E29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2C10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008FC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42D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88" w:type="dxa"/>
                  <w:vMerge w:val="continue"/>
                  <w:tcBorders>
                    <w:tl2br w:val="nil"/>
                    <w:tr2bl w:val="nil"/>
                  </w:tcBorders>
                  <w:noWrap w:val="0"/>
                  <w:vAlign w:val="center"/>
                </w:tcPr>
                <w:p w14:paraId="4D073C54">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0127689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蒸汽锅炉</w:t>
                  </w:r>
                </w:p>
              </w:tc>
              <w:tc>
                <w:tcPr>
                  <w:tcW w:w="1255" w:type="dxa"/>
                  <w:tcBorders>
                    <w:tl2br w:val="nil"/>
                    <w:tr2bl w:val="nil"/>
                  </w:tcBorders>
                  <w:shd w:val="clear" w:color="auto" w:fill="auto"/>
                  <w:noWrap w:val="0"/>
                  <w:vAlign w:val="center"/>
                </w:tcPr>
                <w:p w14:paraId="64BCC4D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51.0</w:t>
                  </w:r>
                </w:p>
              </w:tc>
              <w:tc>
                <w:tcPr>
                  <w:tcW w:w="864" w:type="dxa"/>
                  <w:tcBorders>
                    <w:tl2br w:val="nil"/>
                    <w:tr2bl w:val="nil"/>
                  </w:tcBorders>
                  <w:noWrap w:val="0"/>
                  <w:vAlign w:val="center"/>
                </w:tcPr>
                <w:p w14:paraId="08562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110</w:t>
                  </w:r>
                </w:p>
              </w:tc>
              <w:tc>
                <w:tcPr>
                  <w:tcW w:w="974" w:type="dxa"/>
                  <w:tcBorders>
                    <w:tl2br w:val="nil"/>
                    <w:tr2bl w:val="nil"/>
                  </w:tcBorders>
                  <w:shd w:val="clear" w:color="auto" w:fill="auto"/>
                  <w:noWrap w:val="0"/>
                  <w:vAlign w:val="center"/>
                </w:tcPr>
                <w:p w14:paraId="55EB11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10.2</w:t>
                  </w:r>
                </w:p>
              </w:tc>
              <w:tc>
                <w:tcPr>
                  <w:tcW w:w="1104" w:type="dxa"/>
                  <w:vMerge w:val="continue"/>
                  <w:tcBorders>
                    <w:tl2br w:val="nil"/>
                    <w:tr2bl w:val="nil"/>
                  </w:tcBorders>
                  <w:noWrap w:val="0"/>
                  <w:vAlign w:val="center"/>
                </w:tcPr>
                <w:p w14:paraId="654EB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E86C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24AA20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0E0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88" w:type="dxa"/>
                  <w:vMerge w:val="continue"/>
                  <w:tcBorders>
                    <w:tl2br w:val="nil"/>
                    <w:tr2bl w:val="nil"/>
                  </w:tcBorders>
                  <w:noWrap w:val="0"/>
                  <w:vAlign w:val="center"/>
                </w:tcPr>
                <w:p w14:paraId="31603ED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35BA6D08">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油烟风机</w:t>
                  </w:r>
                </w:p>
              </w:tc>
              <w:tc>
                <w:tcPr>
                  <w:tcW w:w="1255" w:type="dxa"/>
                  <w:tcBorders>
                    <w:tl2br w:val="nil"/>
                    <w:tr2bl w:val="nil"/>
                  </w:tcBorders>
                  <w:shd w:val="clear" w:color="auto" w:fill="auto"/>
                  <w:noWrap w:val="0"/>
                  <w:vAlign w:val="center"/>
                </w:tcPr>
                <w:p w14:paraId="3DF1C84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85</w:t>
                  </w:r>
                </w:p>
              </w:tc>
              <w:tc>
                <w:tcPr>
                  <w:tcW w:w="864" w:type="dxa"/>
                  <w:tcBorders>
                    <w:tl2br w:val="nil"/>
                    <w:tr2bl w:val="nil"/>
                  </w:tcBorders>
                  <w:noWrap w:val="0"/>
                  <w:vAlign w:val="center"/>
                </w:tcPr>
                <w:p w14:paraId="09C7FD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45</w:t>
                  </w:r>
                </w:p>
              </w:tc>
              <w:tc>
                <w:tcPr>
                  <w:tcW w:w="974" w:type="dxa"/>
                  <w:tcBorders>
                    <w:tl2br w:val="nil"/>
                    <w:tr2bl w:val="nil"/>
                  </w:tcBorders>
                  <w:shd w:val="clear" w:color="auto" w:fill="auto"/>
                  <w:noWrap w:val="0"/>
                  <w:vAlign w:val="center"/>
                </w:tcPr>
                <w:p w14:paraId="1E5DF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51.9</w:t>
                  </w:r>
                </w:p>
              </w:tc>
              <w:tc>
                <w:tcPr>
                  <w:tcW w:w="1104" w:type="dxa"/>
                  <w:vMerge w:val="continue"/>
                  <w:tcBorders>
                    <w:tl2br w:val="nil"/>
                    <w:tr2bl w:val="nil"/>
                  </w:tcBorders>
                  <w:noWrap w:val="0"/>
                  <w:vAlign w:val="center"/>
                </w:tcPr>
                <w:p w14:paraId="59C52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5A033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10D0B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793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88" w:type="dxa"/>
                  <w:vMerge w:val="continue"/>
                  <w:tcBorders>
                    <w:tl2br w:val="nil"/>
                    <w:tr2bl w:val="nil"/>
                  </w:tcBorders>
                  <w:noWrap w:val="0"/>
                  <w:vAlign w:val="center"/>
                </w:tcPr>
                <w:p w14:paraId="75A3100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1733B4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污水设施风机</w:t>
                  </w:r>
                </w:p>
              </w:tc>
              <w:tc>
                <w:tcPr>
                  <w:tcW w:w="1255" w:type="dxa"/>
                  <w:tcBorders>
                    <w:tl2br w:val="nil"/>
                    <w:tr2bl w:val="nil"/>
                  </w:tcBorders>
                  <w:shd w:val="clear" w:color="auto" w:fill="auto"/>
                  <w:noWrap w:val="0"/>
                  <w:vAlign w:val="center"/>
                </w:tcPr>
                <w:p w14:paraId="277D077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tcBorders>
                    <w:tl2br w:val="nil"/>
                    <w:tr2bl w:val="nil"/>
                  </w:tcBorders>
                  <w:noWrap w:val="0"/>
                  <w:vAlign w:val="center"/>
                </w:tcPr>
                <w:p w14:paraId="3887C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974" w:type="dxa"/>
                  <w:tcBorders>
                    <w:tl2br w:val="nil"/>
                    <w:tr2bl w:val="nil"/>
                  </w:tcBorders>
                  <w:shd w:val="clear" w:color="auto" w:fill="auto"/>
                  <w:noWrap w:val="0"/>
                  <w:vAlign w:val="center"/>
                </w:tcPr>
                <w:p w14:paraId="2C198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39.4</w:t>
                  </w:r>
                </w:p>
              </w:tc>
              <w:tc>
                <w:tcPr>
                  <w:tcW w:w="1104" w:type="dxa"/>
                  <w:vMerge w:val="continue"/>
                  <w:tcBorders>
                    <w:tl2br w:val="nil"/>
                    <w:tr2bl w:val="nil"/>
                  </w:tcBorders>
                  <w:noWrap w:val="0"/>
                  <w:vAlign w:val="center"/>
                </w:tcPr>
                <w:p w14:paraId="69A6A8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374B8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4EB8F4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2AFF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88" w:type="dxa"/>
                  <w:vMerge w:val="continue"/>
                  <w:tcBorders>
                    <w:tl2br w:val="nil"/>
                    <w:tr2bl w:val="nil"/>
                  </w:tcBorders>
                  <w:noWrap w:val="0"/>
                  <w:vAlign w:val="center"/>
                </w:tcPr>
                <w:p w14:paraId="53393A5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507FC7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污水处理</w:t>
                  </w:r>
                </w:p>
                <w:p w14:paraId="50D4D7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设施</w:t>
                  </w:r>
                </w:p>
              </w:tc>
              <w:tc>
                <w:tcPr>
                  <w:tcW w:w="1255" w:type="dxa"/>
                  <w:tcBorders>
                    <w:tl2br w:val="nil"/>
                    <w:tr2bl w:val="nil"/>
                  </w:tcBorders>
                  <w:shd w:val="clear" w:color="auto" w:fill="auto"/>
                  <w:noWrap w:val="0"/>
                  <w:vAlign w:val="center"/>
                </w:tcPr>
                <w:p w14:paraId="7143996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tcBorders>
                    <w:tl2br w:val="nil"/>
                    <w:tr2bl w:val="nil"/>
                  </w:tcBorders>
                  <w:noWrap w:val="0"/>
                  <w:vAlign w:val="center"/>
                </w:tcPr>
                <w:p w14:paraId="5A787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85</w:t>
                  </w:r>
                </w:p>
              </w:tc>
              <w:tc>
                <w:tcPr>
                  <w:tcW w:w="974" w:type="dxa"/>
                  <w:tcBorders>
                    <w:tl2br w:val="nil"/>
                    <w:tr2bl w:val="nil"/>
                  </w:tcBorders>
                  <w:shd w:val="clear" w:color="auto" w:fill="auto"/>
                  <w:noWrap w:val="0"/>
                  <w:vAlign w:val="center"/>
                </w:tcPr>
                <w:p w14:paraId="4815AB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36.4</w:t>
                  </w:r>
                </w:p>
              </w:tc>
              <w:tc>
                <w:tcPr>
                  <w:tcW w:w="1104" w:type="dxa"/>
                  <w:vMerge w:val="continue"/>
                  <w:tcBorders>
                    <w:tl2br w:val="nil"/>
                    <w:tr2bl w:val="nil"/>
                  </w:tcBorders>
                  <w:noWrap w:val="0"/>
                  <w:vAlign w:val="center"/>
                </w:tcPr>
                <w:p w14:paraId="19B6E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42A37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4DD72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670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8" w:type="dxa"/>
                  <w:vMerge w:val="restart"/>
                  <w:tcBorders>
                    <w:tl2br w:val="nil"/>
                    <w:tr2bl w:val="nil"/>
                  </w:tcBorders>
                  <w:noWrap w:val="0"/>
                  <w:vAlign w:val="center"/>
                </w:tcPr>
                <w:p w14:paraId="4A6B0A1C">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西厂界</w:t>
                  </w:r>
                </w:p>
              </w:tc>
              <w:tc>
                <w:tcPr>
                  <w:tcW w:w="1158" w:type="dxa"/>
                  <w:tcBorders>
                    <w:tl2br w:val="nil"/>
                    <w:tr2bl w:val="nil"/>
                  </w:tcBorders>
                  <w:shd w:val="clear" w:color="auto" w:fill="auto"/>
                  <w:noWrap w:val="0"/>
                  <w:vAlign w:val="center"/>
                </w:tcPr>
                <w:p w14:paraId="7195014B">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粉碎机</w:t>
                  </w:r>
                </w:p>
              </w:tc>
              <w:tc>
                <w:tcPr>
                  <w:tcW w:w="1255" w:type="dxa"/>
                  <w:tcBorders>
                    <w:tl2br w:val="nil"/>
                    <w:tr2bl w:val="nil"/>
                  </w:tcBorders>
                  <w:shd w:val="clear" w:color="auto" w:fill="auto"/>
                  <w:noWrap w:val="0"/>
                  <w:vAlign w:val="center"/>
                </w:tcPr>
                <w:p w14:paraId="11304D1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53.3</w:t>
                  </w:r>
                </w:p>
              </w:tc>
              <w:tc>
                <w:tcPr>
                  <w:tcW w:w="864" w:type="dxa"/>
                  <w:tcBorders>
                    <w:tl2br w:val="nil"/>
                    <w:tr2bl w:val="nil"/>
                  </w:tcBorders>
                  <w:noWrap w:val="0"/>
                  <w:vAlign w:val="center"/>
                </w:tcPr>
                <w:p w14:paraId="5A5AF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07CC18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19.3</w:t>
                  </w:r>
                </w:p>
              </w:tc>
              <w:tc>
                <w:tcPr>
                  <w:tcW w:w="1104" w:type="dxa"/>
                  <w:vMerge w:val="restart"/>
                  <w:tcBorders>
                    <w:tl2br w:val="nil"/>
                    <w:tr2bl w:val="nil"/>
                  </w:tcBorders>
                  <w:noWrap w:val="0"/>
                  <w:vAlign w:val="center"/>
                </w:tcPr>
                <w:p w14:paraId="62949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47.7</w:t>
                  </w:r>
                </w:p>
              </w:tc>
              <w:tc>
                <w:tcPr>
                  <w:tcW w:w="1111" w:type="dxa"/>
                  <w:vMerge w:val="restart"/>
                  <w:tcBorders>
                    <w:tl2br w:val="nil"/>
                    <w:tr2bl w:val="nil"/>
                  </w:tcBorders>
                  <w:noWrap w:val="0"/>
                  <w:vAlign w:val="center"/>
                </w:tcPr>
                <w:p w14:paraId="7D9C6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60</w:t>
                  </w:r>
                </w:p>
              </w:tc>
              <w:tc>
                <w:tcPr>
                  <w:tcW w:w="862" w:type="dxa"/>
                  <w:vMerge w:val="restart"/>
                  <w:tcBorders>
                    <w:tl2br w:val="nil"/>
                    <w:tr2bl w:val="nil"/>
                  </w:tcBorders>
                  <w:noWrap w:val="0"/>
                  <w:vAlign w:val="center"/>
                </w:tcPr>
                <w:p w14:paraId="325564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达标</w:t>
                  </w:r>
                </w:p>
              </w:tc>
            </w:tr>
            <w:tr w14:paraId="6B04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8" w:type="dxa"/>
                  <w:vMerge w:val="continue"/>
                  <w:tcBorders>
                    <w:tl2br w:val="nil"/>
                    <w:tr2bl w:val="nil"/>
                  </w:tcBorders>
                  <w:noWrap w:val="0"/>
                  <w:vAlign w:val="center"/>
                </w:tcPr>
                <w:p w14:paraId="1C60721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661FF4F9">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6B9A37A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40.0</w:t>
                  </w:r>
                </w:p>
              </w:tc>
              <w:tc>
                <w:tcPr>
                  <w:tcW w:w="864" w:type="dxa"/>
                  <w:tcBorders>
                    <w:tl2br w:val="nil"/>
                    <w:tr2bl w:val="nil"/>
                  </w:tcBorders>
                  <w:noWrap w:val="0"/>
                  <w:vAlign w:val="center"/>
                </w:tcPr>
                <w:p w14:paraId="7DA85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18031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1104" w:type="dxa"/>
                  <w:vMerge w:val="continue"/>
                  <w:tcBorders>
                    <w:tl2br w:val="nil"/>
                    <w:tr2bl w:val="nil"/>
                  </w:tcBorders>
                  <w:noWrap w:val="0"/>
                  <w:vAlign w:val="center"/>
                </w:tcPr>
                <w:p w14:paraId="365C5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5FB95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11739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71CC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8" w:type="dxa"/>
                  <w:vMerge w:val="continue"/>
                  <w:tcBorders>
                    <w:tl2br w:val="nil"/>
                    <w:tr2bl w:val="nil"/>
                  </w:tcBorders>
                  <w:noWrap w:val="0"/>
                  <w:vAlign w:val="center"/>
                </w:tcPr>
                <w:p w14:paraId="0B456A3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47B2C477">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w:t>
                  </w:r>
                </w:p>
                <w:p w14:paraId="240381E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tcBorders>
                    <w:tl2br w:val="nil"/>
                    <w:tr2bl w:val="nil"/>
                  </w:tcBorders>
                  <w:shd w:val="clear" w:color="auto" w:fill="auto"/>
                  <w:noWrap w:val="0"/>
                  <w:vAlign w:val="center"/>
                </w:tcPr>
                <w:p w14:paraId="0E0D17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44.2</w:t>
                  </w:r>
                </w:p>
              </w:tc>
              <w:tc>
                <w:tcPr>
                  <w:tcW w:w="864" w:type="dxa"/>
                  <w:tcBorders>
                    <w:tl2br w:val="nil"/>
                    <w:tr2bl w:val="nil"/>
                  </w:tcBorders>
                  <w:noWrap w:val="0"/>
                  <w:vAlign w:val="center"/>
                </w:tcPr>
                <w:p w14:paraId="364CD7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6411A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10.2</w:t>
                  </w:r>
                </w:p>
              </w:tc>
              <w:tc>
                <w:tcPr>
                  <w:tcW w:w="1104" w:type="dxa"/>
                  <w:vMerge w:val="continue"/>
                  <w:tcBorders>
                    <w:tl2br w:val="nil"/>
                    <w:tr2bl w:val="nil"/>
                  </w:tcBorders>
                  <w:noWrap w:val="0"/>
                  <w:vAlign w:val="center"/>
                </w:tcPr>
                <w:p w14:paraId="12954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23B02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CB3E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DB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8" w:type="dxa"/>
                  <w:vMerge w:val="continue"/>
                  <w:tcBorders>
                    <w:tl2br w:val="nil"/>
                    <w:tr2bl w:val="nil"/>
                  </w:tcBorders>
                  <w:noWrap w:val="0"/>
                  <w:vAlign w:val="center"/>
                </w:tcPr>
                <w:p w14:paraId="334710A8">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677EF63F">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#1静置罐</w:t>
                  </w:r>
                </w:p>
              </w:tc>
              <w:tc>
                <w:tcPr>
                  <w:tcW w:w="1255" w:type="dxa"/>
                  <w:tcBorders>
                    <w:tl2br w:val="nil"/>
                    <w:tr2bl w:val="nil"/>
                  </w:tcBorders>
                  <w:shd w:val="clear" w:color="auto" w:fill="auto"/>
                  <w:noWrap w:val="0"/>
                  <w:vAlign w:val="center"/>
                </w:tcPr>
                <w:p w14:paraId="0E987B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48.0</w:t>
                  </w:r>
                </w:p>
              </w:tc>
              <w:tc>
                <w:tcPr>
                  <w:tcW w:w="864" w:type="dxa"/>
                  <w:tcBorders>
                    <w:tl2br w:val="nil"/>
                    <w:tr2bl w:val="nil"/>
                  </w:tcBorders>
                  <w:noWrap w:val="0"/>
                  <w:vAlign w:val="center"/>
                </w:tcPr>
                <w:p w14:paraId="61C77D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2334C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tcBorders>
                    <w:tl2br w:val="nil"/>
                    <w:tr2bl w:val="nil"/>
                  </w:tcBorders>
                  <w:noWrap w:val="0"/>
                  <w:vAlign w:val="center"/>
                </w:tcPr>
                <w:p w14:paraId="73606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02D9D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6B018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1356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8" w:type="dxa"/>
                  <w:vMerge w:val="continue"/>
                  <w:tcBorders>
                    <w:tl2br w:val="nil"/>
                    <w:tr2bl w:val="nil"/>
                  </w:tcBorders>
                  <w:noWrap w:val="0"/>
                  <w:vAlign w:val="center"/>
                </w:tcPr>
                <w:p w14:paraId="1E4B9DA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0C37CE5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#2静置罐</w:t>
                  </w:r>
                </w:p>
              </w:tc>
              <w:tc>
                <w:tcPr>
                  <w:tcW w:w="1255" w:type="dxa"/>
                  <w:tcBorders>
                    <w:tl2br w:val="nil"/>
                    <w:tr2bl w:val="nil"/>
                  </w:tcBorders>
                  <w:shd w:val="clear" w:color="auto" w:fill="auto"/>
                  <w:noWrap w:val="0"/>
                  <w:vAlign w:val="center"/>
                </w:tcPr>
                <w:p w14:paraId="09B3198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44.2</w:t>
                  </w:r>
                </w:p>
              </w:tc>
              <w:tc>
                <w:tcPr>
                  <w:tcW w:w="864" w:type="dxa"/>
                  <w:tcBorders>
                    <w:tl2br w:val="nil"/>
                    <w:tr2bl w:val="nil"/>
                  </w:tcBorders>
                  <w:noWrap w:val="0"/>
                  <w:vAlign w:val="center"/>
                </w:tcPr>
                <w:p w14:paraId="253DF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0F738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10.2</w:t>
                  </w:r>
                </w:p>
              </w:tc>
              <w:tc>
                <w:tcPr>
                  <w:tcW w:w="1104" w:type="dxa"/>
                  <w:vMerge w:val="continue"/>
                  <w:tcBorders>
                    <w:tl2br w:val="nil"/>
                    <w:tr2bl w:val="nil"/>
                  </w:tcBorders>
                  <w:noWrap w:val="0"/>
                  <w:vAlign w:val="center"/>
                </w:tcPr>
                <w:p w14:paraId="71D67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00157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7F7CA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0469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688" w:type="dxa"/>
                  <w:vMerge w:val="continue"/>
                  <w:tcBorders>
                    <w:tl2br w:val="nil"/>
                    <w:tr2bl w:val="nil"/>
                  </w:tcBorders>
                  <w:noWrap w:val="0"/>
                  <w:vAlign w:val="center"/>
                </w:tcPr>
                <w:p w14:paraId="23D148C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tcBorders>
                    <w:tl2br w:val="nil"/>
                    <w:tr2bl w:val="nil"/>
                  </w:tcBorders>
                  <w:shd w:val="clear" w:color="auto" w:fill="auto"/>
                  <w:noWrap w:val="0"/>
                  <w:vAlign w:val="center"/>
                </w:tcPr>
                <w:p w14:paraId="77863A5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浓缩锅</w:t>
                  </w:r>
                </w:p>
              </w:tc>
              <w:tc>
                <w:tcPr>
                  <w:tcW w:w="1255" w:type="dxa"/>
                  <w:tcBorders>
                    <w:tl2br w:val="nil"/>
                    <w:tr2bl w:val="nil"/>
                  </w:tcBorders>
                  <w:shd w:val="clear" w:color="auto" w:fill="auto"/>
                  <w:noWrap w:val="0"/>
                  <w:vAlign w:val="center"/>
                </w:tcPr>
                <w:p w14:paraId="3F94A2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48.0</w:t>
                  </w:r>
                </w:p>
              </w:tc>
              <w:tc>
                <w:tcPr>
                  <w:tcW w:w="864" w:type="dxa"/>
                  <w:tcBorders>
                    <w:tl2br w:val="nil"/>
                    <w:tr2bl w:val="nil"/>
                  </w:tcBorders>
                  <w:noWrap w:val="0"/>
                  <w:vAlign w:val="center"/>
                </w:tcPr>
                <w:p w14:paraId="0A204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tcBorders>
                    <w:tl2br w:val="nil"/>
                    <w:tr2bl w:val="nil"/>
                  </w:tcBorders>
                  <w:noWrap w:val="0"/>
                  <w:vAlign w:val="center"/>
                </w:tcPr>
                <w:p w14:paraId="16A260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tcBorders>
                    <w:tl2br w:val="nil"/>
                    <w:tr2bl w:val="nil"/>
                  </w:tcBorders>
                  <w:noWrap w:val="0"/>
                  <w:vAlign w:val="center"/>
                </w:tcPr>
                <w:p w14:paraId="0B66CC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tcBorders>
                    <w:tl2br w:val="nil"/>
                    <w:tr2bl w:val="nil"/>
                  </w:tcBorders>
                  <w:noWrap w:val="0"/>
                  <w:vAlign w:val="center"/>
                </w:tcPr>
                <w:p w14:paraId="392F0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tcBorders>
                    <w:tl2br w:val="nil"/>
                    <w:tr2bl w:val="nil"/>
                  </w:tcBorders>
                  <w:noWrap w:val="0"/>
                  <w:vAlign w:val="center"/>
                </w:tcPr>
                <w:p w14:paraId="5A043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62B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5FA70FC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0846FF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过滤器</w:t>
                  </w:r>
                </w:p>
              </w:tc>
              <w:tc>
                <w:tcPr>
                  <w:tcW w:w="1255" w:type="dxa"/>
                  <w:shd w:val="clear" w:color="auto" w:fill="auto"/>
                  <w:noWrap w:val="0"/>
                  <w:vAlign w:val="center"/>
                </w:tcPr>
                <w:p w14:paraId="2480BDC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48.2</w:t>
                  </w:r>
                </w:p>
              </w:tc>
              <w:tc>
                <w:tcPr>
                  <w:tcW w:w="864" w:type="dxa"/>
                  <w:noWrap w:val="0"/>
                  <w:vAlign w:val="center"/>
                </w:tcPr>
                <w:p w14:paraId="70F19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080B0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14.2</w:t>
                  </w:r>
                </w:p>
              </w:tc>
              <w:tc>
                <w:tcPr>
                  <w:tcW w:w="1104" w:type="dxa"/>
                  <w:vMerge w:val="continue"/>
                  <w:noWrap w:val="0"/>
                  <w:vAlign w:val="center"/>
                </w:tcPr>
                <w:p w14:paraId="72974F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5D1A4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D9A0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5DD4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0DC9525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6BDDDEA1">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高压均</w:t>
                  </w:r>
                </w:p>
                <w:p w14:paraId="348F70E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质机</w:t>
                  </w:r>
                </w:p>
              </w:tc>
              <w:tc>
                <w:tcPr>
                  <w:tcW w:w="1255" w:type="dxa"/>
                  <w:shd w:val="clear" w:color="auto" w:fill="auto"/>
                  <w:noWrap w:val="0"/>
                  <w:vAlign w:val="center"/>
                </w:tcPr>
                <w:p w14:paraId="0591F3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48.0</w:t>
                  </w:r>
                </w:p>
              </w:tc>
              <w:tc>
                <w:tcPr>
                  <w:tcW w:w="864" w:type="dxa"/>
                  <w:noWrap w:val="0"/>
                  <w:vAlign w:val="center"/>
                </w:tcPr>
                <w:p w14:paraId="07B0B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2725F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noWrap w:val="0"/>
                  <w:vAlign w:val="center"/>
                </w:tcPr>
                <w:p w14:paraId="3BC95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51290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94FA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E33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5C05745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6BBD7D6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调配罐</w:t>
                  </w:r>
                </w:p>
              </w:tc>
              <w:tc>
                <w:tcPr>
                  <w:tcW w:w="1255" w:type="dxa"/>
                  <w:shd w:val="clear" w:color="auto" w:fill="auto"/>
                  <w:noWrap w:val="0"/>
                  <w:vAlign w:val="center"/>
                </w:tcPr>
                <w:p w14:paraId="316C862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50.5</w:t>
                  </w:r>
                </w:p>
              </w:tc>
              <w:tc>
                <w:tcPr>
                  <w:tcW w:w="864" w:type="dxa"/>
                  <w:noWrap w:val="0"/>
                  <w:vAlign w:val="center"/>
                </w:tcPr>
                <w:p w14:paraId="7A204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29274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16.5</w:t>
                  </w:r>
                </w:p>
              </w:tc>
              <w:tc>
                <w:tcPr>
                  <w:tcW w:w="1104" w:type="dxa"/>
                  <w:vMerge w:val="continue"/>
                  <w:noWrap w:val="0"/>
                  <w:vAlign w:val="center"/>
                </w:tcPr>
                <w:p w14:paraId="04671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56CC95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2C56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0EFD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1ACBF06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5336457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灌装车</w:t>
                  </w:r>
                </w:p>
              </w:tc>
              <w:tc>
                <w:tcPr>
                  <w:tcW w:w="1255" w:type="dxa"/>
                  <w:shd w:val="clear" w:color="auto" w:fill="auto"/>
                  <w:noWrap w:val="0"/>
                  <w:vAlign w:val="center"/>
                </w:tcPr>
                <w:p w14:paraId="0F1B3AE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48.2</w:t>
                  </w:r>
                </w:p>
              </w:tc>
              <w:tc>
                <w:tcPr>
                  <w:tcW w:w="864" w:type="dxa"/>
                  <w:noWrap w:val="0"/>
                  <w:vAlign w:val="center"/>
                </w:tcPr>
                <w:p w14:paraId="1101E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5442C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14.2</w:t>
                  </w:r>
                </w:p>
              </w:tc>
              <w:tc>
                <w:tcPr>
                  <w:tcW w:w="1104" w:type="dxa"/>
                  <w:vMerge w:val="continue"/>
                  <w:noWrap w:val="0"/>
                  <w:vAlign w:val="center"/>
                </w:tcPr>
                <w:p w14:paraId="1636C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16E56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A37D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3EC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45ADA6E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05D5BB5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热水罐</w:t>
                  </w:r>
                </w:p>
              </w:tc>
              <w:tc>
                <w:tcPr>
                  <w:tcW w:w="1255" w:type="dxa"/>
                  <w:shd w:val="clear" w:color="auto" w:fill="auto"/>
                  <w:noWrap w:val="0"/>
                  <w:vAlign w:val="center"/>
                </w:tcPr>
                <w:p w14:paraId="2303FCD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40.0</w:t>
                  </w:r>
                </w:p>
              </w:tc>
              <w:tc>
                <w:tcPr>
                  <w:tcW w:w="864" w:type="dxa"/>
                  <w:noWrap w:val="0"/>
                  <w:vAlign w:val="center"/>
                </w:tcPr>
                <w:p w14:paraId="5F3837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5680F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6.0</w:t>
                  </w:r>
                </w:p>
              </w:tc>
              <w:tc>
                <w:tcPr>
                  <w:tcW w:w="1104" w:type="dxa"/>
                  <w:vMerge w:val="continue"/>
                  <w:noWrap w:val="0"/>
                  <w:vAlign w:val="center"/>
                </w:tcPr>
                <w:p w14:paraId="2B080F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5E8FC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44C10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C53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trPr>
              <w:tc>
                <w:tcPr>
                  <w:tcW w:w="688" w:type="dxa"/>
                  <w:vMerge w:val="continue"/>
                  <w:noWrap w:val="0"/>
                  <w:vAlign w:val="top"/>
                </w:tcPr>
                <w:p w14:paraId="57626FE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6D644BD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打包机</w:t>
                  </w:r>
                </w:p>
              </w:tc>
              <w:tc>
                <w:tcPr>
                  <w:tcW w:w="1255" w:type="dxa"/>
                  <w:shd w:val="clear" w:color="auto" w:fill="auto"/>
                  <w:noWrap w:val="0"/>
                  <w:vAlign w:val="center"/>
                </w:tcPr>
                <w:p w14:paraId="3CFC769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51.8</w:t>
                  </w:r>
                </w:p>
              </w:tc>
              <w:tc>
                <w:tcPr>
                  <w:tcW w:w="864" w:type="dxa"/>
                  <w:noWrap w:val="0"/>
                  <w:vAlign w:val="center"/>
                </w:tcPr>
                <w:p w14:paraId="05A36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581325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17.8</w:t>
                  </w:r>
                </w:p>
              </w:tc>
              <w:tc>
                <w:tcPr>
                  <w:tcW w:w="1104" w:type="dxa"/>
                  <w:vMerge w:val="continue"/>
                  <w:noWrap w:val="0"/>
                  <w:vAlign w:val="center"/>
                </w:tcPr>
                <w:p w14:paraId="566F8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97B3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F5CE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6F4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1A9BC42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942FA04">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#1炒制锅</w:t>
                  </w:r>
                </w:p>
              </w:tc>
              <w:tc>
                <w:tcPr>
                  <w:tcW w:w="1255" w:type="dxa"/>
                  <w:shd w:val="clear" w:color="auto" w:fill="auto"/>
                  <w:noWrap w:val="0"/>
                  <w:vAlign w:val="center"/>
                </w:tcPr>
                <w:p w14:paraId="64E3E0A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32.5</w:t>
                  </w:r>
                </w:p>
              </w:tc>
              <w:tc>
                <w:tcPr>
                  <w:tcW w:w="864" w:type="dxa"/>
                  <w:noWrap w:val="0"/>
                  <w:vAlign w:val="center"/>
                </w:tcPr>
                <w:p w14:paraId="426D8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1D3C2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51FF0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3624C8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5DF42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4108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3654698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7867FF5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#2炒制锅</w:t>
                  </w:r>
                </w:p>
              </w:tc>
              <w:tc>
                <w:tcPr>
                  <w:tcW w:w="1255" w:type="dxa"/>
                  <w:shd w:val="clear" w:color="auto" w:fill="auto"/>
                  <w:noWrap w:val="0"/>
                  <w:vAlign w:val="center"/>
                </w:tcPr>
                <w:p w14:paraId="34475AD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noWrap w:val="0"/>
                  <w:vAlign w:val="center"/>
                </w:tcPr>
                <w:p w14:paraId="76A72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5E4A9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18.4</w:t>
                  </w:r>
                </w:p>
              </w:tc>
              <w:tc>
                <w:tcPr>
                  <w:tcW w:w="1104" w:type="dxa"/>
                  <w:vMerge w:val="continue"/>
                  <w:noWrap w:val="0"/>
                  <w:vAlign w:val="center"/>
                </w:tcPr>
                <w:p w14:paraId="36051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6FC1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30B81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BE6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6786E65A">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0C1EC28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#3炒制锅</w:t>
                  </w:r>
                </w:p>
              </w:tc>
              <w:tc>
                <w:tcPr>
                  <w:tcW w:w="1255" w:type="dxa"/>
                  <w:shd w:val="clear" w:color="auto" w:fill="auto"/>
                  <w:noWrap w:val="0"/>
                  <w:vAlign w:val="center"/>
                </w:tcPr>
                <w:p w14:paraId="7E62C0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48.2</w:t>
                  </w:r>
                </w:p>
              </w:tc>
              <w:tc>
                <w:tcPr>
                  <w:tcW w:w="864" w:type="dxa"/>
                  <w:noWrap w:val="0"/>
                  <w:vAlign w:val="center"/>
                </w:tcPr>
                <w:p w14:paraId="73F5F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48A62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14.2</w:t>
                  </w:r>
                </w:p>
              </w:tc>
              <w:tc>
                <w:tcPr>
                  <w:tcW w:w="1104" w:type="dxa"/>
                  <w:vMerge w:val="continue"/>
                  <w:noWrap w:val="0"/>
                  <w:vAlign w:val="center"/>
                </w:tcPr>
                <w:p w14:paraId="67AC9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2A2D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5A077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4726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4800A0F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94C44A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1255" w:type="dxa"/>
                  <w:shd w:val="clear" w:color="auto" w:fill="auto"/>
                  <w:noWrap w:val="0"/>
                  <w:vAlign w:val="center"/>
                </w:tcPr>
                <w:p w14:paraId="680AD8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57.5</w:t>
                  </w:r>
                </w:p>
              </w:tc>
              <w:tc>
                <w:tcPr>
                  <w:tcW w:w="864" w:type="dxa"/>
                  <w:noWrap w:val="0"/>
                  <w:vAlign w:val="center"/>
                </w:tcPr>
                <w:p w14:paraId="73E96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6F85F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23.5</w:t>
                  </w:r>
                </w:p>
              </w:tc>
              <w:tc>
                <w:tcPr>
                  <w:tcW w:w="1104" w:type="dxa"/>
                  <w:vMerge w:val="continue"/>
                  <w:noWrap w:val="0"/>
                  <w:vAlign w:val="center"/>
                </w:tcPr>
                <w:p w14:paraId="4E0EE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DE35D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63527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5097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07FEAE34">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ADE40E0">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真空包</w:t>
                  </w:r>
                </w:p>
                <w:p w14:paraId="10AFE75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装机</w:t>
                  </w:r>
                </w:p>
              </w:tc>
              <w:tc>
                <w:tcPr>
                  <w:tcW w:w="1255" w:type="dxa"/>
                  <w:shd w:val="clear" w:color="auto" w:fill="auto"/>
                  <w:noWrap w:val="0"/>
                  <w:vAlign w:val="center"/>
                </w:tcPr>
                <w:p w14:paraId="4699B17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44.2</w:t>
                  </w:r>
                </w:p>
              </w:tc>
              <w:tc>
                <w:tcPr>
                  <w:tcW w:w="864" w:type="dxa"/>
                  <w:noWrap w:val="0"/>
                  <w:vAlign w:val="center"/>
                </w:tcPr>
                <w:p w14:paraId="6C0732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974" w:type="dxa"/>
                  <w:noWrap w:val="0"/>
                  <w:vAlign w:val="center"/>
                </w:tcPr>
                <w:p w14:paraId="4A32D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10.2</w:t>
                  </w:r>
                </w:p>
              </w:tc>
              <w:tc>
                <w:tcPr>
                  <w:tcW w:w="1104" w:type="dxa"/>
                  <w:vMerge w:val="continue"/>
                  <w:noWrap w:val="0"/>
                  <w:vAlign w:val="center"/>
                </w:tcPr>
                <w:p w14:paraId="29FE7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1418C2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A272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308C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0A6E40C9">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E0DA73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切菜机</w:t>
                  </w:r>
                </w:p>
              </w:tc>
              <w:tc>
                <w:tcPr>
                  <w:tcW w:w="1255" w:type="dxa"/>
                  <w:shd w:val="clear" w:color="auto" w:fill="auto"/>
                  <w:noWrap w:val="0"/>
                  <w:vAlign w:val="center"/>
                </w:tcPr>
                <w:p w14:paraId="75AA00E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noWrap w:val="0"/>
                  <w:vAlign w:val="center"/>
                </w:tcPr>
                <w:p w14:paraId="52F4F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0A002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32.4</w:t>
                  </w:r>
                </w:p>
              </w:tc>
              <w:tc>
                <w:tcPr>
                  <w:tcW w:w="1104" w:type="dxa"/>
                  <w:vMerge w:val="continue"/>
                  <w:noWrap w:val="0"/>
                  <w:vAlign w:val="center"/>
                </w:tcPr>
                <w:p w14:paraId="26E64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B86FF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5F3C3D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37BC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620B8570">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3DA098CE">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#1腌制罐</w:t>
                  </w:r>
                </w:p>
              </w:tc>
              <w:tc>
                <w:tcPr>
                  <w:tcW w:w="1255" w:type="dxa"/>
                  <w:shd w:val="clear" w:color="auto" w:fill="auto"/>
                  <w:noWrap w:val="0"/>
                  <w:vAlign w:val="center"/>
                </w:tcPr>
                <w:p w14:paraId="058F15D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44.2</w:t>
                  </w:r>
                </w:p>
              </w:tc>
              <w:tc>
                <w:tcPr>
                  <w:tcW w:w="864" w:type="dxa"/>
                  <w:noWrap w:val="0"/>
                  <w:vAlign w:val="center"/>
                </w:tcPr>
                <w:p w14:paraId="6CE13B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18F48F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24.2</w:t>
                  </w:r>
                </w:p>
              </w:tc>
              <w:tc>
                <w:tcPr>
                  <w:tcW w:w="1104" w:type="dxa"/>
                  <w:vMerge w:val="continue"/>
                  <w:noWrap w:val="0"/>
                  <w:vAlign w:val="center"/>
                </w:tcPr>
                <w:p w14:paraId="56560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A1E1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8A61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50ED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88" w:type="dxa"/>
                  <w:vMerge w:val="continue"/>
                  <w:noWrap w:val="0"/>
                  <w:vAlign w:val="top"/>
                </w:tcPr>
                <w:p w14:paraId="5A0A1B4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6372327">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#2腌制罐</w:t>
                  </w:r>
                </w:p>
              </w:tc>
              <w:tc>
                <w:tcPr>
                  <w:tcW w:w="1255" w:type="dxa"/>
                  <w:shd w:val="clear" w:color="auto" w:fill="auto"/>
                  <w:noWrap w:val="0"/>
                  <w:vAlign w:val="center"/>
                </w:tcPr>
                <w:p w14:paraId="39E5230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44.2</w:t>
                  </w:r>
                </w:p>
              </w:tc>
              <w:tc>
                <w:tcPr>
                  <w:tcW w:w="864" w:type="dxa"/>
                  <w:noWrap w:val="0"/>
                  <w:vAlign w:val="center"/>
                </w:tcPr>
                <w:p w14:paraId="280C4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216D3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24.2</w:t>
                  </w:r>
                </w:p>
              </w:tc>
              <w:tc>
                <w:tcPr>
                  <w:tcW w:w="1104" w:type="dxa"/>
                  <w:vMerge w:val="continue"/>
                  <w:noWrap w:val="0"/>
                  <w:vAlign w:val="center"/>
                </w:tcPr>
                <w:p w14:paraId="087AC6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BFE01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38EF6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A06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88" w:type="dxa"/>
                  <w:vMerge w:val="continue"/>
                  <w:noWrap w:val="0"/>
                  <w:vAlign w:val="top"/>
                </w:tcPr>
                <w:p w14:paraId="010C7E0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309FAC7">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单层搅</w:t>
                  </w:r>
                </w:p>
                <w:p w14:paraId="19E25F2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拌锅</w:t>
                  </w:r>
                </w:p>
              </w:tc>
              <w:tc>
                <w:tcPr>
                  <w:tcW w:w="1255" w:type="dxa"/>
                  <w:shd w:val="clear" w:color="auto" w:fill="auto"/>
                  <w:noWrap w:val="0"/>
                  <w:vAlign w:val="center"/>
                </w:tcPr>
                <w:p w14:paraId="5856475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noWrap w:val="0"/>
                  <w:vAlign w:val="center"/>
                </w:tcPr>
                <w:p w14:paraId="3C64E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496DDF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32.4</w:t>
                  </w:r>
                </w:p>
              </w:tc>
              <w:tc>
                <w:tcPr>
                  <w:tcW w:w="1104" w:type="dxa"/>
                  <w:vMerge w:val="continue"/>
                  <w:noWrap w:val="0"/>
                  <w:vAlign w:val="center"/>
                </w:tcPr>
                <w:p w14:paraId="71FFC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3B0EFB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4C814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218B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88" w:type="dxa"/>
                  <w:vMerge w:val="continue"/>
                  <w:noWrap w:val="0"/>
                  <w:vAlign w:val="top"/>
                </w:tcPr>
                <w:p w14:paraId="2FE052C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085F592">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蒸汽锅炉</w:t>
                  </w:r>
                </w:p>
              </w:tc>
              <w:tc>
                <w:tcPr>
                  <w:tcW w:w="1255" w:type="dxa"/>
                  <w:shd w:val="clear" w:color="auto" w:fill="auto"/>
                  <w:noWrap w:val="0"/>
                  <w:vAlign w:val="center"/>
                </w:tcPr>
                <w:p w14:paraId="1D0317F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51.0</w:t>
                  </w:r>
                </w:p>
              </w:tc>
              <w:tc>
                <w:tcPr>
                  <w:tcW w:w="864" w:type="dxa"/>
                  <w:noWrap w:val="0"/>
                  <w:vAlign w:val="center"/>
                </w:tcPr>
                <w:p w14:paraId="759A08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90</w:t>
                  </w:r>
                </w:p>
              </w:tc>
              <w:tc>
                <w:tcPr>
                  <w:tcW w:w="974" w:type="dxa"/>
                  <w:noWrap w:val="0"/>
                  <w:vAlign w:val="center"/>
                </w:tcPr>
                <w:p w14:paraId="60C51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11.9</w:t>
                  </w:r>
                </w:p>
              </w:tc>
              <w:tc>
                <w:tcPr>
                  <w:tcW w:w="1104" w:type="dxa"/>
                  <w:vMerge w:val="continue"/>
                  <w:noWrap w:val="0"/>
                  <w:vAlign w:val="center"/>
                </w:tcPr>
                <w:p w14:paraId="4F9A7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5F445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62E9E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2AD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88" w:type="dxa"/>
                  <w:vMerge w:val="continue"/>
                  <w:noWrap w:val="0"/>
                  <w:vAlign w:val="top"/>
                </w:tcPr>
                <w:p w14:paraId="2E33BAA8">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1F6E568">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油烟风机</w:t>
                  </w:r>
                </w:p>
              </w:tc>
              <w:tc>
                <w:tcPr>
                  <w:tcW w:w="1255" w:type="dxa"/>
                  <w:shd w:val="clear" w:color="auto" w:fill="auto"/>
                  <w:noWrap w:val="0"/>
                  <w:vAlign w:val="center"/>
                </w:tcPr>
                <w:p w14:paraId="5A53E56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85.0</w:t>
                  </w:r>
                </w:p>
              </w:tc>
              <w:tc>
                <w:tcPr>
                  <w:tcW w:w="864" w:type="dxa"/>
                  <w:noWrap w:val="0"/>
                  <w:vAlign w:val="center"/>
                </w:tcPr>
                <w:p w14:paraId="48E5F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85</w:t>
                  </w:r>
                </w:p>
              </w:tc>
              <w:tc>
                <w:tcPr>
                  <w:tcW w:w="974" w:type="dxa"/>
                  <w:noWrap w:val="0"/>
                  <w:vAlign w:val="center"/>
                </w:tcPr>
                <w:p w14:paraId="2DED4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46.4</w:t>
                  </w:r>
                </w:p>
              </w:tc>
              <w:tc>
                <w:tcPr>
                  <w:tcW w:w="1104" w:type="dxa"/>
                  <w:vMerge w:val="continue"/>
                  <w:noWrap w:val="0"/>
                  <w:vAlign w:val="center"/>
                </w:tcPr>
                <w:p w14:paraId="217BA6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2924E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C5BA7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2C4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688" w:type="dxa"/>
                  <w:vMerge w:val="continue"/>
                  <w:noWrap w:val="0"/>
                  <w:vAlign w:val="top"/>
                </w:tcPr>
                <w:p w14:paraId="08626E0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3D294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污水设施风机</w:t>
                  </w:r>
                </w:p>
              </w:tc>
              <w:tc>
                <w:tcPr>
                  <w:tcW w:w="1255" w:type="dxa"/>
                  <w:shd w:val="clear" w:color="auto" w:fill="auto"/>
                  <w:noWrap w:val="0"/>
                  <w:vAlign w:val="center"/>
                </w:tcPr>
                <w:p w14:paraId="1EFC4AA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noWrap w:val="0"/>
                  <w:vAlign w:val="center"/>
                </w:tcPr>
                <w:p w14:paraId="73B288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85</w:t>
                  </w:r>
                </w:p>
              </w:tc>
              <w:tc>
                <w:tcPr>
                  <w:tcW w:w="974" w:type="dxa"/>
                  <w:noWrap w:val="0"/>
                  <w:vAlign w:val="center"/>
                </w:tcPr>
                <w:p w14:paraId="65CD0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36.4</w:t>
                  </w:r>
                </w:p>
              </w:tc>
              <w:tc>
                <w:tcPr>
                  <w:tcW w:w="1104" w:type="dxa"/>
                  <w:vMerge w:val="continue"/>
                  <w:noWrap w:val="0"/>
                  <w:vAlign w:val="center"/>
                </w:tcPr>
                <w:p w14:paraId="090663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1DFD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14CBD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687F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88" w:type="dxa"/>
                  <w:vMerge w:val="continue"/>
                  <w:noWrap w:val="0"/>
                  <w:vAlign w:val="top"/>
                </w:tcPr>
                <w:p w14:paraId="7F8DD0C6">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347C46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污水处理</w:t>
                  </w:r>
                </w:p>
                <w:p w14:paraId="0BFC63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设施</w:t>
                  </w:r>
                </w:p>
              </w:tc>
              <w:tc>
                <w:tcPr>
                  <w:tcW w:w="1255" w:type="dxa"/>
                  <w:shd w:val="clear" w:color="auto" w:fill="auto"/>
                  <w:noWrap w:val="0"/>
                  <w:vAlign w:val="center"/>
                </w:tcPr>
                <w:p w14:paraId="5B24060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noWrap w:val="0"/>
                  <w:vAlign w:val="center"/>
                </w:tcPr>
                <w:p w14:paraId="04C23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70</w:t>
                  </w:r>
                </w:p>
              </w:tc>
              <w:tc>
                <w:tcPr>
                  <w:tcW w:w="974" w:type="dxa"/>
                  <w:noWrap w:val="0"/>
                  <w:vAlign w:val="center"/>
                </w:tcPr>
                <w:p w14:paraId="30F5D7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38.1</w:t>
                  </w:r>
                </w:p>
              </w:tc>
              <w:tc>
                <w:tcPr>
                  <w:tcW w:w="1104" w:type="dxa"/>
                  <w:vMerge w:val="continue"/>
                  <w:noWrap w:val="0"/>
                  <w:vAlign w:val="center"/>
                </w:tcPr>
                <w:p w14:paraId="521235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B9E7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A2A1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86C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8" w:type="dxa"/>
                  <w:vMerge w:val="restart"/>
                  <w:noWrap w:val="0"/>
                  <w:vAlign w:val="center"/>
                </w:tcPr>
                <w:p w14:paraId="678F6566">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南厂界</w:t>
                  </w:r>
                </w:p>
              </w:tc>
              <w:tc>
                <w:tcPr>
                  <w:tcW w:w="1158" w:type="dxa"/>
                  <w:shd w:val="clear" w:color="auto" w:fill="auto"/>
                  <w:noWrap w:val="0"/>
                  <w:vAlign w:val="center"/>
                </w:tcPr>
                <w:p w14:paraId="6B0111BA">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粉碎机</w:t>
                  </w:r>
                </w:p>
              </w:tc>
              <w:tc>
                <w:tcPr>
                  <w:tcW w:w="1255" w:type="dxa"/>
                  <w:shd w:val="clear" w:color="auto" w:fill="auto"/>
                  <w:noWrap w:val="0"/>
                  <w:vAlign w:val="center"/>
                </w:tcPr>
                <w:p w14:paraId="38A4BCC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59.6</w:t>
                  </w:r>
                </w:p>
              </w:tc>
              <w:tc>
                <w:tcPr>
                  <w:tcW w:w="864" w:type="dxa"/>
                  <w:noWrap w:val="0"/>
                  <w:vAlign w:val="center"/>
                </w:tcPr>
                <w:p w14:paraId="181E91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14C49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39.6</w:t>
                  </w:r>
                </w:p>
              </w:tc>
              <w:tc>
                <w:tcPr>
                  <w:tcW w:w="1104" w:type="dxa"/>
                  <w:vMerge w:val="restart"/>
                  <w:noWrap w:val="0"/>
                  <w:vAlign w:val="center"/>
                </w:tcPr>
                <w:p w14:paraId="51E68D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50.4</w:t>
                  </w:r>
                </w:p>
              </w:tc>
              <w:tc>
                <w:tcPr>
                  <w:tcW w:w="1111" w:type="dxa"/>
                  <w:vMerge w:val="restart"/>
                  <w:noWrap w:val="0"/>
                  <w:vAlign w:val="center"/>
                </w:tcPr>
                <w:p w14:paraId="1BFB1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60</w:t>
                  </w:r>
                </w:p>
              </w:tc>
              <w:tc>
                <w:tcPr>
                  <w:tcW w:w="862" w:type="dxa"/>
                  <w:vMerge w:val="restart"/>
                  <w:noWrap w:val="0"/>
                  <w:vAlign w:val="center"/>
                </w:tcPr>
                <w:p w14:paraId="03355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达标</w:t>
                  </w:r>
                </w:p>
              </w:tc>
            </w:tr>
            <w:tr w14:paraId="060A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8" w:type="dxa"/>
                  <w:vMerge w:val="continue"/>
                  <w:noWrap w:val="0"/>
                  <w:vAlign w:val="center"/>
                </w:tcPr>
                <w:p w14:paraId="2B7BE911">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4E38EE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shd w:val="clear" w:color="auto" w:fill="auto"/>
                  <w:noWrap w:val="0"/>
                  <w:vAlign w:val="center"/>
                </w:tcPr>
                <w:p w14:paraId="3858653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37.0</w:t>
                  </w:r>
                </w:p>
              </w:tc>
              <w:tc>
                <w:tcPr>
                  <w:tcW w:w="864" w:type="dxa"/>
                  <w:noWrap w:val="0"/>
                  <w:vAlign w:val="center"/>
                </w:tcPr>
                <w:p w14:paraId="2554DA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5E4E9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17.0</w:t>
                  </w:r>
                </w:p>
              </w:tc>
              <w:tc>
                <w:tcPr>
                  <w:tcW w:w="1104" w:type="dxa"/>
                  <w:vMerge w:val="continue"/>
                  <w:noWrap w:val="0"/>
                  <w:vAlign w:val="center"/>
                </w:tcPr>
                <w:p w14:paraId="079A60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noWrap w:val="0"/>
                  <w:vAlign w:val="center"/>
                </w:tcPr>
                <w:p w14:paraId="76392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noWrap w:val="0"/>
                  <w:vAlign w:val="center"/>
                </w:tcPr>
                <w:p w14:paraId="12103D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A0F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8" w:type="dxa"/>
                  <w:vMerge w:val="continue"/>
                  <w:noWrap w:val="0"/>
                  <w:vAlign w:val="center"/>
                </w:tcPr>
                <w:p w14:paraId="35A3F3E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7DEA8904">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w:t>
                  </w:r>
                </w:p>
                <w:p w14:paraId="6B17228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蒸煮锅</w:t>
                  </w:r>
                </w:p>
              </w:tc>
              <w:tc>
                <w:tcPr>
                  <w:tcW w:w="1255" w:type="dxa"/>
                  <w:shd w:val="clear" w:color="auto" w:fill="auto"/>
                  <w:noWrap w:val="0"/>
                  <w:vAlign w:val="center"/>
                </w:tcPr>
                <w:p w14:paraId="285DB0A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37.0</w:t>
                  </w:r>
                </w:p>
              </w:tc>
              <w:tc>
                <w:tcPr>
                  <w:tcW w:w="864" w:type="dxa"/>
                  <w:noWrap w:val="0"/>
                  <w:vAlign w:val="center"/>
                </w:tcPr>
                <w:p w14:paraId="7B508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68D1AD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17.0</w:t>
                  </w:r>
                </w:p>
              </w:tc>
              <w:tc>
                <w:tcPr>
                  <w:tcW w:w="1104" w:type="dxa"/>
                  <w:vMerge w:val="continue"/>
                  <w:noWrap w:val="0"/>
                  <w:vAlign w:val="center"/>
                </w:tcPr>
                <w:p w14:paraId="7CAFA2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noWrap w:val="0"/>
                  <w:vAlign w:val="center"/>
                </w:tcPr>
                <w:p w14:paraId="7FC03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noWrap w:val="0"/>
                  <w:vAlign w:val="center"/>
                </w:tcPr>
                <w:p w14:paraId="00176F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199B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688" w:type="dxa"/>
                  <w:vMerge w:val="continue"/>
                  <w:noWrap w:val="0"/>
                  <w:vAlign w:val="center"/>
                </w:tcPr>
                <w:p w14:paraId="0CCC9F6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5478EB6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#1静置罐</w:t>
                  </w:r>
                </w:p>
              </w:tc>
              <w:tc>
                <w:tcPr>
                  <w:tcW w:w="1255" w:type="dxa"/>
                  <w:shd w:val="clear" w:color="auto" w:fill="auto"/>
                  <w:noWrap w:val="0"/>
                  <w:vAlign w:val="center"/>
                </w:tcPr>
                <w:p w14:paraId="0E5A3FF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34.0</w:t>
                  </w:r>
                </w:p>
              </w:tc>
              <w:tc>
                <w:tcPr>
                  <w:tcW w:w="864" w:type="dxa"/>
                  <w:noWrap w:val="0"/>
                  <w:vAlign w:val="center"/>
                </w:tcPr>
                <w:p w14:paraId="04838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3FCAF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noWrap w:val="0"/>
                  <w:vAlign w:val="center"/>
                </w:tcPr>
                <w:p w14:paraId="371945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noWrap w:val="0"/>
                  <w:vAlign w:val="center"/>
                </w:tcPr>
                <w:p w14:paraId="4874E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noWrap w:val="0"/>
                  <w:vAlign w:val="center"/>
                </w:tcPr>
                <w:p w14:paraId="03AB3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53F7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688" w:type="dxa"/>
                  <w:vMerge w:val="continue"/>
                  <w:noWrap w:val="0"/>
                  <w:vAlign w:val="center"/>
                </w:tcPr>
                <w:p w14:paraId="1C9B2DD6">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6BE3F5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#2静置罐</w:t>
                  </w:r>
                </w:p>
              </w:tc>
              <w:tc>
                <w:tcPr>
                  <w:tcW w:w="1255" w:type="dxa"/>
                  <w:shd w:val="clear" w:color="auto" w:fill="auto"/>
                  <w:noWrap w:val="0"/>
                  <w:vAlign w:val="center"/>
                </w:tcPr>
                <w:p w14:paraId="1C601B2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34.0</w:t>
                  </w:r>
                </w:p>
              </w:tc>
              <w:tc>
                <w:tcPr>
                  <w:tcW w:w="864" w:type="dxa"/>
                  <w:noWrap w:val="0"/>
                  <w:vAlign w:val="center"/>
                </w:tcPr>
                <w:p w14:paraId="2301CF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34BB4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14.0</w:t>
                  </w:r>
                </w:p>
              </w:tc>
              <w:tc>
                <w:tcPr>
                  <w:tcW w:w="1104" w:type="dxa"/>
                  <w:vMerge w:val="continue"/>
                  <w:noWrap w:val="0"/>
                  <w:vAlign w:val="center"/>
                </w:tcPr>
                <w:p w14:paraId="59E772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noWrap w:val="0"/>
                  <w:vAlign w:val="center"/>
                </w:tcPr>
                <w:p w14:paraId="0EF1D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noWrap w:val="0"/>
                  <w:vAlign w:val="center"/>
                </w:tcPr>
                <w:p w14:paraId="18A445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2856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8" w:type="dxa"/>
                  <w:vMerge w:val="continue"/>
                  <w:noWrap w:val="0"/>
                  <w:vAlign w:val="center"/>
                </w:tcPr>
                <w:p w14:paraId="723495E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0642B76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浓缩锅</w:t>
                  </w:r>
                </w:p>
              </w:tc>
              <w:tc>
                <w:tcPr>
                  <w:tcW w:w="1255" w:type="dxa"/>
                  <w:shd w:val="clear" w:color="auto" w:fill="auto"/>
                  <w:noWrap w:val="0"/>
                  <w:vAlign w:val="center"/>
                </w:tcPr>
                <w:p w14:paraId="0B0560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32.5</w:t>
                  </w:r>
                </w:p>
              </w:tc>
              <w:tc>
                <w:tcPr>
                  <w:tcW w:w="864" w:type="dxa"/>
                  <w:noWrap w:val="0"/>
                  <w:vAlign w:val="center"/>
                </w:tcPr>
                <w:p w14:paraId="55275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35A9E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12.5</w:t>
                  </w:r>
                </w:p>
              </w:tc>
              <w:tc>
                <w:tcPr>
                  <w:tcW w:w="1104" w:type="dxa"/>
                  <w:vMerge w:val="continue"/>
                  <w:noWrap w:val="0"/>
                  <w:vAlign w:val="center"/>
                </w:tcPr>
                <w:p w14:paraId="3A58B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1111" w:type="dxa"/>
                  <w:vMerge w:val="continue"/>
                  <w:noWrap w:val="0"/>
                  <w:vAlign w:val="center"/>
                </w:tcPr>
                <w:p w14:paraId="47787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c>
                <w:tcPr>
                  <w:tcW w:w="862" w:type="dxa"/>
                  <w:vMerge w:val="continue"/>
                  <w:noWrap w:val="0"/>
                  <w:vAlign w:val="center"/>
                </w:tcPr>
                <w:p w14:paraId="4E787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r w14:paraId="4246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688" w:type="dxa"/>
                  <w:vMerge w:val="continue"/>
                  <w:noWrap w:val="0"/>
                  <w:vAlign w:val="top"/>
                </w:tcPr>
                <w:p w14:paraId="059AB99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50E2D1A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过滤器</w:t>
                  </w:r>
                </w:p>
              </w:tc>
              <w:tc>
                <w:tcPr>
                  <w:tcW w:w="1255" w:type="dxa"/>
                  <w:shd w:val="clear" w:color="auto" w:fill="auto"/>
                  <w:noWrap w:val="0"/>
                  <w:vAlign w:val="center"/>
                </w:tcPr>
                <w:p w14:paraId="7D7A7D0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38.2</w:t>
                  </w:r>
                </w:p>
              </w:tc>
              <w:tc>
                <w:tcPr>
                  <w:tcW w:w="864" w:type="dxa"/>
                  <w:noWrap w:val="0"/>
                  <w:vAlign w:val="center"/>
                </w:tcPr>
                <w:p w14:paraId="60F95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3D9D8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18.2</w:t>
                  </w:r>
                </w:p>
              </w:tc>
              <w:tc>
                <w:tcPr>
                  <w:tcW w:w="1104" w:type="dxa"/>
                  <w:vMerge w:val="continue"/>
                  <w:noWrap w:val="0"/>
                  <w:vAlign w:val="center"/>
                </w:tcPr>
                <w:p w14:paraId="462334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90A9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9D2F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31B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4803D8A0">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3CF92BFB">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高压均</w:t>
                  </w:r>
                </w:p>
                <w:p w14:paraId="56DED1E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质机</w:t>
                  </w:r>
                </w:p>
              </w:tc>
              <w:tc>
                <w:tcPr>
                  <w:tcW w:w="1255" w:type="dxa"/>
                  <w:shd w:val="clear" w:color="auto" w:fill="auto"/>
                  <w:noWrap w:val="0"/>
                  <w:vAlign w:val="center"/>
                </w:tcPr>
                <w:p w14:paraId="01891F9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32.5</w:t>
                  </w:r>
                </w:p>
              </w:tc>
              <w:tc>
                <w:tcPr>
                  <w:tcW w:w="864" w:type="dxa"/>
                  <w:noWrap w:val="0"/>
                  <w:vAlign w:val="center"/>
                </w:tcPr>
                <w:p w14:paraId="1F9D6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7BC74F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12.5</w:t>
                  </w:r>
                </w:p>
              </w:tc>
              <w:tc>
                <w:tcPr>
                  <w:tcW w:w="1104" w:type="dxa"/>
                  <w:vMerge w:val="continue"/>
                  <w:noWrap w:val="0"/>
                  <w:vAlign w:val="center"/>
                </w:tcPr>
                <w:p w14:paraId="7A2E4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1553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5A0D5A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445C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7777E8A5">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794CE31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调配罐</w:t>
                  </w:r>
                </w:p>
              </w:tc>
              <w:tc>
                <w:tcPr>
                  <w:tcW w:w="1255" w:type="dxa"/>
                  <w:shd w:val="clear" w:color="auto" w:fill="auto"/>
                  <w:noWrap w:val="0"/>
                  <w:vAlign w:val="center"/>
                </w:tcPr>
                <w:p w14:paraId="6B8298A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37.0</w:t>
                  </w:r>
                </w:p>
              </w:tc>
              <w:tc>
                <w:tcPr>
                  <w:tcW w:w="864" w:type="dxa"/>
                  <w:shd w:val="clear" w:color="auto" w:fill="auto"/>
                  <w:noWrap w:val="0"/>
                  <w:vAlign w:val="center"/>
                </w:tcPr>
                <w:p w14:paraId="7D1A7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2FFF6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17.0</w:t>
                  </w:r>
                </w:p>
              </w:tc>
              <w:tc>
                <w:tcPr>
                  <w:tcW w:w="1104" w:type="dxa"/>
                  <w:vMerge w:val="continue"/>
                  <w:noWrap w:val="0"/>
                  <w:vAlign w:val="center"/>
                </w:tcPr>
                <w:p w14:paraId="55025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1A7A0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8A4F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2D9E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349C244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1DA5D06">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灌装车</w:t>
                  </w:r>
                </w:p>
              </w:tc>
              <w:tc>
                <w:tcPr>
                  <w:tcW w:w="1255" w:type="dxa"/>
                  <w:shd w:val="clear" w:color="auto" w:fill="auto"/>
                  <w:noWrap w:val="0"/>
                  <w:vAlign w:val="center"/>
                </w:tcPr>
                <w:p w14:paraId="565B57F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17.3</w:t>
                  </w:r>
                </w:p>
              </w:tc>
              <w:tc>
                <w:tcPr>
                  <w:tcW w:w="864" w:type="dxa"/>
                  <w:shd w:val="clear" w:color="auto" w:fill="auto"/>
                  <w:noWrap w:val="0"/>
                  <w:vAlign w:val="center"/>
                </w:tcPr>
                <w:p w14:paraId="099E4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0F8D7D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123B6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A9141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5B8C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4A36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75E5E38B">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687C4F2">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热水罐</w:t>
                  </w:r>
                </w:p>
              </w:tc>
              <w:tc>
                <w:tcPr>
                  <w:tcW w:w="1255" w:type="dxa"/>
                  <w:shd w:val="clear" w:color="auto" w:fill="auto"/>
                  <w:noWrap w:val="0"/>
                  <w:vAlign w:val="center"/>
                </w:tcPr>
                <w:p w14:paraId="1318728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31.3</w:t>
                  </w:r>
                </w:p>
              </w:tc>
              <w:tc>
                <w:tcPr>
                  <w:tcW w:w="864" w:type="dxa"/>
                  <w:shd w:val="clear" w:color="auto" w:fill="auto"/>
                  <w:noWrap w:val="0"/>
                  <w:vAlign w:val="center"/>
                </w:tcPr>
                <w:p w14:paraId="6C6DD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554359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11.3</w:t>
                  </w:r>
                </w:p>
              </w:tc>
              <w:tc>
                <w:tcPr>
                  <w:tcW w:w="1104" w:type="dxa"/>
                  <w:vMerge w:val="continue"/>
                  <w:noWrap w:val="0"/>
                  <w:vAlign w:val="center"/>
                </w:tcPr>
                <w:p w14:paraId="7F054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2FDD6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04298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F90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68B6062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09EEA31C">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打包机</w:t>
                  </w:r>
                </w:p>
              </w:tc>
              <w:tc>
                <w:tcPr>
                  <w:tcW w:w="1255" w:type="dxa"/>
                  <w:shd w:val="clear" w:color="auto" w:fill="auto"/>
                  <w:noWrap w:val="0"/>
                  <w:vAlign w:val="center"/>
                </w:tcPr>
                <w:p w14:paraId="6EF002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25.6</w:t>
                  </w:r>
                </w:p>
              </w:tc>
              <w:tc>
                <w:tcPr>
                  <w:tcW w:w="864" w:type="dxa"/>
                  <w:shd w:val="clear" w:color="auto" w:fill="auto"/>
                  <w:noWrap w:val="0"/>
                  <w:vAlign w:val="center"/>
                </w:tcPr>
                <w:p w14:paraId="067B68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141ED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5.6</w:t>
                  </w:r>
                </w:p>
              </w:tc>
              <w:tc>
                <w:tcPr>
                  <w:tcW w:w="1104" w:type="dxa"/>
                  <w:vMerge w:val="continue"/>
                  <w:noWrap w:val="0"/>
                  <w:vAlign w:val="center"/>
                </w:tcPr>
                <w:p w14:paraId="5092F6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DD17F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1D831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468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2C2B556E">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112F4B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#1炒制锅</w:t>
                  </w:r>
                </w:p>
              </w:tc>
              <w:tc>
                <w:tcPr>
                  <w:tcW w:w="1255" w:type="dxa"/>
                  <w:shd w:val="clear" w:color="auto" w:fill="auto"/>
                  <w:noWrap w:val="0"/>
                  <w:vAlign w:val="center"/>
                </w:tcPr>
                <w:p w14:paraId="13E3507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8.0</w:t>
                  </w:r>
                </w:p>
              </w:tc>
              <w:tc>
                <w:tcPr>
                  <w:tcW w:w="864" w:type="dxa"/>
                  <w:shd w:val="clear" w:color="auto" w:fill="auto"/>
                  <w:noWrap w:val="0"/>
                  <w:vAlign w:val="center"/>
                </w:tcPr>
                <w:p w14:paraId="6EC12E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0625E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3C1D7F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8AFF2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C74F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2788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37EBEF9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6AFD1AC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#2炒制锅</w:t>
                  </w:r>
                </w:p>
              </w:tc>
              <w:tc>
                <w:tcPr>
                  <w:tcW w:w="1255" w:type="dxa"/>
                  <w:shd w:val="clear" w:color="auto" w:fill="auto"/>
                  <w:noWrap w:val="0"/>
                  <w:vAlign w:val="center"/>
                </w:tcPr>
                <w:p w14:paraId="129320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8.0</w:t>
                  </w:r>
                </w:p>
              </w:tc>
              <w:tc>
                <w:tcPr>
                  <w:tcW w:w="864" w:type="dxa"/>
                  <w:shd w:val="clear" w:color="auto" w:fill="auto"/>
                  <w:noWrap w:val="0"/>
                  <w:vAlign w:val="center"/>
                </w:tcPr>
                <w:p w14:paraId="42643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670E8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76574B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F42E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46039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28C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688" w:type="dxa"/>
                  <w:vMerge w:val="continue"/>
                  <w:noWrap w:val="0"/>
                  <w:vAlign w:val="top"/>
                </w:tcPr>
                <w:p w14:paraId="75BCA7B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4E4078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#3炒制锅</w:t>
                  </w:r>
                </w:p>
              </w:tc>
              <w:tc>
                <w:tcPr>
                  <w:tcW w:w="1255" w:type="dxa"/>
                  <w:shd w:val="clear" w:color="auto" w:fill="auto"/>
                  <w:noWrap w:val="0"/>
                  <w:vAlign w:val="center"/>
                </w:tcPr>
                <w:p w14:paraId="66E1029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8.0</w:t>
                  </w:r>
                </w:p>
              </w:tc>
              <w:tc>
                <w:tcPr>
                  <w:tcW w:w="864" w:type="dxa"/>
                  <w:shd w:val="clear" w:color="auto" w:fill="auto"/>
                  <w:noWrap w:val="0"/>
                  <w:vAlign w:val="center"/>
                </w:tcPr>
                <w:p w14:paraId="7D6C8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5DDA51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24596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450E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58B5D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5A15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40CD73B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12F78A8">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搅拌锅</w:t>
                  </w:r>
                </w:p>
              </w:tc>
              <w:tc>
                <w:tcPr>
                  <w:tcW w:w="1255" w:type="dxa"/>
                  <w:shd w:val="clear" w:color="auto" w:fill="auto"/>
                  <w:noWrap w:val="0"/>
                  <w:vAlign w:val="center"/>
                </w:tcPr>
                <w:p w14:paraId="6CEFF3B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10.5</w:t>
                  </w:r>
                </w:p>
              </w:tc>
              <w:tc>
                <w:tcPr>
                  <w:tcW w:w="864" w:type="dxa"/>
                  <w:shd w:val="clear" w:color="auto" w:fill="auto"/>
                  <w:noWrap w:val="0"/>
                  <w:vAlign w:val="center"/>
                </w:tcPr>
                <w:p w14:paraId="4DADE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59F992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104" w:type="dxa"/>
                  <w:vMerge w:val="continue"/>
                  <w:noWrap w:val="0"/>
                  <w:vAlign w:val="center"/>
                </w:tcPr>
                <w:p w14:paraId="70AF7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744DD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48D94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34B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88" w:type="dxa"/>
                  <w:vMerge w:val="continue"/>
                  <w:noWrap w:val="0"/>
                  <w:vAlign w:val="top"/>
                </w:tcPr>
                <w:p w14:paraId="2843F02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5DCE11F3">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真空包</w:t>
                  </w:r>
                </w:p>
                <w:p w14:paraId="4B1035AF">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装机</w:t>
                  </w:r>
                </w:p>
              </w:tc>
              <w:tc>
                <w:tcPr>
                  <w:tcW w:w="1255" w:type="dxa"/>
                  <w:shd w:val="clear" w:color="auto" w:fill="auto"/>
                  <w:noWrap w:val="0"/>
                  <w:vAlign w:val="center"/>
                </w:tcPr>
                <w:p w14:paraId="0E9257F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21.5</w:t>
                  </w:r>
                </w:p>
              </w:tc>
              <w:tc>
                <w:tcPr>
                  <w:tcW w:w="864" w:type="dxa"/>
                  <w:shd w:val="clear" w:color="auto" w:fill="auto"/>
                  <w:noWrap w:val="0"/>
                  <w:vAlign w:val="center"/>
                </w:tcPr>
                <w:p w14:paraId="7A4D2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3976B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1.5</w:t>
                  </w:r>
                </w:p>
              </w:tc>
              <w:tc>
                <w:tcPr>
                  <w:tcW w:w="1104" w:type="dxa"/>
                  <w:vMerge w:val="continue"/>
                  <w:noWrap w:val="0"/>
                  <w:vAlign w:val="center"/>
                </w:tcPr>
                <w:p w14:paraId="3E5556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31F0E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4F4D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016A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688" w:type="dxa"/>
                  <w:vMerge w:val="continue"/>
                  <w:noWrap w:val="0"/>
                  <w:vAlign w:val="top"/>
                </w:tcPr>
                <w:p w14:paraId="4FAAE59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48F8230">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切菜机</w:t>
                  </w:r>
                </w:p>
              </w:tc>
              <w:tc>
                <w:tcPr>
                  <w:tcW w:w="1255" w:type="dxa"/>
                  <w:shd w:val="clear" w:color="auto" w:fill="auto"/>
                  <w:noWrap w:val="0"/>
                  <w:vAlign w:val="center"/>
                </w:tcPr>
                <w:p w14:paraId="34FC31C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48.2</w:t>
                  </w:r>
                </w:p>
              </w:tc>
              <w:tc>
                <w:tcPr>
                  <w:tcW w:w="864" w:type="dxa"/>
                  <w:shd w:val="clear" w:color="auto" w:fill="auto"/>
                  <w:noWrap w:val="0"/>
                  <w:vAlign w:val="center"/>
                </w:tcPr>
                <w:p w14:paraId="0A58A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7012D0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28.2</w:t>
                  </w:r>
                </w:p>
              </w:tc>
              <w:tc>
                <w:tcPr>
                  <w:tcW w:w="1104" w:type="dxa"/>
                  <w:vMerge w:val="continue"/>
                  <w:noWrap w:val="0"/>
                  <w:vAlign w:val="center"/>
                </w:tcPr>
                <w:p w14:paraId="24E25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5142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2603AB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5967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8" w:type="dxa"/>
                  <w:vMerge w:val="continue"/>
                  <w:noWrap w:val="0"/>
                  <w:vAlign w:val="top"/>
                </w:tcPr>
                <w:p w14:paraId="1BDA136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1C368C44">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#1腌制罐</w:t>
                  </w:r>
                </w:p>
              </w:tc>
              <w:tc>
                <w:tcPr>
                  <w:tcW w:w="1255" w:type="dxa"/>
                  <w:shd w:val="clear" w:color="auto" w:fill="auto"/>
                  <w:noWrap w:val="0"/>
                  <w:vAlign w:val="center"/>
                </w:tcPr>
                <w:p w14:paraId="7F5185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51.8</w:t>
                  </w:r>
                </w:p>
              </w:tc>
              <w:tc>
                <w:tcPr>
                  <w:tcW w:w="864" w:type="dxa"/>
                  <w:shd w:val="clear" w:color="auto" w:fill="auto"/>
                  <w:noWrap w:val="0"/>
                  <w:vAlign w:val="center"/>
                </w:tcPr>
                <w:p w14:paraId="1219A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5265C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31.8</w:t>
                  </w:r>
                </w:p>
              </w:tc>
              <w:tc>
                <w:tcPr>
                  <w:tcW w:w="1104" w:type="dxa"/>
                  <w:vMerge w:val="continue"/>
                  <w:noWrap w:val="0"/>
                  <w:vAlign w:val="center"/>
                </w:tcPr>
                <w:p w14:paraId="3BC7B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2938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7DDB7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7861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688" w:type="dxa"/>
                  <w:vMerge w:val="continue"/>
                  <w:noWrap w:val="0"/>
                  <w:vAlign w:val="top"/>
                </w:tcPr>
                <w:p w14:paraId="2BC0C0ED">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0CD01380">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#2腌制罐</w:t>
                  </w:r>
                </w:p>
              </w:tc>
              <w:tc>
                <w:tcPr>
                  <w:tcW w:w="1255" w:type="dxa"/>
                  <w:shd w:val="clear" w:color="auto" w:fill="auto"/>
                  <w:noWrap w:val="0"/>
                  <w:vAlign w:val="center"/>
                </w:tcPr>
                <w:p w14:paraId="176A9E2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39"/>
                      <w:rFonts w:hint="eastAsia" w:eastAsia="宋体"/>
                      <w:color w:val="auto"/>
                      <w:sz w:val="21"/>
                      <w:szCs w:val="21"/>
                      <w:highlight w:val="none"/>
                      <w:lang w:val="en-US" w:eastAsia="zh-CN" w:bidi="ar"/>
                    </w:rPr>
                    <w:t>48.0</w:t>
                  </w:r>
                </w:p>
              </w:tc>
              <w:tc>
                <w:tcPr>
                  <w:tcW w:w="864" w:type="dxa"/>
                  <w:shd w:val="clear" w:color="auto" w:fill="auto"/>
                  <w:noWrap w:val="0"/>
                  <w:vAlign w:val="center"/>
                </w:tcPr>
                <w:p w14:paraId="6884C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974" w:type="dxa"/>
                  <w:noWrap w:val="0"/>
                  <w:vAlign w:val="center"/>
                </w:tcPr>
                <w:p w14:paraId="259183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28.0</w:t>
                  </w:r>
                </w:p>
              </w:tc>
              <w:tc>
                <w:tcPr>
                  <w:tcW w:w="1104" w:type="dxa"/>
                  <w:vMerge w:val="continue"/>
                  <w:noWrap w:val="0"/>
                  <w:vAlign w:val="center"/>
                </w:tcPr>
                <w:p w14:paraId="757F3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38CB2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9EE8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239F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dxa"/>
                  <w:vMerge w:val="continue"/>
                  <w:noWrap w:val="0"/>
                  <w:vAlign w:val="top"/>
                </w:tcPr>
                <w:p w14:paraId="28B9C7DF">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20B4E6B4">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单层搅</w:t>
                  </w:r>
                </w:p>
                <w:p w14:paraId="3A5B703E">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拌锅</w:t>
                  </w:r>
                </w:p>
              </w:tc>
              <w:tc>
                <w:tcPr>
                  <w:tcW w:w="1255" w:type="dxa"/>
                  <w:shd w:val="clear" w:color="auto" w:fill="auto"/>
                  <w:noWrap w:val="0"/>
                  <w:vAlign w:val="center"/>
                </w:tcPr>
                <w:p w14:paraId="2703494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sz w:val="21"/>
                      <w:szCs w:val="21"/>
                      <w:highlight w:val="none"/>
                      <w:lang w:val="en-US" w:eastAsia="zh-CN" w:bidi="ar"/>
                    </w:rPr>
                    <w:t>52.4</w:t>
                  </w:r>
                </w:p>
              </w:tc>
              <w:tc>
                <w:tcPr>
                  <w:tcW w:w="864" w:type="dxa"/>
                  <w:shd w:val="clear" w:color="auto" w:fill="auto"/>
                  <w:noWrap w:val="0"/>
                  <w:vAlign w:val="center"/>
                </w:tcPr>
                <w:p w14:paraId="3FBB8D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974" w:type="dxa"/>
                  <w:noWrap w:val="0"/>
                  <w:vAlign w:val="center"/>
                </w:tcPr>
                <w:p w14:paraId="7B6BB1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32.4</w:t>
                  </w:r>
                </w:p>
              </w:tc>
              <w:tc>
                <w:tcPr>
                  <w:tcW w:w="1104" w:type="dxa"/>
                  <w:vMerge w:val="continue"/>
                  <w:noWrap w:val="0"/>
                  <w:vAlign w:val="center"/>
                </w:tcPr>
                <w:p w14:paraId="4EAB1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6B101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429E9C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05AC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688" w:type="dxa"/>
                  <w:vMerge w:val="continue"/>
                  <w:noWrap w:val="0"/>
                  <w:vAlign w:val="top"/>
                </w:tcPr>
                <w:p w14:paraId="670393C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654D6E9F">
                  <w:pPr>
                    <w:keepNext w:val="0"/>
                    <w:keepLines w:val="0"/>
                    <w:pageBreakBefore w:val="0"/>
                    <w:kinsoku/>
                    <w:wordWrap/>
                    <w:overflowPunct/>
                    <w:topLinePunct w:val="0"/>
                    <w:autoSpaceDE/>
                    <w:autoSpaceDN/>
                    <w:bidi w:val="0"/>
                    <w:adjustRightInd/>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蒸汽锅炉</w:t>
                  </w:r>
                </w:p>
              </w:tc>
              <w:tc>
                <w:tcPr>
                  <w:tcW w:w="1255" w:type="dxa"/>
                  <w:shd w:val="clear" w:color="auto" w:fill="auto"/>
                  <w:noWrap w:val="0"/>
                  <w:vAlign w:val="center"/>
                </w:tcPr>
                <w:p w14:paraId="607DB4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53.0</w:t>
                  </w:r>
                </w:p>
              </w:tc>
              <w:tc>
                <w:tcPr>
                  <w:tcW w:w="864" w:type="dxa"/>
                  <w:shd w:val="clear" w:color="auto" w:fill="auto"/>
                  <w:noWrap w:val="0"/>
                  <w:vAlign w:val="center"/>
                </w:tcPr>
                <w:p w14:paraId="57286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20</w:t>
                  </w:r>
                </w:p>
              </w:tc>
              <w:tc>
                <w:tcPr>
                  <w:tcW w:w="974" w:type="dxa"/>
                  <w:noWrap w:val="0"/>
                  <w:vAlign w:val="center"/>
                </w:tcPr>
                <w:p w14:paraId="797D14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27.0</w:t>
                  </w:r>
                </w:p>
              </w:tc>
              <w:tc>
                <w:tcPr>
                  <w:tcW w:w="1104" w:type="dxa"/>
                  <w:vMerge w:val="continue"/>
                  <w:noWrap w:val="0"/>
                  <w:vAlign w:val="center"/>
                </w:tcPr>
                <w:p w14:paraId="5277E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781DF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33DC4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CAE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8" w:type="dxa"/>
                  <w:vMerge w:val="continue"/>
                  <w:noWrap w:val="0"/>
                  <w:vAlign w:val="top"/>
                </w:tcPr>
                <w:p w14:paraId="6B4DE77C">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4C6DB5C6">
                  <w:pPr>
                    <w:keepNext w:val="0"/>
                    <w:keepLines w:val="0"/>
                    <w:pageBreakBefore w:val="0"/>
                    <w:kinsoku/>
                    <w:wordWrap/>
                    <w:overflowPunct/>
                    <w:topLinePunct w:val="0"/>
                    <w:autoSpaceDE/>
                    <w:autoSpaceDN/>
                    <w:bidi w:val="0"/>
                    <w:adjustRightIn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油烟风机</w:t>
                  </w:r>
                </w:p>
              </w:tc>
              <w:tc>
                <w:tcPr>
                  <w:tcW w:w="1255" w:type="dxa"/>
                  <w:shd w:val="clear" w:color="auto" w:fill="auto"/>
                  <w:noWrap w:val="0"/>
                  <w:vAlign w:val="center"/>
                </w:tcPr>
                <w:p w14:paraId="37EA40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85.0</w:t>
                  </w:r>
                </w:p>
              </w:tc>
              <w:tc>
                <w:tcPr>
                  <w:tcW w:w="864" w:type="dxa"/>
                  <w:shd w:val="clear" w:color="auto" w:fill="auto"/>
                  <w:noWrap w:val="0"/>
                  <w:vAlign w:val="center"/>
                </w:tcPr>
                <w:p w14:paraId="6330C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85</w:t>
                  </w:r>
                </w:p>
              </w:tc>
              <w:tc>
                <w:tcPr>
                  <w:tcW w:w="974" w:type="dxa"/>
                  <w:noWrap w:val="0"/>
                  <w:vAlign w:val="center"/>
                </w:tcPr>
                <w:p w14:paraId="0DF4C4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46.4</w:t>
                  </w:r>
                </w:p>
              </w:tc>
              <w:tc>
                <w:tcPr>
                  <w:tcW w:w="1104" w:type="dxa"/>
                  <w:vMerge w:val="continue"/>
                  <w:noWrap w:val="0"/>
                  <w:vAlign w:val="center"/>
                </w:tcPr>
                <w:p w14:paraId="6B9FE7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A855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5C641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1B40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8" w:type="dxa"/>
                  <w:vMerge w:val="continue"/>
                  <w:noWrap w:val="0"/>
                  <w:vAlign w:val="top"/>
                </w:tcPr>
                <w:p w14:paraId="3D286D22">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5D9237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污水设施风机</w:t>
                  </w:r>
                </w:p>
              </w:tc>
              <w:tc>
                <w:tcPr>
                  <w:tcW w:w="1255" w:type="dxa"/>
                  <w:shd w:val="clear" w:color="auto" w:fill="auto"/>
                  <w:noWrap w:val="0"/>
                  <w:vAlign w:val="center"/>
                </w:tcPr>
                <w:p w14:paraId="2D22406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shd w:val="clear" w:color="auto" w:fill="auto"/>
                  <w:noWrap w:val="0"/>
                  <w:vAlign w:val="center"/>
                </w:tcPr>
                <w:p w14:paraId="121A2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45</w:t>
                  </w:r>
                </w:p>
              </w:tc>
              <w:tc>
                <w:tcPr>
                  <w:tcW w:w="974" w:type="dxa"/>
                  <w:noWrap w:val="0"/>
                  <w:vAlign w:val="center"/>
                </w:tcPr>
                <w:p w14:paraId="54707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41.9</w:t>
                  </w:r>
                </w:p>
              </w:tc>
              <w:tc>
                <w:tcPr>
                  <w:tcW w:w="1104" w:type="dxa"/>
                  <w:vMerge w:val="continue"/>
                  <w:noWrap w:val="0"/>
                  <w:vAlign w:val="center"/>
                </w:tcPr>
                <w:p w14:paraId="58C9F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4FE44E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04F58B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r w14:paraId="0975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8" w:type="dxa"/>
                  <w:vMerge w:val="continue"/>
                  <w:noWrap w:val="0"/>
                  <w:vAlign w:val="top"/>
                </w:tcPr>
                <w:p w14:paraId="28B7C237">
                  <w:pPr>
                    <w:adjustRightInd w:val="0"/>
                    <w:snapToGrid w:val="0"/>
                    <w:spacing w:line="360" w:lineRule="auto"/>
                    <w:jc w:val="center"/>
                    <w:rPr>
                      <w:rFonts w:hint="eastAsia" w:ascii="Times New Roman" w:hAnsi="Times New Roman" w:cs="Times New Roman"/>
                      <w:color w:val="auto"/>
                      <w:szCs w:val="21"/>
                      <w:highlight w:val="none"/>
                      <w:lang w:val="en-US" w:eastAsia="zh-CN"/>
                    </w:rPr>
                  </w:pPr>
                </w:p>
              </w:tc>
              <w:tc>
                <w:tcPr>
                  <w:tcW w:w="1158" w:type="dxa"/>
                  <w:shd w:val="clear" w:color="auto" w:fill="auto"/>
                  <w:noWrap w:val="0"/>
                  <w:vAlign w:val="center"/>
                </w:tcPr>
                <w:p w14:paraId="3DC363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污水处理</w:t>
                  </w:r>
                </w:p>
                <w:p w14:paraId="73422D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设施</w:t>
                  </w:r>
                </w:p>
              </w:tc>
              <w:tc>
                <w:tcPr>
                  <w:tcW w:w="1255" w:type="dxa"/>
                  <w:shd w:val="clear" w:color="auto" w:fill="auto"/>
                  <w:noWrap w:val="0"/>
                  <w:vAlign w:val="center"/>
                </w:tcPr>
                <w:p w14:paraId="7593AA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Style w:val="39"/>
                      <w:rFonts w:hint="default"/>
                      <w:color w:val="auto"/>
                      <w:sz w:val="21"/>
                      <w:szCs w:val="21"/>
                      <w:highlight w:val="none"/>
                      <w:lang w:val="en-US" w:eastAsia="zh-CN" w:bidi="ar"/>
                    </w:rPr>
                  </w:pPr>
                  <w:r>
                    <w:rPr>
                      <w:rStyle w:val="39"/>
                      <w:rFonts w:hint="eastAsia"/>
                      <w:color w:val="auto"/>
                      <w:sz w:val="21"/>
                      <w:szCs w:val="21"/>
                      <w:highlight w:val="none"/>
                      <w:lang w:val="en-US" w:eastAsia="zh-CN" w:bidi="ar"/>
                    </w:rPr>
                    <w:t>75</w:t>
                  </w:r>
                </w:p>
              </w:tc>
              <w:tc>
                <w:tcPr>
                  <w:tcW w:w="864" w:type="dxa"/>
                  <w:shd w:val="clear" w:color="auto" w:fill="auto"/>
                  <w:noWrap w:val="0"/>
                  <w:vAlign w:val="center"/>
                </w:tcPr>
                <w:p w14:paraId="71133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30</w:t>
                  </w:r>
                </w:p>
              </w:tc>
              <w:tc>
                <w:tcPr>
                  <w:tcW w:w="974" w:type="dxa"/>
                  <w:noWrap w:val="0"/>
                  <w:vAlign w:val="center"/>
                </w:tcPr>
                <w:p w14:paraId="7B779A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45.5</w:t>
                  </w:r>
                </w:p>
              </w:tc>
              <w:tc>
                <w:tcPr>
                  <w:tcW w:w="1104" w:type="dxa"/>
                  <w:vMerge w:val="continue"/>
                  <w:noWrap w:val="0"/>
                  <w:vAlign w:val="center"/>
                </w:tcPr>
                <w:p w14:paraId="4C8A4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1111" w:type="dxa"/>
                  <w:vMerge w:val="continue"/>
                  <w:noWrap w:val="0"/>
                  <w:vAlign w:val="center"/>
                </w:tcPr>
                <w:p w14:paraId="0CCAA7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c>
                <w:tcPr>
                  <w:tcW w:w="862" w:type="dxa"/>
                  <w:vMerge w:val="continue"/>
                  <w:noWrap w:val="0"/>
                  <w:vAlign w:val="center"/>
                </w:tcPr>
                <w:p w14:paraId="6FFC9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p>
              </w:tc>
            </w:tr>
          </w:tbl>
          <w:p w14:paraId="5650A43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由表</w:t>
            </w:r>
            <w:r>
              <w:rPr>
                <w:rFonts w:hint="eastAsia" w:cs="Times New Roman"/>
                <w:color w:val="auto"/>
                <w:sz w:val="24"/>
                <w:szCs w:val="24"/>
                <w:highlight w:val="none"/>
                <w:lang w:val="en-US" w:eastAsia="zh-CN"/>
              </w:rPr>
              <w:t>4-12</w:t>
            </w:r>
            <w:r>
              <w:rPr>
                <w:rFonts w:ascii="Times New Roman" w:hAnsi="Times New Roman" w:cs="Times New Roman"/>
                <w:color w:val="auto"/>
                <w:sz w:val="24"/>
                <w:szCs w:val="24"/>
                <w:highlight w:val="none"/>
              </w:rPr>
              <w:t>可知，运营期对本工程噪声源采取降噪措施后</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生产时间为白天</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厂界</w:t>
            </w:r>
            <w:r>
              <w:rPr>
                <w:rFonts w:hint="eastAsia" w:cs="Times New Roman"/>
                <w:color w:val="auto"/>
                <w:sz w:val="24"/>
                <w:szCs w:val="24"/>
                <w:highlight w:val="none"/>
                <w:lang w:val="en-US" w:eastAsia="zh-CN"/>
              </w:rPr>
              <w:t>四周</w:t>
            </w:r>
            <w:r>
              <w:rPr>
                <w:rFonts w:hint="eastAsia" w:ascii="Times New Roman" w:hAnsi="Times New Roman" w:cs="Times New Roman"/>
                <w:color w:val="auto"/>
                <w:sz w:val="24"/>
                <w:szCs w:val="24"/>
                <w:highlight w:val="none"/>
              </w:rPr>
              <w:t>噪声昼间均可以满足</w:t>
            </w:r>
            <w:r>
              <w:rPr>
                <w:rFonts w:hint="eastAsia" w:cs="Times New Roman"/>
                <w:color w:val="auto"/>
                <w:sz w:val="24"/>
                <w:szCs w:val="24"/>
                <w:highlight w:val="none"/>
                <w:lang w:val="en-US" w:eastAsia="zh-CN"/>
              </w:rPr>
              <w:t>昼间的</w:t>
            </w:r>
            <w:r>
              <w:rPr>
                <w:rFonts w:ascii="Times New Roman" w:hAnsi="Times New Roman" w:eastAsia="宋体" w:cs="Times New Roman"/>
                <w:color w:val="auto"/>
                <w:sz w:val="24"/>
                <w:szCs w:val="24"/>
                <w:highlight w:val="none"/>
              </w:rPr>
              <w:t>《工业企业厂界环境噪声排放标准》（GB12348－2008）</w:t>
            </w:r>
            <w:r>
              <w:rPr>
                <w:rFonts w:hint="eastAsia" w:ascii="Times New Roman" w:hAnsi="Times New Roman" w:eastAsia="宋体" w:cs="Times New Roman"/>
                <w:color w:val="auto"/>
                <w:sz w:val="24"/>
                <w:szCs w:val="24"/>
                <w:highlight w:val="none"/>
              </w:rPr>
              <w:t>中</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类标准限值要求：昼间</w:t>
            </w:r>
            <w:r>
              <w:rPr>
                <w:rFonts w:hint="eastAsia" w:ascii="Times New Roman" w:hAnsi="Times New Roman" w:cs="Times New Roman"/>
                <w:color w:val="auto"/>
                <w:sz w:val="24"/>
                <w:szCs w:val="24"/>
                <w:highlight w:val="none"/>
                <w:lang w:val="en-US" w:eastAsia="zh-CN"/>
              </w:rPr>
              <w:t>6</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rPr>
              <w:t>dB（A），</w:t>
            </w:r>
            <w:r>
              <w:rPr>
                <w:rFonts w:hint="eastAsia" w:cs="Times New Roman"/>
                <w:color w:val="auto"/>
                <w:sz w:val="24"/>
                <w:szCs w:val="24"/>
                <w:highlight w:val="none"/>
                <w:lang w:val="en-US" w:eastAsia="zh-CN"/>
              </w:rPr>
              <w:t>且周围50m范围内</w:t>
            </w:r>
            <w:r>
              <w:rPr>
                <w:rFonts w:hint="eastAsia"/>
                <w:lang w:val="en-US" w:eastAsia="zh-CN"/>
              </w:rPr>
              <w:t>无</w:t>
            </w:r>
            <w:r>
              <w:rPr>
                <w:rFonts w:hint="eastAsia" w:cs="Times New Roman"/>
                <w:color w:val="auto"/>
                <w:sz w:val="24"/>
                <w:szCs w:val="24"/>
                <w:highlight w:val="none"/>
                <w:lang w:val="en-US" w:eastAsia="zh-CN"/>
              </w:rPr>
              <w:t>敏感点，噪声</w:t>
            </w:r>
            <w:r>
              <w:rPr>
                <w:rFonts w:ascii="Times New Roman" w:hAnsi="Times New Roman" w:cs="Times New Roman"/>
                <w:color w:val="auto"/>
                <w:sz w:val="24"/>
                <w:szCs w:val="24"/>
                <w:highlight w:val="none"/>
              </w:rPr>
              <w:t>对</w:t>
            </w:r>
            <w:r>
              <w:rPr>
                <w:rFonts w:hint="eastAsia" w:cs="Times New Roman"/>
                <w:color w:val="auto"/>
                <w:sz w:val="24"/>
                <w:szCs w:val="24"/>
                <w:highlight w:val="none"/>
                <w:lang w:val="en-US" w:eastAsia="zh-CN"/>
              </w:rPr>
              <w:t>厂区</w:t>
            </w:r>
            <w:r>
              <w:rPr>
                <w:rFonts w:ascii="Times New Roman" w:hAnsi="Times New Roman" w:cs="Times New Roman"/>
                <w:color w:val="auto"/>
                <w:sz w:val="24"/>
                <w:szCs w:val="24"/>
                <w:highlight w:val="none"/>
              </w:rPr>
              <w:t>周围环境影响较小。</w:t>
            </w:r>
          </w:p>
          <w:p w14:paraId="673D3CBA">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baseline"/>
              <w:rPr>
                <w:rFonts w:hint="eastAsia" w:ascii="Times New Roman" w:hAnsi="Times New Roman" w:eastAsia="宋体"/>
                <w:color w:val="auto"/>
                <w:sz w:val="24"/>
                <w:lang w:bidi="ar"/>
              </w:rPr>
            </w:pPr>
            <w:bookmarkStart w:id="11" w:name="_Toc467426609"/>
            <w:bookmarkStart w:id="12" w:name="_Toc467426674"/>
            <w:bookmarkStart w:id="13" w:name="_Toc467760362"/>
            <w:bookmarkStart w:id="14" w:name="_Toc467760298"/>
            <w:bookmarkStart w:id="15" w:name="_Toc467761605"/>
            <w:r>
              <w:rPr>
                <w:rFonts w:ascii="Times New Roman" w:hAnsi="Times New Roman" w:eastAsia="宋体"/>
                <w:color w:val="auto"/>
                <w:sz w:val="24"/>
                <w:szCs w:val="24"/>
                <w:highlight w:val="none"/>
                <w:lang w:bidi="ar"/>
              </w:rPr>
              <w:t>综上，</w:t>
            </w:r>
            <w:r>
              <w:rPr>
                <w:rFonts w:ascii="Times New Roman" w:hAnsi="Times New Roman" w:eastAsia="宋体"/>
                <w:color w:val="auto"/>
                <w:sz w:val="24"/>
                <w:highlight w:val="none"/>
                <w:lang w:bidi="ar"/>
              </w:rPr>
              <w:t>为了最大程度地减少噪声对项目区域声环境质量的影响，建议本项目还应采取以下噪声污染防治措施：加强设备维护保养，确保设备正常运行，避免设备带病运行，造成设备运</w:t>
            </w:r>
            <w:r>
              <w:rPr>
                <w:rFonts w:ascii="Times New Roman" w:hAnsi="Times New Roman" w:eastAsia="宋体"/>
                <w:color w:val="auto"/>
                <w:sz w:val="24"/>
                <w:lang w:bidi="ar"/>
              </w:rPr>
              <w:t>行噪声级提高</w:t>
            </w:r>
            <w:r>
              <w:rPr>
                <w:rFonts w:hint="eastAsia" w:ascii="Times New Roman" w:hAnsi="Times New Roman" w:eastAsia="宋体"/>
                <w:color w:val="auto"/>
                <w:sz w:val="24"/>
                <w:lang w:eastAsia="zh-CN" w:bidi="ar"/>
              </w:rPr>
              <w:t>。</w:t>
            </w:r>
            <w:r>
              <w:rPr>
                <w:rFonts w:ascii="Times New Roman" w:hAnsi="Times New Roman" w:eastAsia="宋体"/>
                <w:color w:val="auto"/>
                <w:sz w:val="24"/>
                <w:szCs w:val="24"/>
                <w:lang w:bidi="ar"/>
              </w:rPr>
              <w:t>项目噪声采取相应的治理措施后对周围声环境影响较小</w:t>
            </w:r>
            <w:r>
              <w:rPr>
                <w:rFonts w:hint="eastAsia" w:ascii="Times New Roman" w:hAnsi="Times New Roman" w:eastAsia="宋体"/>
                <w:color w:val="auto"/>
                <w:sz w:val="24"/>
                <w:szCs w:val="24"/>
                <w:lang w:bidi="ar"/>
              </w:rPr>
              <w:t>，所采取的治理措施可行。</w:t>
            </w:r>
          </w:p>
          <w:p w14:paraId="5813BDD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cs="Times New Roman"/>
                <w:b w:val="0"/>
                <w:bCs w:val="0"/>
                <w:u w:val="none"/>
              </w:rPr>
            </w:pPr>
            <w:r>
              <w:rPr>
                <w:rFonts w:hint="eastAsia" w:cs="Times New Roman"/>
                <w:b w:val="0"/>
                <w:bCs w:val="0"/>
                <w:u w:val="none"/>
                <w:lang w:val="en-US" w:eastAsia="zh-CN"/>
              </w:rPr>
              <w:t>3</w:t>
            </w:r>
            <w:r>
              <w:rPr>
                <w:rFonts w:hint="eastAsia" w:ascii="Times New Roman" w:hAnsi="Times New Roman" w:cs="Times New Roman"/>
                <w:b w:val="0"/>
                <w:bCs w:val="0"/>
                <w:u w:val="none"/>
                <w:lang w:val="en-US" w:eastAsia="zh-CN"/>
              </w:rPr>
              <w:t>.</w:t>
            </w:r>
            <w:r>
              <w:rPr>
                <w:rFonts w:hint="eastAsia" w:cs="Times New Roman"/>
                <w:b w:val="0"/>
                <w:bCs w:val="0"/>
                <w:u w:val="none"/>
                <w:lang w:val="en-US" w:eastAsia="zh-CN"/>
              </w:rPr>
              <w:t>4</w:t>
            </w:r>
            <w:r>
              <w:rPr>
                <w:rFonts w:hint="default" w:ascii="Times New Roman" w:hAnsi="Times New Roman" w:cs="Times New Roman"/>
                <w:b w:val="0"/>
                <w:bCs w:val="0"/>
                <w:u w:val="none"/>
              </w:rPr>
              <w:t>监测要求</w:t>
            </w:r>
          </w:p>
          <w:p w14:paraId="28EF7B0E">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cs="Times New Roman"/>
                <w:u w:val="none"/>
              </w:rPr>
            </w:pPr>
            <w:r>
              <w:rPr>
                <w:rFonts w:hint="eastAsia" w:ascii="Times New Roman" w:hAnsi="Times New Roman" w:eastAsia="宋体" w:cs="Times New Roman"/>
                <w:b w:val="0"/>
                <w:bCs w:val="0"/>
                <w:color w:val="auto"/>
                <w:sz w:val="24"/>
                <w:szCs w:val="24"/>
                <w:highlight w:val="none"/>
                <w:u w:val="none"/>
                <w:lang w:val="en-US" w:eastAsia="zh-CN"/>
              </w:rPr>
              <w:t>根据</w:t>
            </w:r>
            <w:r>
              <w:rPr>
                <w:rFonts w:hint="default" w:ascii="Times New Roman" w:hAnsi="Times New Roman" w:eastAsia="宋体" w:cs="Times New Roman"/>
                <w:b w:val="0"/>
                <w:bCs w:val="0"/>
                <w:color w:val="auto"/>
                <w:sz w:val="24"/>
                <w:szCs w:val="24"/>
                <w:highlight w:val="none"/>
                <w:u w:val="none"/>
                <w:lang w:val="en-US" w:eastAsia="zh-CN"/>
              </w:rPr>
              <w:t>《排污单位自行监测技术指南 总则》（HJ819-2017）、《排污单位自行监测技术指南工业噪声》（HJ 1301-2023）等规范文件可知</w:t>
            </w:r>
            <w:r>
              <w:rPr>
                <w:rFonts w:hint="eastAsia"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cs="Times New Roman"/>
                <w:u w:val="none"/>
              </w:rPr>
              <w:t>项目</w:t>
            </w:r>
            <w:r>
              <w:rPr>
                <w:rFonts w:hint="eastAsia" w:cs="Times New Roman"/>
                <w:u w:val="none"/>
                <w:lang w:val="en-US" w:eastAsia="zh-CN"/>
              </w:rPr>
              <w:t>运营</w:t>
            </w:r>
            <w:r>
              <w:rPr>
                <w:rFonts w:hint="default" w:ascii="Times New Roman" w:hAnsi="Times New Roman" w:cs="Times New Roman"/>
                <w:u w:val="none"/>
              </w:rPr>
              <w:t>期噪声监测计划见下表。</w:t>
            </w:r>
          </w:p>
          <w:p w14:paraId="01E81B8C">
            <w:pPr>
              <w:pStyle w:val="14"/>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center"/>
              <w:textAlignment w:val="auto"/>
              <w:rPr>
                <w:rFonts w:hint="eastAsia" w:ascii="Times New Roman" w:hAnsi="Times New Roman" w:eastAsia="黑体" w:cs="Times New Roman"/>
                <w:color w:val="auto"/>
                <w:kern w:val="2"/>
                <w:sz w:val="24"/>
                <w:lang w:val="en-US" w:eastAsia="zh-CN" w:bidi="ar-SA"/>
              </w:rPr>
            </w:pPr>
            <w:r>
              <w:rPr>
                <w:rFonts w:hint="eastAsia" w:ascii="Times New Roman" w:hAnsi="Times New Roman" w:eastAsia="黑体" w:cs="Times New Roman"/>
                <w:color w:val="auto"/>
                <w:kern w:val="2"/>
                <w:sz w:val="24"/>
                <w:lang w:val="en-US" w:eastAsia="zh-CN" w:bidi="ar-SA"/>
              </w:rPr>
              <w:t>表</w:t>
            </w:r>
            <w:r>
              <w:rPr>
                <w:rFonts w:hint="eastAsia" w:eastAsia="黑体" w:cs="Times New Roman"/>
                <w:color w:val="auto"/>
                <w:kern w:val="2"/>
                <w:sz w:val="24"/>
                <w:lang w:val="en-US" w:eastAsia="zh-CN" w:bidi="ar-SA"/>
              </w:rPr>
              <w:t>4-13</w:t>
            </w:r>
            <w:r>
              <w:rPr>
                <w:rFonts w:hint="eastAsia" w:ascii="Times New Roman" w:hAnsi="Times New Roman" w:eastAsia="黑体" w:cs="Times New Roman"/>
                <w:color w:val="auto"/>
                <w:kern w:val="2"/>
                <w:sz w:val="24"/>
                <w:lang w:val="en-US" w:eastAsia="zh-CN" w:bidi="ar-SA"/>
              </w:rPr>
              <w:t xml:space="preserve"> 噪声监测要求</w:t>
            </w:r>
          </w:p>
          <w:tbl>
            <w:tblPr>
              <w:tblStyle w:val="21"/>
              <w:tblW w:w="79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5"/>
              <w:gridCol w:w="1038"/>
              <w:gridCol w:w="1062"/>
              <w:gridCol w:w="1152"/>
              <w:gridCol w:w="1007"/>
              <w:gridCol w:w="2302"/>
              <w:gridCol w:w="752"/>
            </w:tblGrid>
            <w:tr w14:paraId="7623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8" w:hRule="atLeast"/>
              </w:trPr>
              <w:tc>
                <w:tcPr>
                  <w:tcW w:w="605" w:type="dxa"/>
                  <w:tcBorders>
                    <w:tl2br w:val="nil"/>
                    <w:tr2bl w:val="nil"/>
                  </w:tcBorders>
                  <w:noWrap w:val="0"/>
                  <w:vAlign w:val="center"/>
                </w:tcPr>
                <w:p w14:paraId="54600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序号</w:t>
                  </w:r>
                </w:p>
              </w:tc>
              <w:tc>
                <w:tcPr>
                  <w:tcW w:w="1038" w:type="dxa"/>
                  <w:tcBorders>
                    <w:tl2br w:val="nil"/>
                    <w:tr2bl w:val="nil"/>
                  </w:tcBorders>
                  <w:noWrap w:val="0"/>
                  <w:vAlign w:val="center"/>
                </w:tcPr>
                <w:p w14:paraId="5CE59B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监测点</w:t>
                  </w:r>
                </w:p>
                <w:p w14:paraId="64830A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位置</w:t>
                  </w:r>
                </w:p>
              </w:tc>
              <w:tc>
                <w:tcPr>
                  <w:tcW w:w="1062" w:type="dxa"/>
                  <w:tcBorders>
                    <w:tl2br w:val="nil"/>
                    <w:tr2bl w:val="nil"/>
                  </w:tcBorders>
                  <w:noWrap w:val="0"/>
                  <w:vAlign w:val="center"/>
                </w:tcPr>
                <w:p w14:paraId="7ADC8D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功能</w:t>
                  </w:r>
                </w:p>
              </w:tc>
              <w:tc>
                <w:tcPr>
                  <w:tcW w:w="1152" w:type="dxa"/>
                  <w:tcBorders>
                    <w:tl2br w:val="nil"/>
                    <w:tr2bl w:val="nil"/>
                  </w:tcBorders>
                  <w:noWrap w:val="0"/>
                  <w:vAlign w:val="center"/>
                </w:tcPr>
                <w:p w14:paraId="74099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监测频次</w:t>
                  </w:r>
                </w:p>
              </w:tc>
              <w:tc>
                <w:tcPr>
                  <w:tcW w:w="1007" w:type="dxa"/>
                  <w:tcBorders>
                    <w:tl2br w:val="nil"/>
                    <w:tr2bl w:val="nil"/>
                  </w:tcBorders>
                  <w:noWrap w:val="0"/>
                  <w:vAlign w:val="center"/>
                </w:tcPr>
                <w:p w14:paraId="73BB6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监测项目</w:t>
                  </w:r>
                </w:p>
              </w:tc>
              <w:tc>
                <w:tcPr>
                  <w:tcW w:w="3054" w:type="dxa"/>
                  <w:gridSpan w:val="2"/>
                  <w:tcBorders>
                    <w:tl2br w:val="nil"/>
                    <w:tr2bl w:val="nil"/>
                  </w:tcBorders>
                  <w:noWrap w:val="0"/>
                  <w:vAlign w:val="center"/>
                </w:tcPr>
                <w:p w14:paraId="1813C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Cs w:val="21"/>
                    </w:rPr>
                  </w:pPr>
                  <w:r>
                    <w:rPr>
                      <w:rFonts w:ascii="Times New Roman" w:hAnsi="Times New Roman"/>
                      <w:b/>
                      <w:bCs/>
                      <w:color w:val="auto"/>
                      <w:kern w:val="0"/>
                      <w:szCs w:val="21"/>
                    </w:rPr>
                    <w:t>执行标准</w:t>
                  </w:r>
                </w:p>
              </w:tc>
            </w:tr>
            <w:tr w14:paraId="4AF4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1" w:hRule="atLeast"/>
              </w:trPr>
              <w:tc>
                <w:tcPr>
                  <w:tcW w:w="605" w:type="dxa"/>
                  <w:tcBorders>
                    <w:tl2br w:val="nil"/>
                    <w:tr2bl w:val="nil"/>
                  </w:tcBorders>
                  <w:noWrap w:val="0"/>
                  <w:vAlign w:val="center"/>
                </w:tcPr>
                <w:p w14:paraId="17724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ascii="Times New Roman" w:hAnsi="Times New Roman"/>
                      <w:color w:val="auto"/>
                      <w:kern w:val="0"/>
                      <w:szCs w:val="21"/>
                    </w:rPr>
                    <w:t>1</w:t>
                  </w:r>
                </w:p>
              </w:tc>
              <w:tc>
                <w:tcPr>
                  <w:tcW w:w="1038" w:type="dxa"/>
                  <w:tcBorders>
                    <w:tl2br w:val="nil"/>
                    <w:tr2bl w:val="nil"/>
                  </w:tcBorders>
                  <w:noWrap w:val="0"/>
                  <w:vAlign w:val="center"/>
                </w:tcPr>
                <w:p w14:paraId="76721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厂界四周</w:t>
                  </w:r>
                </w:p>
              </w:tc>
              <w:tc>
                <w:tcPr>
                  <w:tcW w:w="1062" w:type="dxa"/>
                  <w:tcBorders>
                    <w:tl2br w:val="nil"/>
                    <w:tr2bl w:val="nil"/>
                  </w:tcBorders>
                  <w:noWrap w:val="0"/>
                  <w:vAlign w:val="center"/>
                </w:tcPr>
                <w:p w14:paraId="70167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ascii="Times New Roman" w:hAnsi="Times New Roman"/>
                      <w:color w:val="auto"/>
                      <w:kern w:val="0"/>
                      <w:szCs w:val="21"/>
                    </w:rPr>
                    <w:t>监测点位</w:t>
                  </w:r>
                </w:p>
              </w:tc>
              <w:tc>
                <w:tcPr>
                  <w:tcW w:w="1152" w:type="dxa"/>
                  <w:tcBorders>
                    <w:tl2br w:val="nil"/>
                    <w:tr2bl w:val="nil"/>
                  </w:tcBorders>
                  <w:noWrap w:val="0"/>
                  <w:vAlign w:val="center"/>
                </w:tcPr>
                <w:p w14:paraId="1AE93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ascii="Times New Roman" w:hAnsi="Times New Roman"/>
                      <w:color w:val="auto"/>
                      <w:szCs w:val="21"/>
                      <w:highlight w:val="none"/>
                    </w:rPr>
                    <w:t>1次/</w:t>
                  </w:r>
                  <w:r>
                    <w:rPr>
                      <w:rFonts w:hint="eastAsia" w:ascii="Times New Roman" w:hAnsi="Times New Roman"/>
                      <w:color w:val="auto"/>
                      <w:szCs w:val="21"/>
                      <w:highlight w:val="none"/>
                      <w:lang w:val="en-US" w:eastAsia="zh-CN"/>
                    </w:rPr>
                    <w:t>季度</w:t>
                  </w:r>
                </w:p>
              </w:tc>
              <w:tc>
                <w:tcPr>
                  <w:tcW w:w="1007" w:type="dxa"/>
                  <w:tcBorders>
                    <w:tl2br w:val="nil"/>
                    <w:tr2bl w:val="nil"/>
                  </w:tcBorders>
                  <w:noWrap w:val="0"/>
                  <w:vAlign w:val="center"/>
                </w:tcPr>
                <w:p w14:paraId="1C76C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ascii="Times New Roman" w:hAnsi="Times New Roman"/>
                      <w:color w:val="auto"/>
                      <w:kern w:val="0"/>
                      <w:szCs w:val="21"/>
                    </w:rPr>
                    <w:t>等效连续A声级L</w:t>
                  </w:r>
                  <w:r>
                    <w:rPr>
                      <w:rFonts w:ascii="Times New Roman" w:hAnsi="Times New Roman"/>
                      <w:color w:val="auto"/>
                      <w:kern w:val="0"/>
                      <w:szCs w:val="21"/>
                      <w:vertAlign w:val="subscript"/>
                    </w:rPr>
                    <w:t>Aeq</w:t>
                  </w:r>
                </w:p>
              </w:tc>
              <w:tc>
                <w:tcPr>
                  <w:tcW w:w="2302" w:type="dxa"/>
                  <w:tcBorders>
                    <w:tl2br w:val="nil"/>
                    <w:tr2bl w:val="nil"/>
                  </w:tcBorders>
                  <w:noWrap w:val="0"/>
                  <w:vAlign w:val="center"/>
                </w:tcPr>
                <w:p w14:paraId="057520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ascii="Times New Roman" w:hAnsi="Times New Roman"/>
                      <w:color w:val="auto"/>
                      <w:szCs w:val="21"/>
                    </w:rPr>
                    <w:t>《工业企业厂界环境噪声排放标准》（GB12348－2008）</w:t>
                  </w:r>
                </w:p>
              </w:tc>
              <w:tc>
                <w:tcPr>
                  <w:tcW w:w="752" w:type="dxa"/>
                  <w:tcBorders>
                    <w:tl2br w:val="nil"/>
                    <w:tr2bl w:val="nil"/>
                  </w:tcBorders>
                  <w:noWrap w:val="0"/>
                  <w:vAlign w:val="center"/>
                </w:tcPr>
                <w:p w14:paraId="43DA8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Cs w:val="21"/>
                    </w:rPr>
                  </w:pPr>
                  <w:r>
                    <w:rPr>
                      <w:rFonts w:hint="eastAsia"/>
                      <w:color w:val="auto"/>
                      <w:szCs w:val="21"/>
                      <w:lang w:val="en-US" w:eastAsia="zh-CN"/>
                    </w:rPr>
                    <w:t>2</w:t>
                  </w:r>
                  <w:r>
                    <w:rPr>
                      <w:rFonts w:hint="eastAsia" w:ascii="Times New Roman" w:hAnsi="Times New Roman"/>
                      <w:color w:val="auto"/>
                      <w:szCs w:val="21"/>
                    </w:rPr>
                    <w:t>类</w:t>
                  </w:r>
                </w:p>
              </w:tc>
            </w:tr>
            <w:bookmarkEnd w:id="11"/>
            <w:bookmarkEnd w:id="12"/>
            <w:bookmarkEnd w:id="13"/>
            <w:bookmarkEnd w:id="14"/>
            <w:bookmarkEnd w:id="15"/>
          </w:tbl>
          <w:p w14:paraId="1EA75F95">
            <w:pPr>
              <w:keepNext w:val="0"/>
              <w:keepLines w:val="0"/>
              <w:pageBreakBefore w:val="0"/>
              <w:widowControl w:val="0"/>
              <w:kinsoku/>
              <w:wordWrap/>
              <w:overflowPunct/>
              <w:topLinePunct w:val="0"/>
              <w:bidi w:val="0"/>
              <w:snapToGrid w:val="0"/>
              <w:spacing w:line="500" w:lineRule="exact"/>
              <w:ind w:firstLine="482" w:firstLineChars="200"/>
              <w:textAlignment w:val="auto"/>
              <w:rPr>
                <w:b/>
                <w:snapToGrid w:val="0"/>
                <w:color w:val="000000"/>
                <w:sz w:val="24"/>
                <w:highlight w:val="none"/>
              </w:rPr>
            </w:pPr>
            <w:r>
              <w:rPr>
                <w:b/>
                <w:snapToGrid w:val="0"/>
                <w:color w:val="000000"/>
                <w:sz w:val="24"/>
                <w:highlight w:val="none"/>
              </w:rPr>
              <w:t>4</w:t>
            </w:r>
            <w:r>
              <w:rPr>
                <w:rFonts w:hAnsi="宋体"/>
                <w:b/>
                <w:snapToGrid w:val="0"/>
                <w:color w:val="000000"/>
                <w:sz w:val="24"/>
                <w:highlight w:val="none"/>
              </w:rPr>
              <w:t>、固体废物</w:t>
            </w:r>
          </w:p>
          <w:p w14:paraId="1162B54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b w:val="0"/>
                <w:bCs w:val="0"/>
                <w:color w:val="000000"/>
                <w:kern w:val="0"/>
                <w:sz w:val="24"/>
                <w:highlight w:val="none"/>
              </w:rPr>
            </w:pPr>
            <w:r>
              <w:rPr>
                <w:rFonts w:hint="eastAsia"/>
                <w:b w:val="0"/>
                <w:bCs w:val="0"/>
                <w:color w:val="000000"/>
                <w:kern w:val="0"/>
                <w:sz w:val="24"/>
                <w:highlight w:val="none"/>
              </w:rPr>
              <w:t>4</w:t>
            </w:r>
            <w:r>
              <w:rPr>
                <w:b w:val="0"/>
                <w:bCs w:val="0"/>
                <w:color w:val="000000"/>
                <w:kern w:val="0"/>
                <w:sz w:val="24"/>
                <w:highlight w:val="none"/>
              </w:rPr>
              <w:t>.1固体废物污染源及治理措施</w:t>
            </w:r>
          </w:p>
          <w:p w14:paraId="3CB5AD99">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sz w:val="24"/>
              </w:rPr>
            </w:pPr>
            <w:r>
              <w:rPr>
                <w:rFonts w:hint="eastAsia"/>
                <w:color w:val="000000"/>
                <w:sz w:val="24"/>
              </w:rPr>
              <w:t>本项目固废主要为</w:t>
            </w:r>
            <w:r>
              <w:rPr>
                <w:rFonts w:hint="eastAsia"/>
                <w:color w:val="000000"/>
                <w:sz w:val="24"/>
                <w:lang w:val="en-US" w:eastAsia="zh-CN"/>
              </w:rPr>
              <w:t>牛骨粉碎工序产生的牛骨残渣、辣椒去把工序产生的辣椒把和辣椒叶、挑选工序产生的辣椒残渣、检验工序检验出的不合格品、</w:t>
            </w:r>
            <w:r>
              <w:rPr>
                <w:rFonts w:hint="eastAsia"/>
                <w:color w:val="000000"/>
                <w:sz w:val="24"/>
                <w:highlight w:val="none"/>
                <w:lang w:val="en-US" w:eastAsia="zh-CN"/>
              </w:rPr>
              <w:t>生产废水沉淀后产生的沉淀污泥杂质、</w:t>
            </w:r>
            <w:r>
              <w:rPr>
                <w:rFonts w:hint="eastAsia"/>
                <w:color w:val="000000"/>
                <w:sz w:val="24"/>
                <w:lang w:val="en-US" w:eastAsia="zh-CN"/>
              </w:rPr>
              <w:t>打包拆包工序产生的废包装材料以及</w:t>
            </w:r>
            <w:r>
              <w:rPr>
                <w:color w:val="000000"/>
                <w:sz w:val="24"/>
              </w:rPr>
              <w:t>生活垃圾</w:t>
            </w:r>
            <w:r>
              <w:rPr>
                <w:rFonts w:hint="eastAsia"/>
                <w:color w:val="000000"/>
                <w:sz w:val="24"/>
              </w:rPr>
              <w:t>。</w:t>
            </w:r>
          </w:p>
          <w:p w14:paraId="48E6541C">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eastAsia="宋体"/>
                <w:color w:val="000000"/>
                <w:kern w:val="0"/>
                <w:sz w:val="24"/>
                <w:szCs w:val="24"/>
                <w:u w:val="none"/>
                <w:lang w:val="en-US" w:eastAsia="zh-CN"/>
              </w:rPr>
            </w:pP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1</w:t>
            </w:r>
            <w:r>
              <w:rPr>
                <w:rFonts w:ascii="Times New Roman" w:hAnsi="Times New Roman"/>
                <w:color w:val="000000"/>
                <w:kern w:val="0"/>
                <w:sz w:val="24"/>
                <w:szCs w:val="24"/>
                <w:u w:val="none"/>
                <w:lang w:val="zh-CN"/>
              </w:rPr>
              <w:t>）</w:t>
            </w:r>
            <w:r>
              <w:rPr>
                <w:rFonts w:hint="eastAsia" w:ascii="Times New Roman" w:hAnsi="Times New Roman"/>
                <w:color w:val="000000"/>
                <w:kern w:val="0"/>
                <w:sz w:val="24"/>
                <w:szCs w:val="24"/>
                <w:u w:val="none"/>
                <w:lang w:val="en-US" w:eastAsia="zh-CN"/>
              </w:rPr>
              <w:t>牛骨残渣</w:t>
            </w:r>
          </w:p>
          <w:p w14:paraId="7C834FD5">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hint="default" w:ascii="Times New Roman" w:hAnsi="Times New Roman"/>
                <w:color w:val="000000"/>
                <w:sz w:val="24"/>
                <w:szCs w:val="24"/>
                <w:u w:val="none"/>
              </w:rPr>
              <w:t>根据</w:t>
            </w:r>
            <w:r>
              <w:rPr>
                <w:rFonts w:hint="eastAsia"/>
                <w:color w:val="000000"/>
                <w:sz w:val="24"/>
                <w:szCs w:val="24"/>
                <w:u w:val="none"/>
                <w:lang w:val="en-US" w:eastAsia="zh-CN"/>
              </w:rPr>
              <w:t>产品生产流程</w:t>
            </w:r>
            <w:r>
              <w:rPr>
                <w:rFonts w:hint="default" w:ascii="Times New Roman" w:hAnsi="Times New Roman"/>
                <w:color w:val="000000"/>
                <w:sz w:val="24"/>
                <w:szCs w:val="24"/>
                <w:u w:val="none"/>
              </w:rPr>
              <w:t>分析，本项目</w:t>
            </w:r>
            <w:r>
              <w:rPr>
                <w:rFonts w:hint="eastAsia"/>
                <w:color w:val="000000"/>
                <w:sz w:val="24"/>
                <w:szCs w:val="24"/>
                <w:u w:val="none"/>
                <w:lang w:val="en-US" w:eastAsia="zh-CN"/>
              </w:rPr>
              <w:t>在牛骨粉碎工序工序中会产生不可使用的牛骨残渣，牛骨</w:t>
            </w:r>
            <w:r>
              <w:rPr>
                <w:rFonts w:hint="eastAsia"/>
                <w:color w:val="000000"/>
                <w:sz w:val="24"/>
                <w:szCs w:val="24"/>
                <w:highlight w:val="none"/>
                <w:u w:val="none"/>
                <w:lang w:val="en-US" w:eastAsia="zh-CN"/>
              </w:rPr>
              <w:t>使用量有416</w:t>
            </w:r>
            <w:r>
              <w:rPr>
                <w:rFonts w:hint="default" w:ascii="Times New Roman" w:hAnsi="Times New Roman"/>
                <w:color w:val="000000"/>
                <w:sz w:val="24"/>
                <w:szCs w:val="24"/>
                <w:highlight w:val="none"/>
                <w:u w:val="none"/>
              </w:rPr>
              <w:t>t/a，</w:t>
            </w:r>
            <w:r>
              <w:rPr>
                <w:rFonts w:hint="eastAsia" w:ascii="Times New Roman" w:hAnsi="Times New Roman"/>
                <w:color w:val="000000"/>
                <w:sz w:val="24"/>
                <w:szCs w:val="24"/>
                <w:highlight w:val="none"/>
                <w:u w:val="none"/>
                <w:lang w:val="en-US" w:eastAsia="zh-CN"/>
              </w:rPr>
              <w:t>牛骨</w:t>
            </w:r>
            <w:r>
              <w:rPr>
                <w:rFonts w:hint="eastAsia"/>
                <w:color w:val="000000"/>
                <w:sz w:val="24"/>
                <w:szCs w:val="24"/>
                <w:highlight w:val="none"/>
                <w:u w:val="none"/>
                <w:lang w:val="en-US" w:eastAsia="zh-CN"/>
              </w:rPr>
              <w:t>残渣的量约占牛骨原料用量的0.01%，</w:t>
            </w:r>
            <w:r>
              <w:rPr>
                <w:rFonts w:hint="eastAsia"/>
                <w:color w:val="000000"/>
                <w:kern w:val="0"/>
                <w:sz w:val="24"/>
                <w:highlight w:val="none"/>
                <w:u w:val="none"/>
                <w:lang w:val="zh-CN"/>
              </w:rPr>
              <w:t>则</w:t>
            </w:r>
            <w:r>
              <w:rPr>
                <w:rFonts w:hint="eastAsia"/>
                <w:color w:val="000000"/>
                <w:kern w:val="0"/>
                <w:sz w:val="24"/>
                <w:highlight w:val="none"/>
                <w:u w:val="none"/>
                <w:lang w:val="en-US" w:eastAsia="zh-CN"/>
              </w:rPr>
              <w:t>牛骨残渣</w:t>
            </w:r>
            <w:r>
              <w:rPr>
                <w:rFonts w:hint="eastAsia"/>
                <w:color w:val="000000"/>
                <w:kern w:val="0"/>
                <w:sz w:val="24"/>
                <w:highlight w:val="none"/>
                <w:u w:val="none"/>
                <w:lang w:val="zh-CN"/>
              </w:rPr>
              <w:t>产生量为</w:t>
            </w:r>
            <w:r>
              <w:rPr>
                <w:rFonts w:hint="eastAsia"/>
                <w:color w:val="000000"/>
                <w:kern w:val="0"/>
                <w:sz w:val="24"/>
                <w:highlight w:val="none"/>
                <w:u w:val="none"/>
                <w:lang w:val="en-US" w:eastAsia="zh-CN"/>
              </w:rPr>
              <w:t>0.0416</w:t>
            </w:r>
            <w:r>
              <w:rPr>
                <w:color w:val="000000"/>
                <w:kern w:val="0"/>
                <w:sz w:val="24"/>
                <w:highlight w:val="none"/>
                <w:u w:val="none"/>
                <w:lang w:val="zh-CN"/>
              </w:rPr>
              <w:t>t/a</w:t>
            </w:r>
            <w:r>
              <w:rPr>
                <w:rFonts w:hint="eastAsia"/>
                <w:color w:val="000000"/>
                <w:kern w:val="0"/>
                <w:sz w:val="24"/>
                <w:highlight w:val="none"/>
                <w:u w:val="none"/>
                <w:lang w:val="zh-CN"/>
              </w:rPr>
              <w:t>，</w:t>
            </w:r>
            <w:r>
              <w:rPr>
                <w:rFonts w:hint="eastAsia"/>
                <w:color w:val="000000"/>
                <w:kern w:val="0"/>
                <w:sz w:val="24"/>
                <w:highlight w:val="none"/>
                <w:u w:val="none"/>
                <w:lang w:val="en-US" w:eastAsia="zh-CN"/>
              </w:rPr>
              <w:t>企业</w:t>
            </w:r>
            <w:r>
              <w:rPr>
                <w:rFonts w:hint="eastAsia"/>
                <w:color w:val="000000"/>
                <w:sz w:val="24"/>
                <w:szCs w:val="24"/>
                <w:highlight w:val="none"/>
                <w:u w:val="none"/>
                <w:lang w:val="en-US" w:eastAsia="zh-CN"/>
              </w:rPr>
              <w:t>定期定时对牛骨残渣进行统一</w:t>
            </w:r>
            <w:r>
              <w:rPr>
                <w:rFonts w:hint="default" w:ascii="Times New Roman" w:hAnsi="Times New Roman"/>
                <w:color w:val="000000"/>
                <w:sz w:val="24"/>
                <w:szCs w:val="24"/>
                <w:highlight w:val="none"/>
                <w:u w:val="none"/>
              </w:rPr>
              <w:t>收集后</w:t>
            </w:r>
            <w:r>
              <w:rPr>
                <w:rFonts w:hint="eastAsia"/>
                <w:color w:val="000000"/>
                <w:kern w:val="0"/>
                <w:sz w:val="24"/>
                <w:highlight w:val="none"/>
                <w:u w:val="none"/>
                <w:lang w:val="en-US" w:eastAsia="zh-CN"/>
              </w:rPr>
              <w:t>再</w:t>
            </w:r>
            <w:r>
              <w:rPr>
                <w:color w:val="000000"/>
                <w:kern w:val="0"/>
                <w:sz w:val="24"/>
                <w:highlight w:val="none"/>
                <w:u w:val="none"/>
                <w:lang w:val="zh-CN"/>
              </w:rPr>
              <w:t>由环卫部门</w:t>
            </w:r>
            <w:r>
              <w:rPr>
                <w:rFonts w:hint="eastAsia"/>
                <w:color w:val="000000"/>
                <w:kern w:val="0"/>
                <w:sz w:val="24"/>
                <w:highlight w:val="none"/>
                <w:u w:val="none"/>
                <w:lang w:val="zh-CN"/>
              </w:rPr>
              <w:t>统一</w:t>
            </w:r>
            <w:r>
              <w:rPr>
                <w:color w:val="000000"/>
                <w:kern w:val="0"/>
                <w:sz w:val="24"/>
                <w:highlight w:val="none"/>
                <w:u w:val="none"/>
                <w:lang w:val="zh-CN"/>
              </w:rPr>
              <w:t>清运</w:t>
            </w:r>
            <w:r>
              <w:rPr>
                <w:rFonts w:hint="eastAsia"/>
                <w:color w:val="000000"/>
                <w:kern w:val="0"/>
                <w:sz w:val="24"/>
                <w:highlight w:val="none"/>
                <w:u w:val="none"/>
                <w:lang w:val="en-US" w:eastAsia="zh-CN"/>
              </w:rPr>
              <w:t>处理或者外售至</w:t>
            </w:r>
            <w:r>
              <w:rPr>
                <w:rFonts w:hint="eastAsia"/>
                <w:color w:val="000000"/>
                <w:kern w:val="0"/>
                <w:sz w:val="24"/>
                <w:u w:val="none"/>
                <w:lang w:val="en-US" w:eastAsia="zh-CN"/>
              </w:rPr>
              <w:t>周边养殖户使用</w:t>
            </w:r>
            <w:r>
              <w:rPr>
                <w:rFonts w:hint="default" w:ascii="Times New Roman" w:hAnsi="Times New Roman"/>
                <w:color w:val="000000"/>
                <w:kern w:val="0"/>
                <w:sz w:val="24"/>
                <w:szCs w:val="24"/>
                <w:u w:val="none"/>
                <w:lang w:val="zh-CN"/>
              </w:rPr>
              <w:t>。</w:t>
            </w:r>
          </w:p>
          <w:p w14:paraId="6C2A3D99">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eastAsia="宋体"/>
                <w:color w:val="000000"/>
                <w:kern w:val="0"/>
                <w:sz w:val="24"/>
                <w:szCs w:val="24"/>
                <w:u w:val="none"/>
                <w:lang w:val="en-US" w:eastAsia="zh-CN"/>
              </w:rPr>
            </w:pPr>
            <w:r>
              <w:rPr>
                <w:rFonts w:ascii="Times New Roman" w:hAnsi="Times New Roman"/>
                <w:color w:val="000000"/>
                <w:kern w:val="0"/>
                <w:sz w:val="24"/>
                <w:szCs w:val="24"/>
                <w:u w:val="none"/>
                <w:lang w:val="zh-CN"/>
              </w:rPr>
              <w:t>（</w:t>
            </w:r>
            <w:r>
              <w:rPr>
                <w:rFonts w:hint="eastAsia" w:ascii="Times New Roman" w:hAnsi="Times New Roman"/>
                <w:color w:val="000000"/>
                <w:kern w:val="0"/>
                <w:sz w:val="24"/>
                <w:szCs w:val="24"/>
                <w:u w:val="none"/>
                <w:lang w:val="en-US" w:eastAsia="zh-CN"/>
              </w:rPr>
              <w:t>2</w:t>
            </w:r>
            <w:r>
              <w:rPr>
                <w:rFonts w:ascii="Times New Roman" w:hAnsi="Times New Roman"/>
                <w:color w:val="000000"/>
                <w:kern w:val="0"/>
                <w:sz w:val="24"/>
                <w:szCs w:val="24"/>
                <w:u w:val="none"/>
                <w:lang w:val="zh-CN"/>
              </w:rPr>
              <w:t>）</w:t>
            </w:r>
            <w:r>
              <w:rPr>
                <w:rFonts w:hint="eastAsia" w:ascii="Times New Roman" w:hAnsi="Times New Roman"/>
                <w:color w:val="000000"/>
                <w:kern w:val="0"/>
                <w:sz w:val="24"/>
                <w:szCs w:val="24"/>
                <w:u w:val="none"/>
                <w:lang w:val="en-US" w:eastAsia="zh-CN"/>
              </w:rPr>
              <w:t>辣椒去把</w:t>
            </w:r>
          </w:p>
          <w:p w14:paraId="2C2A6DE8">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hint="eastAsia" w:ascii="Times New Roman" w:hAnsi="Times New Roman"/>
                <w:color w:val="000000"/>
                <w:sz w:val="24"/>
                <w:szCs w:val="24"/>
                <w:u w:val="none"/>
                <w:lang w:val="en-US" w:eastAsia="zh-CN"/>
              </w:rPr>
              <w:t>项目采购过来的辣椒需要进行预处理去把去叶</w:t>
            </w:r>
            <w:r>
              <w:rPr>
                <w:rFonts w:hint="default" w:ascii="Times New Roman" w:hAnsi="Times New Roman"/>
                <w:color w:val="000000"/>
                <w:sz w:val="24"/>
                <w:szCs w:val="24"/>
                <w:u w:val="none"/>
              </w:rPr>
              <w:t>，本项目</w:t>
            </w:r>
            <w:r>
              <w:rPr>
                <w:rFonts w:hint="eastAsia"/>
                <w:color w:val="000000"/>
                <w:sz w:val="24"/>
                <w:szCs w:val="24"/>
                <w:u w:val="none"/>
                <w:lang w:val="en-US" w:eastAsia="zh-CN"/>
              </w:rPr>
              <w:t>在辣椒去把过程中会产生不可使用的辣椒把和辣椒叶，辣椒</w:t>
            </w:r>
            <w:r>
              <w:rPr>
                <w:rFonts w:hint="eastAsia"/>
                <w:color w:val="000000"/>
                <w:sz w:val="24"/>
                <w:szCs w:val="24"/>
                <w:highlight w:val="none"/>
                <w:u w:val="none"/>
                <w:lang w:val="en-US" w:eastAsia="zh-CN"/>
              </w:rPr>
              <w:t>使用量有1000</w:t>
            </w:r>
            <w:r>
              <w:rPr>
                <w:rFonts w:hint="default" w:ascii="Times New Roman" w:hAnsi="Times New Roman"/>
                <w:color w:val="000000"/>
                <w:sz w:val="24"/>
                <w:szCs w:val="24"/>
                <w:highlight w:val="none"/>
                <w:u w:val="none"/>
              </w:rPr>
              <w:t>t/a，</w:t>
            </w:r>
            <w:r>
              <w:rPr>
                <w:rFonts w:hint="eastAsia" w:ascii="Times New Roman" w:hAnsi="Times New Roman"/>
                <w:color w:val="000000"/>
                <w:sz w:val="24"/>
                <w:szCs w:val="24"/>
                <w:highlight w:val="none"/>
                <w:u w:val="none"/>
                <w:lang w:val="en-US" w:eastAsia="zh-CN"/>
              </w:rPr>
              <w:t>处理处理不可使用的</w:t>
            </w:r>
            <w:r>
              <w:rPr>
                <w:rFonts w:hint="eastAsia"/>
                <w:color w:val="000000"/>
                <w:sz w:val="24"/>
                <w:szCs w:val="24"/>
                <w:u w:val="none"/>
                <w:lang w:val="en-US" w:eastAsia="zh-CN"/>
              </w:rPr>
              <w:t>辣椒把和辣椒叶</w:t>
            </w:r>
            <w:r>
              <w:rPr>
                <w:rFonts w:hint="eastAsia"/>
                <w:color w:val="000000"/>
                <w:sz w:val="24"/>
                <w:szCs w:val="24"/>
                <w:highlight w:val="none"/>
                <w:u w:val="none"/>
                <w:lang w:val="en-US" w:eastAsia="zh-CN"/>
              </w:rPr>
              <w:t>量约占原料用量的0.01%，</w:t>
            </w:r>
            <w:r>
              <w:rPr>
                <w:rFonts w:hint="eastAsia"/>
                <w:color w:val="000000"/>
                <w:kern w:val="0"/>
                <w:sz w:val="24"/>
                <w:highlight w:val="none"/>
                <w:u w:val="none"/>
                <w:lang w:val="zh-CN"/>
              </w:rPr>
              <w:t>则</w:t>
            </w:r>
            <w:r>
              <w:rPr>
                <w:rFonts w:hint="eastAsia"/>
                <w:color w:val="000000"/>
                <w:sz w:val="24"/>
                <w:szCs w:val="24"/>
                <w:u w:val="none"/>
                <w:lang w:val="en-US" w:eastAsia="zh-CN"/>
              </w:rPr>
              <w:t>辣椒把和辣椒叶</w:t>
            </w:r>
            <w:r>
              <w:rPr>
                <w:rFonts w:hint="eastAsia"/>
                <w:color w:val="000000"/>
                <w:kern w:val="0"/>
                <w:sz w:val="24"/>
                <w:highlight w:val="none"/>
                <w:u w:val="none"/>
                <w:lang w:val="zh-CN"/>
              </w:rPr>
              <w:t>产生量为</w:t>
            </w:r>
            <w:r>
              <w:rPr>
                <w:rFonts w:hint="eastAsia"/>
                <w:color w:val="000000"/>
                <w:kern w:val="0"/>
                <w:sz w:val="24"/>
                <w:highlight w:val="none"/>
                <w:u w:val="none"/>
                <w:lang w:val="en-US" w:eastAsia="zh-CN"/>
              </w:rPr>
              <w:t>0.1</w:t>
            </w:r>
            <w:r>
              <w:rPr>
                <w:color w:val="000000"/>
                <w:kern w:val="0"/>
                <w:sz w:val="24"/>
                <w:highlight w:val="none"/>
                <w:u w:val="none"/>
                <w:lang w:val="zh-CN"/>
              </w:rPr>
              <w:t>t/a</w:t>
            </w:r>
            <w:r>
              <w:rPr>
                <w:rFonts w:hint="eastAsia"/>
                <w:color w:val="000000"/>
                <w:kern w:val="0"/>
                <w:sz w:val="24"/>
                <w:highlight w:val="none"/>
                <w:u w:val="none"/>
                <w:lang w:val="zh-CN"/>
              </w:rPr>
              <w:t>，</w:t>
            </w:r>
            <w:r>
              <w:rPr>
                <w:rFonts w:hint="eastAsia"/>
                <w:color w:val="000000"/>
                <w:kern w:val="0"/>
                <w:sz w:val="24"/>
                <w:highlight w:val="none"/>
                <w:u w:val="none"/>
                <w:lang w:val="en-US" w:eastAsia="zh-CN"/>
              </w:rPr>
              <w:t>企业</w:t>
            </w:r>
            <w:r>
              <w:rPr>
                <w:rFonts w:hint="eastAsia"/>
                <w:color w:val="000000"/>
                <w:sz w:val="24"/>
                <w:szCs w:val="24"/>
                <w:highlight w:val="none"/>
                <w:u w:val="none"/>
                <w:lang w:val="en-US" w:eastAsia="zh-CN"/>
              </w:rPr>
              <w:t>定期定时对</w:t>
            </w:r>
            <w:r>
              <w:rPr>
                <w:rFonts w:hint="eastAsia"/>
                <w:color w:val="000000"/>
                <w:sz w:val="24"/>
                <w:szCs w:val="24"/>
                <w:u w:val="none"/>
                <w:lang w:val="en-US" w:eastAsia="zh-CN"/>
              </w:rPr>
              <w:t>辣椒把和辣椒叶</w:t>
            </w:r>
            <w:r>
              <w:rPr>
                <w:rFonts w:hint="eastAsia"/>
                <w:color w:val="000000"/>
                <w:sz w:val="24"/>
                <w:szCs w:val="24"/>
                <w:highlight w:val="none"/>
                <w:u w:val="none"/>
                <w:lang w:val="en-US" w:eastAsia="zh-CN"/>
              </w:rPr>
              <w:t>进行统一</w:t>
            </w:r>
            <w:r>
              <w:rPr>
                <w:rFonts w:hint="default" w:ascii="Times New Roman" w:hAnsi="Times New Roman"/>
                <w:color w:val="000000"/>
                <w:sz w:val="24"/>
                <w:szCs w:val="24"/>
                <w:highlight w:val="none"/>
                <w:u w:val="none"/>
              </w:rPr>
              <w:t>收集后</w:t>
            </w:r>
            <w:r>
              <w:rPr>
                <w:rFonts w:hint="eastAsia"/>
                <w:color w:val="000000"/>
                <w:kern w:val="0"/>
                <w:sz w:val="24"/>
                <w:highlight w:val="none"/>
                <w:u w:val="none"/>
                <w:lang w:val="en-US" w:eastAsia="zh-CN"/>
              </w:rPr>
              <w:t>再</w:t>
            </w:r>
            <w:r>
              <w:rPr>
                <w:color w:val="000000"/>
                <w:kern w:val="0"/>
                <w:sz w:val="24"/>
                <w:highlight w:val="none"/>
                <w:u w:val="none"/>
                <w:lang w:val="zh-CN"/>
              </w:rPr>
              <w:t>由环卫部门</w:t>
            </w:r>
            <w:r>
              <w:rPr>
                <w:rFonts w:hint="eastAsia"/>
                <w:color w:val="000000"/>
                <w:kern w:val="0"/>
                <w:sz w:val="24"/>
                <w:highlight w:val="none"/>
                <w:u w:val="none"/>
                <w:lang w:val="zh-CN"/>
              </w:rPr>
              <w:t>统一</w:t>
            </w:r>
            <w:r>
              <w:rPr>
                <w:color w:val="000000"/>
                <w:kern w:val="0"/>
                <w:sz w:val="24"/>
                <w:highlight w:val="none"/>
                <w:u w:val="none"/>
                <w:lang w:val="zh-CN"/>
              </w:rPr>
              <w:t>清运</w:t>
            </w:r>
            <w:r>
              <w:rPr>
                <w:rFonts w:hint="eastAsia"/>
                <w:color w:val="000000"/>
                <w:kern w:val="0"/>
                <w:sz w:val="24"/>
                <w:highlight w:val="none"/>
                <w:u w:val="none"/>
                <w:lang w:val="en-US" w:eastAsia="zh-CN"/>
              </w:rPr>
              <w:t>处理</w:t>
            </w:r>
            <w:r>
              <w:rPr>
                <w:rFonts w:hint="default" w:ascii="Times New Roman" w:hAnsi="Times New Roman"/>
                <w:color w:val="000000"/>
                <w:kern w:val="0"/>
                <w:sz w:val="24"/>
                <w:szCs w:val="24"/>
                <w:u w:val="none"/>
                <w:lang w:val="zh-CN"/>
              </w:rPr>
              <w:t>。</w:t>
            </w:r>
          </w:p>
          <w:p w14:paraId="4C1A7178">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3</w:t>
            </w: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挑选工序</w:t>
            </w:r>
          </w:p>
          <w:p w14:paraId="3AFEB14E">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hint="default" w:ascii="Times New Roman" w:hAnsi="Times New Roman"/>
                <w:color w:val="000000"/>
                <w:sz w:val="24"/>
                <w:szCs w:val="24"/>
                <w:u w:val="none"/>
              </w:rPr>
              <w:t>根据</w:t>
            </w:r>
            <w:r>
              <w:rPr>
                <w:rFonts w:hint="eastAsia"/>
                <w:color w:val="000000"/>
                <w:sz w:val="24"/>
                <w:szCs w:val="24"/>
                <w:u w:val="none"/>
                <w:lang w:val="en-US" w:eastAsia="zh-CN"/>
              </w:rPr>
              <w:t>产品生产流程</w:t>
            </w:r>
            <w:r>
              <w:rPr>
                <w:rFonts w:hint="default" w:ascii="Times New Roman" w:hAnsi="Times New Roman"/>
                <w:color w:val="000000"/>
                <w:sz w:val="24"/>
                <w:szCs w:val="24"/>
                <w:u w:val="none"/>
              </w:rPr>
              <w:t>分析，项目</w:t>
            </w:r>
            <w:r>
              <w:rPr>
                <w:rFonts w:hint="eastAsia"/>
                <w:color w:val="000000"/>
                <w:sz w:val="24"/>
                <w:szCs w:val="24"/>
                <w:u w:val="none"/>
                <w:lang w:val="en-US" w:eastAsia="zh-CN"/>
              </w:rPr>
              <w:t>在辣椒酱挑选过程中会产生不能使用原料残渣，</w:t>
            </w:r>
            <w:r>
              <w:rPr>
                <w:rFonts w:hint="eastAsia"/>
                <w:color w:val="000000"/>
                <w:sz w:val="24"/>
                <w:szCs w:val="24"/>
                <w:highlight w:val="none"/>
                <w:u w:val="none"/>
                <w:lang w:val="en-US" w:eastAsia="zh-CN"/>
              </w:rPr>
              <w:t>挑选工序辣椒使用量约有800</w:t>
            </w:r>
            <w:r>
              <w:rPr>
                <w:rFonts w:hint="default" w:ascii="Times New Roman" w:hAnsi="Times New Roman"/>
                <w:color w:val="000000"/>
                <w:sz w:val="24"/>
                <w:szCs w:val="24"/>
                <w:highlight w:val="none"/>
                <w:u w:val="none"/>
              </w:rPr>
              <w:t>t/a，</w:t>
            </w:r>
            <w:r>
              <w:rPr>
                <w:rFonts w:hint="eastAsia"/>
                <w:color w:val="000000"/>
                <w:sz w:val="24"/>
                <w:szCs w:val="24"/>
                <w:highlight w:val="none"/>
                <w:u w:val="none"/>
                <w:lang w:val="en-US" w:eastAsia="zh-CN"/>
              </w:rPr>
              <w:t>则废残渣量约占原料用量的0.01%，</w:t>
            </w:r>
            <w:r>
              <w:rPr>
                <w:rFonts w:hint="eastAsia"/>
                <w:color w:val="000000"/>
                <w:kern w:val="0"/>
                <w:sz w:val="24"/>
                <w:highlight w:val="none"/>
                <w:u w:val="none"/>
                <w:lang w:val="zh-CN"/>
              </w:rPr>
              <w:t>则</w:t>
            </w:r>
            <w:r>
              <w:rPr>
                <w:rFonts w:hint="eastAsia"/>
                <w:color w:val="000000"/>
                <w:kern w:val="0"/>
                <w:sz w:val="24"/>
                <w:highlight w:val="none"/>
                <w:u w:val="none"/>
                <w:lang w:val="en-US" w:eastAsia="zh-CN"/>
              </w:rPr>
              <w:t>废残渣</w:t>
            </w:r>
            <w:r>
              <w:rPr>
                <w:rFonts w:hint="eastAsia"/>
                <w:color w:val="000000"/>
                <w:kern w:val="0"/>
                <w:sz w:val="24"/>
                <w:highlight w:val="none"/>
                <w:u w:val="none"/>
                <w:lang w:val="zh-CN"/>
              </w:rPr>
              <w:t>产生量为</w:t>
            </w:r>
            <w:r>
              <w:rPr>
                <w:rFonts w:hint="eastAsia"/>
                <w:color w:val="000000"/>
                <w:kern w:val="0"/>
                <w:sz w:val="24"/>
                <w:highlight w:val="none"/>
                <w:u w:val="none"/>
                <w:lang w:val="en-US" w:eastAsia="zh-CN"/>
              </w:rPr>
              <w:t>0.08</w:t>
            </w:r>
            <w:r>
              <w:rPr>
                <w:color w:val="000000"/>
                <w:kern w:val="0"/>
                <w:sz w:val="24"/>
                <w:highlight w:val="none"/>
                <w:u w:val="none"/>
                <w:lang w:val="zh-CN"/>
              </w:rPr>
              <w:t>t/a</w:t>
            </w:r>
            <w:r>
              <w:rPr>
                <w:rFonts w:hint="eastAsia"/>
                <w:color w:val="000000"/>
                <w:kern w:val="0"/>
                <w:sz w:val="24"/>
                <w:highlight w:val="none"/>
                <w:u w:val="none"/>
                <w:lang w:val="zh-CN"/>
              </w:rPr>
              <w:t>，</w:t>
            </w:r>
            <w:r>
              <w:rPr>
                <w:rFonts w:hint="eastAsia"/>
                <w:color w:val="000000"/>
                <w:kern w:val="0"/>
                <w:sz w:val="24"/>
                <w:highlight w:val="none"/>
                <w:u w:val="none"/>
                <w:lang w:val="en-US" w:eastAsia="zh-CN"/>
              </w:rPr>
              <w:t>企业</w:t>
            </w:r>
            <w:r>
              <w:rPr>
                <w:rFonts w:hint="eastAsia"/>
                <w:color w:val="000000"/>
                <w:sz w:val="24"/>
                <w:szCs w:val="24"/>
                <w:highlight w:val="none"/>
                <w:u w:val="none"/>
                <w:lang w:val="en-US" w:eastAsia="zh-CN"/>
              </w:rPr>
              <w:t>定期定时对废残渣进行统一</w:t>
            </w:r>
            <w:r>
              <w:rPr>
                <w:rFonts w:hint="default" w:ascii="Times New Roman" w:hAnsi="Times New Roman"/>
                <w:color w:val="000000"/>
                <w:sz w:val="24"/>
                <w:szCs w:val="24"/>
                <w:highlight w:val="none"/>
                <w:u w:val="none"/>
              </w:rPr>
              <w:t>收集后</w:t>
            </w:r>
            <w:r>
              <w:rPr>
                <w:rFonts w:hint="eastAsia"/>
                <w:color w:val="000000"/>
                <w:kern w:val="0"/>
                <w:sz w:val="24"/>
                <w:highlight w:val="none"/>
                <w:u w:val="none"/>
                <w:lang w:val="en-US" w:eastAsia="zh-CN"/>
              </w:rPr>
              <w:t>再</w:t>
            </w:r>
            <w:r>
              <w:rPr>
                <w:color w:val="000000"/>
                <w:kern w:val="0"/>
                <w:sz w:val="24"/>
                <w:highlight w:val="none"/>
                <w:u w:val="none"/>
                <w:lang w:val="zh-CN"/>
              </w:rPr>
              <w:t>由环卫部门</w:t>
            </w:r>
            <w:r>
              <w:rPr>
                <w:rFonts w:hint="eastAsia"/>
                <w:color w:val="000000"/>
                <w:kern w:val="0"/>
                <w:sz w:val="24"/>
                <w:highlight w:val="none"/>
                <w:u w:val="none"/>
                <w:lang w:val="zh-CN"/>
              </w:rPr>
              <w:t>统一</w:t>
            </w:r>
            <w:r>
              <w:rPr>
                <w:color w:val="000000"/>
                <w:kern w:val="0"/>
                <w:sz w:val="24"/>
                <w:highlight w:val="none"/>
                <w:u w:val="none"/>
                <w:lang w:val="zh-CN"/>
              </w:rPr>
              <w:t>清运</w:t>
            </w:r>
            <w:r>
              <w:rPr>
                <w:rFonts w:hint="eastAsia"/>
                <w:color w:val="000000"/>
                <w:kern w:val="0"/>
                <w:sz w:val="24"/>
                <w:highlight w:val="none"/>
                <w:u w:val="none"/>
                <w:lang w:val="en-US" w:eastAsia="zh-CN"/>
              </w:rPr>
              <w:t>处理或者外售至</w:t>
            </w:r>
            <w:r>
              <w:rPr>
                <w:rFonts w:hint="eastAsia"/>
                <w:color w:val="000000"/>
                <w:kern w:val="0"/>
                <w:sz w:val="24"/>
                <w:u w:val="none"/>
                <w:lang w:val="en-US" w:eastAsia="zh-CN"/>
              </w:rPr>
              <w:t>周边养殖户使用</w:t>
            </w:r>
            <w:r>
              <w:rPr>
                <w:rFonts w:hint="default" w:ascii="Times New Roman" w:hAnsi="Times New Roman"/>
                <w:color w:val="000000"/>
                <w:kern w:val="0"/>
                <w:sz w:val="24"/>
                <w:szCs w:val="24"/>
                <w:u w:val="none"/>
                <w:lang w:val="zh-CN"/>
              </w:rPr>
              <w:t>。</w:t>
            </w:r>
          </w:p>
          <w:p w14:paraId="32EF5403">
            <w:pPr>
              <w:keepNext w:val="0"/>
              <w:keepLines w:val="0"/>
              <w:pageBreakBefore w:val="0"/>
              <w:widowControl w:val="0"/>
              <w:numPr>
                <w:ilvl w:val="0"/>
                <w:numId w:val="0"/>
              </w:numPr>
              <w:kinsoku/>
              <w:wordWrap/>
              <w:overflowPunct/>
              <w:topLinePunct w:val="0"/>
              <w:autoSpaceDE w:val="0"/>
              <w:autoSpaceDN w:val="0"/>
              <w:bidi w:val="0"/>
              <w:adjustRightInd w:val="0"/>
              <w:spacing w:line="500" w:lineRule="exact"/>
              <w:ind w:firstLine="482" w:firstLineChars="0"/>
              <w:textAlignment w:val="auto"/>
              <w:outlineLvl w:val="0"/>
              <w:rPr>
                <w:rFonts w:hint="default" w:ascii="Times New Roman" w:hAnsi="Times New Roman"/>
                <w:color w:val="000000"/>
                <w:sz w:val="24"/>
                <w:szCs w:val="24"/>
                <w:highlight w:val="none"/>
                <w:u w:val="none"/>
                <w:lang w:val="en-US" w:eastAsia="zh-CN"/>
              </w:rPr>
            </w:pPr>
            <w:r>
              <w:rPr>
                <w:rFonts w:hint="eastAsia" w:ascii="Times New Roman" w:hAnsi="Times New Roman" w:eastAsia="宋体" w:cs="Times New Roman"/>
                <w:color w:val="000000"/>
                <w:kern w:val="2"/>
                <w:sz w:val="24"/>
                <w:szCs w:val="24"/>
                <w:highlight w:val="none"/>
                <w:u w:val="none"/>
                <w:lang w:val="en-US" w:eastAsia="zh-CN" w:bidi="ar-SA"/>
              </w:rPr>
              <w:t>（</w:t>
            </w:r>
            <w:r>
              <w:rPr>
                <w:rFonts w:hint="eastAsia" w:cs="Times New Roman"/>
                <w:color w:val="000000"/>
                <w:kern w:val="2"/>
                <w:sz w:val="24"/>
                <w:szCs w:val="24"/>
                <w:highlight w:val="none"/>
                <w:u w:val="none"/>
                <w:lang w:val="en-US" w:eastAsia="zh-CN" w:bidi="ar-SA"/>
              </w:rPr>
              <w:t>4</w:t>
            </w:r>
            <w:r>
              <w:rPr>
                <w:rFonts w:hint="eastAsia" w:ascii="Times New Roman" w:hAnsi="Times New Roman" w:eastAsia="宋体" w:cs="Times New Roman"/>
                <w:color w:val="000000"/>
                <w:kern w:val="2"/>
                <w:sz w:val="24"/>
                <w:szCs w:val="24"/>
                <w:highlight w:val="none"/>
                <w:u w:val="none"/>
                <w:lang w:val="en-US" w:eastAsia="zh-CN" w:bidi="ar-SA"/>
              </w:rPr>
              <w:t>）</w:t>
            </w:r>
            <w:r>
              <w:rPr>
                <w:rFonts w:hint="eastAsia" w:cs="Times New Roman"/>
                <w:color w:val="000000"/>
                <w:kern w:val="2"/>
                <w:sz w:val="24"/>
                <w:szCs w:val="24"/>
                <w:highlight w:val="none"/>
                <w:u w:val="none"/>
                <w:lang w:val="en-US" w:eastAsia="zh-CN" w:bidi="ar-SA"/>
              </w:rPr>
              <w:t>沉淀</w:t>
            </w:r>
            <w:r>
              <w:rPr>
                <w:rFonts w:hint="eastAsia"/>
                <w:color w:val="000000"/>
                <w:sz w:val="24"/>
                <w:szCs w:val="24"/>
                <w:highlight w:val="none"/>
                <w:u w:val="none"/>
                <w:lang w:val="en-US" w:eastAsia="zh-CN"/>
              </w:rPr>
              <w:t>杂质污泥</w:t>
            </w:r>
          </w:p>
          <w:p w14:paraId="1C3AFB8D">
            <w:pPr>
              <w:keepNext w:val="0"/>
              <w:keepLines w:val="0"/>
              <w:pageBreakBefore w:val="0"/>
              <w:widowControl w:val="0"/>
              <w:numPr>
                <w:ilvl w:val="0"/>
                <w:numId w:val="0"/>
              </w:numPr>
              <w:kinsoku/>
              <w:wordWrap/>
              <w:overflowPunct/>
              <w:topLinePunct w:val="0"/>
              <w:autoSpaceDE w:val="0"/>
              <w:autoSpaceDN w:val="0"/>
              <w:bidi w:val="0"/>
              <w:adjustRightInd w:val="0"/>
              <w:spacing w:line="500" w:lineRule="exact"/>
              <w:ind w:firstLine="480" w:firstLineChars="200"/>
              <w:textAlignment w:val="auto"/>
              <w:outlineLvl w:val="0"/>
              <w:rPr>
                <w:color w:val="000000"/>
                <w:kern w:val="0"/>
                <w:sz w:val="24"/>
                <w:highlight w:val="none"/>
                <w:u w:val="none"/>
                <w:lang w:val="zh-CN"/>
              </w:rPr>
            </w:pPr>
            <w:r>
              <w:rPr>
                <w:rFonts w:hint="eastAsia"/>
                <w:color w:val="000000"/>
                <w:kern w:val="0"/>
                <w:sz w:val="24"/>
                <w:highlight w:val="none"/>
                <w:u w:val="none"/>
                <w:lang w:val="en-US" w:eastAsia="zh-CN"/>
              </w:rPr>
              <w:t>项目外排的生产废水在沉淀池或者污水处理设施中会有沉淀污泥产生，生产废水主要为清洁废水和锅炉废水，沉淀含有锅炉杂质和原料表面的粘土、污渍、杂质等等，不符合生产要求的物质，生产废水产生量为</w:t>
            </w:r>
            <w:r>
              <w:rPr>
                <w:rFonts w:hint="eastAsia"/>
                <w:color w:val="000000"/>
                <w:sz w:val="24"/>
                <w:szCs w:val="24"/>
                <w:highlight w:val="none"/>
                <w:u w:val="none"/>
                <w:lang w:val="en-US" w:eastAsia="zh-CN"/>
              </w:rPr>
              <w:t>2126.1</w:t>
            </w:r>
            <w:r>
              <w:rPr>
                <w:rFonts w:hint="default" w:ascii="Times New Roman" w:hAnsi="Times New Roman"/>
                <w:color w:val="000000"/>
                <w:sz w:val="24"/>
                <w:szCs w:val="24"/>
                <w:highlight w:val="none"/>
                <w:u w:val="none"/>
              </w:rPr>
              <w:t>t/a，</w:t>
            </w:r>
            <w:r>
              <w:rPr>
                <w:rFonts w:hint="eastAsia"/>
                <w:color w:val="000000"/>
                <w:sz w:val="24"/>
                <w:szCs w:val="24"/>
                <w:highlight w:val="none"/>
                <w:u w:val="none"/>
                <w:lang w:val="en-US" w:eastAsia="zh-CN"/>
              </w:rPr>
              <w:t>生产废水沉淀的量约占生产废水用量的0.1%，</w:t>
            </w:r>
            <w:r>
              <w:rPr>
                <w:rFonts w:hint="eastAsia"/>
                <w:color w:val="000000"/>
                <w:kern w:val="0"/>
                <w:sz w:val="24"/>
                <w:highlight w:val="none"/>
                <w:u w:val="none"/>
                <w:lang w:val="zh-CN"/>
              </w:rPr>
              <w:t>则</w:t>
            </w:r>
            <w:r>
              <w:rPr>
                <w:rFonts w:hint="eastAsia"/>
                <w:color w:val="000000"/>
                <w:kern w:val="0"/>
                <w:sz w:val="24"/>
                <w:highlight w:val="none"/>
                <w:u w:val="none"/>
                <w:lang w:val="en-US" w:eastAsia="zh-CN"/>
              </w:rPr>
              <w:t>生产废水沉淀</w:t>
            </w:r>
            <w:r>
              <w:rPr>
                <w:rFonts w:hint="eastAsia"/>
                <w:color w:val="000000"/>
                <w:kern w:val="0"/>
                <w:sz w:val="24"/>
                <w:highlight w:val="none"/>
                <w:u w:val="none"/>
                <w:lang w:val="zh-CN"/>
              </w:rPr>
              <w:t>产生量</w:t>
            </w:r>
            <w:r>
              <w:rPr>
                <w:rFonts w:hint="eastAsia"/>
                <w:color w:val="000000"/>
                <w:kern w:val="0"/>
                <w:sz w:val="24"/>
                <w:highlight w:val="none"/>
                <w:u w:val="none"/>
                <w:lang w:val="en-US" w:eastAsia="zh-CN"/>
              </w:rPr>
              <w:t>约</w:t>
            </w:r>
            <w:r>
              <w:rPr>
                <w:rFonts w:hint="eastAsia"/>
                <w:color w:val="000000"/>
                <w:kern w:val="0"/>
                <w:sz w:val="24"/>
                <w:highlight w:val="none"/>
                <w:u w:val="none"/>
                <w:lang w:val="zh-CN"/>
              </w:rPr>
              <w:t>为</w:t>
            </w:r>
            <w:r>
              <w:rPr>
                <w:rFonts w:hint="eastAsia"/>
                <w:color w:val="000000"/>
                <w:kern w:val="0"/>
                <w:sz w:val="24"/>
                <w:highlight w:val="none"/>
                <w:u w:val="none"/>
                <w:lang w:val="en-US" w:eastAsia="zh-CN"/>
              </w:rPr>
              <w:t>2.13</w:t>
            </w:r>
            <w:r>
              <w:rPr>
                <w:color w:val="000000"/>
                <w:kern w:val="0"/>
                <w:sz w:val="24"/>
                <w:highlight w:val="none"/>
                <w:u w:val="none"/>
                <w:lang w:val="zh-CN"/>
              </w:rPr>
              <w:t>t/a</w:t>
            </w:r>
            <w:r>
              <w:rPr>
                <w:rFonts w:hint="eastAsia"/>
                <w:color w:val="000000"/>
                <w:kern w:val="0"/>
                <w:sz w:val="24"/>
                <w:highlight w:val="none"/>
                <w:u w:val="none"/>
                <w:lang w:val="zh-CN"/>
              </w:rPr>
              <w:t>，</w:t>
            </w:r>
            <w:r>
              <w:rPr>
                <w:rFonts w:hint="eastAsia"/>
                <w:color w:val="000000"/>
                <w:kern w:val="0"/>
                <w:sz w:val="24"/>
                <w:highlight w:val="none"/>
                <w:u w:val="none"/>
                <w:lang w:val="en-US" w:eastAsia="zh-CN"/>
              </w:rPr>
              <w:t>项目对沉淀进行处理，</w:t>
            </w:r>
            <w:r>
              <w:rPr>
                <w:rFonts w:hint="eastAsia" w:cs="宋体"/>
                <w:color w:val="auto"/>
                <w:kern w:val="2"/>
                <w:sz w:val="24"/>
                <w:szCs w:val="24"/>
                <w:highlight w:val="none"/>
                <w:lang w:val="en-US" w:eastAsia="zh-CN" w:bidi="ar-SA"/>
              </w:rPr>
              <w:t>沉淀下来的杂质和污泥，企业分类收集处理</w:t>
            </w:r>
            <w:r>
              <w:rPr>
                <w:rFonts w:hint="eastAsia" w:ascii="Times New Roman" w:hAnsi="Times New Roman" w:eastAsia="宋体" w:cs="宋体"/>
                <w:color w:val="auto"/>
                <w:kern w:val="2"/>
                <w:sz w:val="24"/>
                <w:szCs w:val="24"/>
                <w:highlight w:val="none"/>
                <w:lang w:val="en-US" w:eastAsia="zh-CN" w:bidi="ar-SA"/>
              </w:rPr>
              <w:t>由</w:t>
            </w:r>
            <w:r>
              <w:rPr>
                <w:rFonts w:hint="eastAsia" w:cs="宋体"/>
                <w:color w:val="auto"/>
                <w:kern w:val="2"/>
                <w:sz w:val="24"/>
                <w:szCs w:val="24"/>
                <w:highlight w:val="none"/>
                <w:lang w:val="en-US" w:eastAsia="zh-CN" w:bidi="ar-SA"/>
              </w:rPr>
              <w:t>抽吸车拉走至</w:t>
            </w:r>
            <w:r>
              <w:rPr>
                <w:rFonts w:hint="eastAsia" w:ascii="Times New Roman" w:hAnsi="Times New Roman" w:eastAsia="宋体" w:cs="宋体"/>
                <w:color w:val="auto"/>
                <w:kern w:val="2"/>
                <w:sz w:val="24"/>
                <w:szCs w:val="24"/>
                <w:highlight w:val="none"/>
                <w:lang w:val="en-US" w:eastAsia="zh-CN" w:bidi="ar-SA"/>
              </w:rPr>
              <w:t>环卫部门集中清运</w:t>
            </w:r>
            <w:r>
              <w:rPr>
                <w:rFonts w:hint="default" w:ascii="Times New Roman" w:hAnsi="Times New Roman"/>
                <w:color w:val="000000"/>
                <w:kern w:val="0"/>
                <w:sz w:val="24"/>
                <w:szCs w:val="24"/>
                <w:highlight w:val="none"/>
                <w:u w:val="none"/>
                <w:lang w:val="zh-CN"/>
              </w:rPr>
              <w:t>。</w:t>
            </w:r>
          </w:p>
          <w:p w14:paraId="5AC5D4F2">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5</w:t>
            </w: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不合格产品</w:t>
            </w:r>
          </w:p>
          <w:p w14:paraId="12C8A926">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hint="eastAsia"/>
                <w:color w:val="000000"/>
                <w:sz w:val="24"/>
                <w:szCs w:val="24"/>
                <w:u w:val="none"/>
                <w:lang w:val="en-US" w:eastAsia="zh-CN"/>
              </w:rPr>
              <w:t>牛骨高汤和辣椒制会进行检测</w:t>
            </w:r>
            <w:r>
              <w:rPr>
                <w:rFonts w:hint="default" w:ascii="Times New Roman" w:hAnsi="Times New Roman"/>
                <w:color w:val="000000"/>
                <w:sz w:val="24"/>
                <w:szCs w:val="24"/>
                <w:u w:val="none"/>
              </w:rPr>
              <w:t>，</w:t>
            </w:r>
            <w:r>
              <w:rPr>
                <w:rFonts w:hint="eastAsia"/>
                <w:color w:val="000000"/>
                <w:sz w:val="24"/>
                <w:szCs w:val="24"/>
                <w:u w:val="none"/>
                <w:lang w:val="en-US" w:eastAsia="zh-CN"/>
              </w:rPr>
              <w:t>企业会对生产的产品进行检验，如出现不合格产品时，需要将不合格产品处理销毁掉，不能进行出售，但产品生产属于半自动化，减少员工手动参与，所以出现不合格产品的概率较小，</w:t>
            </w:r>
            <w:r>
              <w:rPr>
                <w:rFonts w:hint="default" w:ascii="Times New Roman" w:hAnsi="Times New Roman"/>
                <w:color w:val="000000"/>
                <w:sz w:val="24"/>
                <w:szCs w:val="24"/>
                <w:u w:val="none"/>
              </w:rPr>
              <w:t>本项目</w:t>
            </w:r>
            <w:r>
              <w:rPr>
                <w:rFonts w:hint="eastAsia"/>
                <w:color w:val="000000"/>
                <w:sz w:val="24"/>
                <w:szCs w:val="24"/>
                <w:u w:val="none"/>
                <w:lang w:val="en-US" w:eastAsia="zh-CN"/>
              </w:rPr>
              <w:t>产品生产量约为2</w:t>
            </w:r>
            <w:r>
              <w:rPr>
                <w:rFonts w:hint="eastAsia"/>
                <w:color w:val="000000"/>
                <w:sz w:val="24"/>
                <w:szCs w:val="24"/>
                <w:highlight w:val="none"/>
                <w:u w:val="none"/>
                <w:lang w:val="en-US" w:eastAsia="zh-CN"/>
              </w:rPr>
              <w:t>000</w:t>
            </w:r>
            <w:r>
              <w:rPr>
                <w:rFonts w:hint="default" w:ascii="Times New Roman" w:hAnsi="Times New Roman"/>
                <w:color w:val="000000"/>
                <w:sz w:val="24"/>
                <w:szCs w:val="24"/>
                <w:highlight w:val="none"/>
                <w:u w:val="none"/>
              </w:rPr>
              <w:t>t/a，</w:t>
            </w:r>
            <w:r>
              <w:rPr>
                <w:rFonts w:hint="eastAsia"/>
                <w:color w:val="000000"/>
                <w:sz w:val="24"/>
                <w:szCs w:val="24"/>
                <w:highlight w:val="none"/>
                <w:u w:val="none"/>
                <w:lang w:val="en-US" w:eastAsia="zh-CN"/>
              </w:rPr>
              <w:t>不合格产品的量约占产品量的0.001%，</w:t>
            </w:r>
            <w:r>
              <w:rPr>
                <w:rFonts w:hint="eastAsia"/>
                <w:color w:val="000000"/>
                <w:kern w:val="0"/>
                <w:sz w:val="24"/>
                <w:highlight w:val="none"/>
                <w:u w:val="none"/>
                <w:lang w:val="zh-CN"/>
              </w:rPr>
              <w:t>则</w:t>
            </w:r>
            <w:r>
              <w:rPr>
                <w:rFonts w:hint="eastAsia"/>
                <w:color w:val="000000"/>
                <w:kern w:val="0"/>
                <w:sz w:val="24"/>
                <w:highlight w:val="none"/>
                <w:u w:val="none"/>
                <w:lang w:val="en-US" w:eastAsia="zh-CN"/>
              </w:rPr>
              <w:t>不合格产品</w:t>
            </w:r>
            <w:r>
              <w:rPr>
                <w:rFonts w:hint="eastAsia"/>
                <w:color w:val="000000"/>
                <w:kern w:val="0"/>
                <w:sz w:val="24"/>
                <w:highlight w:val="none"/>
                <w:u w:val="none"/>
                <w:lang w:val="zh-CN"/>
              </w:rPr>
              <w:t>产生量为</w:t>
            </w:r>
            <w:r>
              <w:rPr>
                <w:rFonts w:hint="eastAsia"/>
                <w:color w:val="000000"/>
                <w:kern w:val="0"/>
                <w:sz w:val="24"/>
                <w:highlight w:val="none"/>
                <w:u w:val="none"/>
                <w:lang w:val="en-US" w:eastAsia="zh-CN"/>
              </w:rPr>
              <w:t>0.02</w:t>
            </w:r>
            <w:r>
              <w:rPr>
                <w:color w:val="000000"/>
                <w:kern w:val="0"/>
                <w:sz w:val="24"/>
                <w:highlight w:val="none"/>
                <w:u w:val="none"/>
                <w:lang w:val="zh-CN"/>
              </w:rPr>
              <w:t>t/a</w:t>
            </w:r>
            <w:r>
              <w:rPr>
                <w:rFonts w:hint="eastAsia"/>
                <w:color w:val="000000"/>
                <w:kern w:val="0"/>
                <w:sz w:val="24"/>
                <w:highlight w:val="none"/>
                <w:u w:val="none"/>
                <w:lang w:val="zh-CN"/>
              </w:rPr>
              <w:t>，</w:t>
            </w:r>
            <w:r>
              <w:rPr>
                <w:rFonts w:hint="eastAsia"/>
                <w:color w:val="000000"/>
                <w:kern w:val="0"/>
                <w:sz w:val="24"/>
                <w:highlight w:val="none"/>
                <w:u w:val="none"/>
                <w:lang w:val="en-US" w:eastAsia="zh-CN"/>
              </w:rPr>
              <w:t>企业及时</w:t>
            </w:r>
            <w:r>
              <w:rPr>
                <w:rFonts w:hint="eastAsia"/>
                <w:color w:val="000000"/>
                <w:kern w:val="0"/>
                <w:sz w:val="24"/>
                <w:u w:val="none"/>
                <w:lang w:val="en-US" w:eastAsia="zh-CN"/>
              </w:rPr>
              <w:t>对不合格产品</w:t>
            </w:r>
            <w:r>
              <w:rPr>
                <w:rFonts w:hint="eastAsia"/>
                <w:color w:val="000000"/>
                <w:sz w:val="24"/>
                <w:szCs w:val="24"/>
                <w:u w:val="none"/>
                <w:lang w:val="en-US" w:eastAsia="zh-CN"/>
              </w:rPr>
              <w:t>进行统一</w:t>
            </w:r>
            <w:r>
              <w:rPr>
                <w:rFonts w:hint="default" w:ascii="Times New Roman" w:hAnsi="Times New Roman"/>
                <w:color w:val="000000"/>
                <w:sz w:val="24"/>
                <w:szCs w:val="24"/>
                <w:u w:val="none"/>
              </w:rPr>
              <w:t>收集后</w:t>
            </w:r>
            <w:r>
              <w:rPr>
                <w:color w:val="000000"/>
                <w:kern w:val="0"/>
                <w:sz w:val="24"/>
                <w:u w:val="none"/>
                <w:lang w:val="zh-CN"/>
              </w:rPr>
              <w:t>由环卫部门</w:t>
            </w:r>
            <w:r>
              <w:rPr>
                <w:rFonts w:hint="eastAsia"/>
                <w:color w:val="000000"/>
                <w:kern w:val="0"/>
                <w:sz w:val="24"/>
                <w:u w:val="none"/>
                <w:lang w:val="zh-CN"/>
              </w:rPr>
              <w:t>统一</w:t>
            </w:r>
            <w:r>
              <w:rPr>
                <w:color w:val="000000"/>
                <w:kern w:val="0"/>
                <w:sz w:val="24"/>
                <w:u w:val="none"/>
                <w:lang w:val="zh-CN"/>
              </w:rPr>
              <w:t>清运</w:t>
            </w:r>
            <w:r>
              <w:rPr>
                <w:rFonts w:hint="eastAsia"/>
                <w:color w:val="000000"/>
                <w:kern w:val="0"/>
                <w:sz w:val="24"/>
                <w:u w:val="none"/>
                <w:lang w:val="en-US" w:eastAsia="zh-CN"/>
              </w:rPr>
              <w:t>处理</w:t>
            </w:r>
            <w:r>
              <w:rPr>
                <w:rFonts w:hint="default" w:ascii="Times New Roman" w:hAnsi="Times New Roman"/>
                <w:color w:val="000000"/>
                <w:kern w:val="0"/>
                <w:sz w:val="24"/>
                <w:szCs w:val="24"/>
                <w:u w:val="none"/>
                <w:lang w:val="zh-CN"/>
              </w:rPr>
              <w:t>。</w:t>
            </w:r>
          </w:p>
          <w:p w14:paraId="7974F87A">
            <w:pPr>
              <w:keepNext w:val="0"/>
              <w:keepLines w:val="0"/>
              <w:pageBreakBefore w:val="0"/>
              <w:widowControl w:val="0"/>
              <w:numPr>
                <w:ilvl w:val="0"/>
                <w:numId w:val="0"/>
              </w:numPr>
              <w:kinsoku/>
              <w:wordWrap/>
              <w:overflowPunct/>
              <w:topLinePunct w:val="0"/>
              <w:autoSpaceDE w:val="0"/>
              <w:autoSpaceDN w:val="0"/>
              <w:bidi w:val="0"/>
              <w:adjustRightInd w:val="0"/>
              <w:spacing w:line="500" w:lineRule="exact"/>
              <w:ind w:firstLine="482" w:firstLineChars="0"/>
              <w:textAlignment w:val="auto"/>
              <w:outlineLvl w:val="0"/>
              <w:rPr>
                <w:rFonts w:hint="eastAsia" w:ascii="Times New Roman" w:hAnsi="Times New Roman"/>
                <w:color w:val="000000"/>
                <w:sz w:val="24"/>
                <w:szCs w:val="24"/>
                <w:highlight w:val="none"/>
                <w:u w:val="none"/>
                <w:lang w:eastAsia="zh-CN"/>
              </w:rPr>
            </w:pPr>
            <w:r>
              <w:rPr>
                <w:rFonts w:hint="eastAsia" w:ascii="Times New Roman" w:hAnsi="Times New Roman" w:eastAsia="宋体" w:cs="Times New Roman"/>
                <w:color w:val="000000"/>
                <w:kern w:val="2"/>
                <w:sz w:val="24"/>
                <w:szCs w:val="24"/>
                <w:highlight w:val="none"/>
                <w:u w:val="none"/>
                <w:lang w:val="en-US" w:eastAsia="zh-CN" w:bidi="ar-SA"/>
              </w:rPr>
              <w:t>（</w:t>
            </w:r>
            <w:r>
              <w:rPr>
                <w:rFonts w:hint="eastAsia" w:cs="Times New Roman"/>
                <w:color w:val="000000"/>
                <w:kern w:val="2"/>
                <w:sz w:val="24"/>
                <w:szCs w:val="24"/>
                <w:highlight w:val="none"/>
                <w:u w:val="none"/>
                <w:lang w:val="en-US" w:eastAsia="zh-CN" w:bidi="ar-SA"/>
              </w:rPr>
              <w:t>6</w:t>
            </w:r>
            <w:r>
              <w:rPr>
                <w:rFonts w:hint="eastAsia" w:ascii="Times New Roman" w:hAnsi="Times New Roman" w:eastAsia="宋体" w:cs="Times New Roman"/>
                <w:color w:val="000000"/>
                <w:kern w:val="2"/>
                <w:sz w:val="24"/>
                <w:szCs w:val="24"/>
                <w:highlight w:val="none"/>
                <w:u w:val="none"/>
                <w:lang w:val="en-US" w:eastAsia="zh-CN" w:bidi="ar-SA"/>
              </w:rPr>
              <w:t>）</w:t>
            </w:r>
            <w:r>
              <w:rPr>
                <w:rFonts w:hint="eastAsia"/>
                <w:color w:val="000000"/>
                <w:sz w:val="24"/>
                <w:highlight w:val="none"/>
                <w:lang w:val="en-US" w:eastAsia="zh-CN"/>
              </w:rPr>
              <w:t>打包拆包的废包装材料</w:t>
            </w:r>
          </w:p>
          <w:p w14:paraId="1C169740">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eastAsia"/>
                <w:color w:val="000000"/>
                <w:kern w:val="0"/>
                <w:sz w:val="24"/>
                <w:u w:val="none"/>
                <w:lang w:val="zh-CN"/>
              </w:rPr>
            </w:pPr>
            <w:r>
              <w:rPr>
                <w:rFonts w:hint="eastAsia"/>
                <w:color w:val="000000"/>
                <w:kern w:val="0"/>
                <w:sz w:val="24"/>
                <w:highlight w:val="none"/>
                <w:u w:val="none"/>
                <w:lang w:val="en-US" w:eastAsia="zh-CN"/>
              </w:rPr>
              <w:t>项目原料、原辅料以及产品的包装材料大部分为塑料包装袋和其他一些桶和瓶，拆除内包以及打包包装产</w:t>
            </w:r>
            <w:r>
              <w:rPr>
                <w:rFonts w:hint="eastAsia"/>
                <w:color w:val="000000"/>
                <w:kern w:val="0"/>
                <w:sz w:val="24"/>
                <w:u w:val="none"/>
                <w:lang w:val="en-US" w:eastAsia="zh-CN"/>
              </w:rPr>
              <w:t>生的废包装材料经过分类收集后统一交由</w:t>
            </w:r>
            <w:r>
              <w:rPr>
                <w:color w:val="000000"/>
                <w:kern w:val="0"/>
                <w:sz w:val="24"/>
                <w:u w:val="none"/>
                <w:lang w:val="zh-CN"/>
              </w:rPr>
              <w:t>环卫部门</w:t>
            </w:r>
            <w:r>
              <w:rPr>
                <w:rFonts w:hint="eastAsia"/>
                <w:color w:val="000000"/>
                <w:kern w:val="0"/>
                <w:sz w:val="24"/>
                <w:u w:val="none"/>
                <w:lang w:val="zh-CN"/>
              </w:rPr>
              <w:t>统一</w:t>
            </w:r>
            <w:r>
              <w:rPr>
                <w:color w:val="000000"/>
                <w:kern w:val="0"/>
                <w:sz w:val="24"/>
                <w:u w:val="none"/>
                <w:lang w:val="zh-CN"/>
              </w:rPr>
              <w:t>清运</w:t>
            </w:r>
            <w:r>
              <w:rPr>
                <w:rFonts w:hint="eastAsia"/>
                <w:color w:val="000000"/>
                <w:kern w:val="0"/>
                <w:sz w:val="24"/>
                <w:u w:val="none"/>
                <w:lang w:val="en-US" w:eastAsia="zh-CN"/>
              </w:rPr>
              <w:t>处理，废包装材料</w:t>
            </w:r>
            <w:r>
              <w:rPr>
                <w:color w:val="000000"/>
                <w:kern w:val="0"/>
                <w:sz w:val="24"/>
                <w:u w:val="none"/>
                <w:lang w:val="zh-CN"/>
              </w:rPr>
              <w:t>为</w:t>
            </w:r>
            <w:r>
              <w:rPr>
                <w:rFonts w:hint="eastAsia"/>
                <w:color w:val="000000"/>
                <w:kern w:val="0"/>
                <w:sz w:val="24"/>
                <w:u w:val="none"/>
                <w:lang w:val="en-US" w:eastAsia="zh-CN"/>
              </w:rPr>
              <w:t>包装材</w:t>
            </w:r>
            <w:r>
              <w:rPr>
                <w:color w:val="000000"/>
                <w:kern w:val="0"/>
                <w:sz w:val="24"/>
                <w:u w:val="none"/>
                <w:lang w:val="zh-CN"/>
              </w:rPr>
              <w:t>料用量的</w:t>
            </w:r>
            <w:r>
              <w:rPr>
                <w:rFonts w:hint="eastAsia"/>
                <w:color w:val="000000"/>
                <w:kern w:val="0"/>
                <w:sz w:val="24"/>
                <w:u w:val="none"/>
                <w:lang w:val="en-US" w:eastAsia="zh-CN"/>
              </w:rPr>
              <w:t>0.1</w:t>
            </w:r>
            <w:r>
              <w:rPr>
                <w:color w:val="000000"/>
                <w:kern w:val="0"/>
                <w:sz w:val="24"/>
                <w:u w:val="none"/>
                <w:lang w:val="zh-CN"/>
              </w:rPr>
              <w:t>%</w:t>
            </w:r>
            <w:r>
              <w:rPr>
                <w:rFonts w:hint="eastAsia"/>
                <w:color w:val="000000"/>
                <w:kern w:val="0"/>
                <w:sz w:val="24"/>
                <w:u w:val="none"/>
                <w:lang w:val="zh-CN"/>
              </w:rPr>
              <w:t>，项目</w:t>
            </w:r>
            <w:r>
              <w:rPr>
                <w:rFonts w:hint="eastAsia"/>
                <w:color w:val="000000"/>
                <w:kern w:val="0"/>
                <w:sz w:val="24"/>
                <w:u w:val="none"/>
                <w:lang w:val="en-US" w:eastAsia="zh-CN"/>
              </w:rPr>
              <w:t>包装材料约为7</w:t>
            </w:r>
            <w:r>
              <w:rPr>
                <w:rFonts w:hint="eastAsia"/>
                <w:color w:val="000000"/>
                <w:kern w:val="0"/>
                <w:sz w:val="24"/>
                <w:u w:val="none"/>
                <w:lang w:val="zh-CN"/>
              </w:rPr>
              <w:t>吨，则</w:t>
            </w:r>
            <w:r>
              <w:rPr>
                <w:rFonts w:hint="eastAsia"/>
                <w:color w:val="000000"/>
                <w:kern w:val="0"/>
                <w:sz w:val="24"/>
                <w:u w:val="none"/>
                <w:lang w:val="en-US" w:eastAsia="zh-CN"/>
              </w:rPr>
              <w:t>需要清运的废包装材料</w:t>
            </w:r>
            <w:r>
              <w:rPr>
                <w:rFonts w:hint="eastAsia"/>
                <w:color w:val="000000"/>
                <w:kern w:val="0"/>
                <w:sz w:val="24"/>
                <w:u w:val="none"/>
                <w:lang w:val="zh-CN"/>
              </w:rPr>
              <w:t>产生量</w:t>
            </w:r>
            <w:r>
              <w:rPr>
                <w:rFonts w:hint="eastAsia"/>
                <w:color w:val="000000"/>
                <w:kern w:val="0"/>
                <w:sz w:val="24"/>
                <w:u w:val="none"/>
                <w:lang w:val="en-US" w:eastAsia="zh-CN"/>
              </w:rPr>
              <w:t>约</w:t>
            </w:r>
            <w:r>
              <w:rPr>
                <w:rFonts w:hint="eastAsia"/>
                <w:color w:val="000000"/>
                <w:kern w:val="0"/>
                <w:sz w:val="24"/>
                <w:u w:val="none"/>
                <w:lang w:val="zh-CN"/>
              </w:rPr>
              <w:t>为</w:t>
            </w:r>
            <w:r>
              <w:rPr>
                <w:rFonts w:hint="eastAsia"/>
                <w:color w:val="000000"/>
                <w:kern w:val="0"/>
                <w:sz w:val="24"/>
                <w:u w:val="none"/>
                <w:lang w:val="en-US" w:eastAsia="zh-CN"/>
              </w:rPr>
              <w:t>0.007</w:t>
            </w:r>
            <w:r>
              <w:rPr>
                <w:color w:val="000000"/>
                <w:kern w:val="0"/>
                <w:sz w:val="24"/>
                <w:u w:val="none"/>
                <w:lang w:val="zh-CN"/>
              </w:rPr>
              <w:t>t/a</w:t>
            </w:r>
            <w:r>
              <w:rPr>
                <w:rFonts w:hint="eastAsia"/>
                <w:color w:val="000000"/>
                <w:kern w:val="0"/>
                <w:sz w:val="24"/>
                <w:u w:val="none"/>
                <w:lang w:val="zh-CN"/>
              </w:rPr>
              <w:t>。</w:t>
            </w:r>
          </w:p>
          <w:p w14:paraId="23A46104">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hint="default" w:ascii="Times New Roman" w:hAnsi="Times New Roman"/>
                <w:color w:val="000000"/>
                <w:kern w:val="0"/>
                <w:sz w:val="24"/>
                <w:szCs w:val="24"/>
                <w:u w:val="none"/>
                <w:lang w:val="zh-CN"/>
              </w:rPr>
            </w:pPr>
            <w:r>
              <w:rPr>
                <w:rFonts w:ascii="Times New Roman" w:hAnsi="Times New Roman"/>
                <w:color w:val="000000"/>
                <w:kern w:val="0"/>
                <w:sz w:val="24"/>
                <w:szCs w:val="24"/>
                <w:u w:val="none"/>
                <w:lang w:val="zh-CN"/>
              </w:rPr>
              <w:t>（</w:t>
            </w:r>
            <w:r>
              <w:rPr>
                <w:rFonts w:hint="eastAsia"/>
                <w:color w:val="000000"/>
                <w:kern w:val="0"/>
                <w:sz w:val="24"/>
                <w:szCs w:val="24"/>
                <w:u w:val="none"/>
                <w:lang w:val="en-US" w:eastAsia="zh-CN"/>
              </w:rPr>
              <w:t>7</w:t>
            </w:r>
            <w:r>
              <w:rPr>
                <w:rFonts w:ascii="Times New Roman" w:hAnsi="Times New Roman"/>
                <w:color w:val="000000"/>
                <w:kern w:val="0"/>
                <w:sz w:val="24"/>
                <w:szCs w:val="24"/>
                <w:u w:val="none"/>
                <w:lang w:val="zh-CN"/>
              </w:rPr>
              <w:t>）</w:t>
            </w:r>
            <w:r>
              <w:rPr>
                <w:rFonts w:hint="default" w:ascii="Times New Roman" w:hAnsi="Times New Roman"/>
                <w:color w:val="000000"/>
                <w:kern w:val="0"/>
                <w:sz w:val="24"/>
                <w:szCs w:val="24"/>
                <w:u w:val="none"/>
                <w:lang w:val="zh-CN"/>
              </w:rPr>
              <w:t>生活垃圾</w:t>
            </w:r>
          </w:p>
          <w:p w14:paraId="26E93A74">
            <w:pPr>
              <w:pStyle w:val="12"/>
              <w:keepNext w:val="0"/>
              <w:keepLines w:val="0"/>
              <w:pageBreakBefore w:val="0"/>
              <w:widowControl w:val="0"/>
              <w:kinsoku/>
              <w:wordWrap/>
              <w:overflowPunct/>
              <w:topLinePunct w:val="0"/>
              <w:bidi w:val="0"/>
              <w:spacing w:before="0" w:line="500" w:lineRule="exact"/>
              <w:ind w:left="0" w:right="0" w:firstLine="480" w:firstLineChars="200"/>
              <w:textAlignment w:val="auto"/>
              <w:rPr>
                <w:rFonts w:ascii="Times New Roman" w:hAnsi="Times New Roman"/>
                <w:color w:val="000000"/>
                <w:kern w:val="0"/>
                <w:sz w:val="24"/>
                <w:szCs w:val="24"/>
                <w:u w:val="none"/>
                <w:lang w:val="zh-CN"/>
              </w:rPr>
            </w:pPr>
            <w:r>
              <w:rPr>
                <w:color w:val="000000"/>
                <w:kern w:val="0"/>
                <w:sz w:val="24"/>
                <w:u w:val="none"/>
                <w:lang w:val="zh-CN"/>
              </w:rPr>
              <w:t>项目劳</w:t>
            </w:r>
            <w:r>
              <w:rPr>
                <w:color w:val="000000"/>
                <w:kern w:val="0"/>
                <w:sz w:val="24"/>
                <w:highlight w:val="none"/>
                <w:u w:val="none"/>
                <w:lang w:val="zh-CN"/>
              </w:rPr>
              <w:t>动定员</w:t>
            </w:r>
            <w:r>
              <w:rPr>
                <w:rFonts w:hint="eastAsia"/>
                <w:color w:val="000000"/>
                <w:kern w:val="0"/>
                <w:sz w:val="24"/>
                <w:highlight w:val="none"/>
                <w:u w:val="none"/>
                <w:lang w:val="en-US" w:eastAsia="zh-CN"/>
              </w:rPr>
              <w:t>30</w:t>
            </w:r>
            <w:r>
              <w:rPr>
                <w:color w:val="000000"/>
                <w:kern w:val="0"/>
                <w:sz w:val="24"/>
                <w:highlight w:val="none"/>
                <w:u w:val="none"/>
                <w:lang w:val="zh-CN"/>
              </w:rPr>
              <w:t>人，</w:t>
            </w:r>
            <w:r>
              <w:rPr>
                <w:color w:val="000000"/>
                <w:kern w:val="0"/>
                <w:sz w:val="24"/>
                <w:u w:val="none"/>
                <w:lang w:val="zh-CN"/>
              </w:rPr>
              <w:t>生活垃圾产生量以</w:t>
            </w:r>
            <w:r>
              <w:rPr>
                <w:rFonts w:hint="eastAsia"/>
                <w:color w:val="000000"/>
                <w:kern w:val="0"/>
                <w:sz w:val="24"/>
                <w:u w:val="none"/>
              </w:rPr>
              <w:t>每人0.5kg/天计</w:t>
            </w:r>
            <w:r>
              <w:rPr>
                <w:color w:val="000000"/>
                <w:kern w:val="0"/>
                <w:sz w:val="24"/>
                <w:u w:val="none"/>
                <w:lang w:val="zh-CN"/>
              </w:rPr>
              <w:t>，</w:t>
            </w:r>
            <w:r>
              <w:rPr>
                <w:rFonts w:hint="eastAsia"/>
                <w:color w:val="000000"/>
                <w:kern w:val="0"/>
                <w:sz w:val="24"/>
                <w:u w:val="none"/>
                <w:lang w:val="en-US" w:eastAsia="zh-CN"/>
              </w:rPr>
              <w:t>年工作时间300天，</w:t>
            </w:r>
            <w:r>
              <w:rPr>
                <w:color w:val="000000"/>
                <w:kern w:val="0"/>
                <w:sz w:val="24"/>
                <w:u w:val="none"/>
                <w:lang w:val="zh-CN"/>
              </w:rPr>
              <w:t>则职工生活垃圾产生量为</w:t>
            </w:r>
            <w:r>
              <w:rPr>
                <w:rFonts w:hint="eastAsia"/>
                <w:color w:val="000000"/>
                <w:kern w:val="0"/>
                <w:sz w:val="24"/>
                <w:u w:val="none"/>
                <w:lang w:val="en-US" w:eastAsia="zh-CN"/>
              </w:rPr>
              <w:t>4.5</w:t>
            </w:r>
            <w:r>
              <w:rPr>
                <w:color w:val="000000"/>
                <w:kern w:val="0"/>
                <w:sz w:val="24"/>
                <w:u w:val="none"/>
                <w:lang w:val="zh-CN"/>
              </w:rPr>
              <w:t>t/a，</w:t>
            </w:r>
            <w:r>
              <w:rPr>
                <w:rFonts w:hint="eastAsia"/>
                <w:color w:val="000000"/>
                <w:kern w:val="0"/>
                <w:sz w:val="24"/>
                <w:u w:val="none"/>
                <w:lang w:val="en-US" w:eastAsia="zh-CN"/>
              </w:rPr>
              <w:t>企业分类收集在垃圾桶内再</w:t>
            </w:r>
            <w:r>
              <w:rPr>
                <w:color w:val="000000"/>
                <w:kern w:val="0"/>
                <w:sz w:val="24"/>
                <w:u w:val="none"/>
                <w:lang w:val="zh-CN"/>
              </w:rPr>
              <w:t>由环卫部门</w:t>
            </w:r>
            <w:r>
              <w:rPr>
                <w:rFonts w:hint="eastAsia"/>
                <w:color w:val="000000"/>
                <w:kern w:val="0"/>
                <w:sz w:val="24"/>
                <w:u w:val="none"/>
                <w:lang w:val="zh-CN"/>
              </w:rPr>
              <w:t>统一</w:t>
            </w:r>
            <w:r>
              <w:rPr>
                <w:color w:val="000000"/>
                <w:kern w:val="0"/>
                <w:sz w:val="24"/>
                <w:u w:val="none"/>
                <w:lang w:val="zh-CN"/>
              </w:rPr>
              <w:t>清运</w:t>
            </w:r>
            <w:r>
              <w:rPr>
                <w:rFonts w:hint="eastAsia"/>
                <w:color w:val="000000"/>
                <w:kern w:val="0"/>
                <w:sz w:val="24"/>
                <w:u w:val="none"/>
                <w:lang w:val="en-US" w:eastAsia="zh-CN"/>
              </w:rPr>
              <w:t>处理</w:t>
            </w:r>
            <w:r>
              <w:rPr>
                <w:color w:val="000000"/>
                <w:kern w:val="0"/>
                <w:sz w:val="24"/>
                <w:u w:val="none"/>
                <w:lang w:val="zh-CN"/>
              </w:rPr>
              <w:t>。</w:t>
            </w:r>
          </w:p>
          <w:p w14:paraId="1F34A2D2">
            <w:pPr>
              <w:keepNext w:val="0"/>
              <w:keepLines w:val="0"/>
              <w:pageBreakBefore w:val="0"/>
              <w:widowControl w:val="0"/>
              <w:kinsoku/>
              <w:wordWrap/>
              <w:overflowPunct/>
              <w:topLinePunct w:val="0"/>
              <w:bidi w:val="0"/>
              <w:spacing w:line="500" w:lineRule="exact"/>
              <w:ind w:firstLine="480" w:firstLineChars="200"/>
              <w:jc w:val="left"/>
              <w:textAlignment w:val="baseline"/>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lang w:eastAsia="zh-CN"/>
              </w:rPr>
              <w:t>（</w:t>
            </w:r>
            <w:r>
              <w:rPr>
                <w:rFonts w:hint="eastAsia" w:ascii="Times New Roman" w:hAnsi="Times New Roman" w:eastAsia="宋体" w:cs="Times New Roman"/>
                <w:bCs/>
                <w:color w:val="auto"/>
                <w:sz w:val="24"/>
                <w:szCs w:val="21"/>
                <w:lang w:val="en-US" w:eastAsia="zh-CN"/>
              </w:rPr>
              <w:t>8</w:t>
            </w:r>
            <w:r>
              <w:rPr>
                <w:rFonts w:hint="eastAsia" w:ascii="Times New Roman" w:hAnsi="Times New Roman" w:eastAsia="宋体" w:cs="Times New Roman"/>
                <w:bCs/>
                <w:color w:val="auto"/>
                <w:sz w:val="24"/>
                <w:szCs w:val="21"/>
                <w:lang w:eastAsia="zh-CN"/>
              </w:rPr>
              <w:t>）</w:t>
            </w:r>
            <w:r>
              <w:rPr>
                <w:rFonts w:hint="eastAsia" w:ascii="Times New Roman" w:hAnsi="Times New Roman" w:eastAsia="宋体" w:cs="Times New Roman"/>
                <w:bCs/>
                <w:color w:val="auto"/>
                <w:sz w:val="24"/>
                <w:szCs w:val="21"/>
              </w:rPr>
              <w:t>废活性炭</w:t>
            </w:r>
          </w:p>
          <w:p w14:paraId="7121F01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baseline"/>
              <w:rPr>
                <w:rFonts w:hint="default" w:ascii="Times New Roman" w:hAnsi="Times New Roman" w:eastAsia="宋体" w:cs="Times New Roman"/>
                <w:b w:val="0"/>
                <w:bCs/>
                <w:color w:val="auto"/>
                <w:sz w:val="24"/>
                <w:szCs w:val="21"/>
                <w:u w:val="none"/>
              </w:rPr>
            </w:pPr>
            <w:r>
              <w:rPr>
                <w:rFonts w:hint="default" w:ascii="Times New Roman" w:hAnsi="Times New Roman" w:eastAsia="宋体" w:cs="Times New Roman"/>
                <w:bCs/>
                <w:color w:val="auto"/>
                <w:sz w:val="24"/>
                <w:szCs w:val="21"/>
              </w:rPr>
              <w:t>本项目污水处理</w:t>
            </w:r>
            <w:r>
              <w:rPr>
                <w:rFonts w:hint="eastAsia" w:ascii="Times New Roman" w:hAnsi="Times New Roman" w:eastAsia="宋体" w:cs="Times New Roman"/>
                <w:bCs/>
                <w:color w:val="auto"/>
                <w:sz w:val="24"/>
                <w:szCs w:val="21"/>
                <w:lang w:val="en-US" w:eastAsia="zh-CN"/>
              </w:rPr>
              <w:t>设施</w:t>
            </w:r>
            <w:r>
              <w:rPr>
                <w:rFonts w:hint="default" w:ascii="Times New Roman" w:hAnsi="Times New Roman" w:eastAsia="宋体" w:cs="Times New Roman"/>
                <w:bCs/>
                <w:color w:val="auto"/>
                <w:sz w:val="24"/>
                <w:szCs w:val="21"/>
              </w:rPr>
              <w:t>产生的恶臭气体经由活性炭吸附后高空排放。活性炭经过一段时间吸附后会失去活性需定期对其进行更换</w:t>
            </w:r>
            <w:r>
              <w:rPr>
                <w:rFonts w:hint="eastAsia" w:ascii="Times New Roman" w:hAnsi="Times New Roman" w:cs="Times New Roman"/>
                <w:bCs/>
                <w:color w:val="auto"/>
                <w:sz w:val="24"/>
                <w:szCs w:val="21"/>
                <w:lang w:eastAsia="zh-CN"/>
              </w:rPr>
              <w:t>，</w:t>
            </w:r>
            <w:r>
              <w:rPr>
                <w:rFonts w:hint="eastAsia" w:cs="Times New Roman"/>
                <w:sz w:val="24"/>
                <w:szCs w:val="24"/>
                <w:highlight w:val="none"/>
                <w:lang w:val="en-US" w:eastAsia="zh-CN"/>
              </w:rPr>
              <w:t>现要求活性炭在常温下对废气的饱和吸附量为600~800mg/g</w:t>
            </w:r>
            <w:r>
              <w:rPr>
                <w:rFonts w:hint="eastAsia" w:ascii="Times New Roman" w:hAnsi="Times New Roman" w:cs="Times New Roman"/>
                <w:bCs/>
                <w:color w:val="auto"/>
                <w:sz w:val="24"/>
                <w:szCs w:val="21"/>
                <w:lang w:eastAsia="zh-CN"/>
              </w:rPr>
              <w:t>，</w:t>
            </w:r>
            <w:r>
              <w:rPr>
                <w:rFonts w:hint="eastAsia" w:cs="Times New Roman"/>
                <w:sz w:val="24"/>
                <w:szCs w:val="24"/>
                <w:highlight w:val="none"/>
                <w:lang w:val="en-US" w:eastAsia="zh-CN"/>
              </w:rPr>
              <w:t>本项目以700mg/g计。根据项目营运后产生的臭气，废活性炭产生量约为0.01t/a</w:t>
            </w:r>
            <w:r>
              <w:rPr>
                <w:rFonts w:hint="eastAsia"/>
                <w:sz w:val="24"/>
                <w:szCs w:val="24"/>
                <w:highlight w:val="none"/>
                <w:lang w:eastAsia="zh-CN"/>
              </w:rPr>
              <w:t>，</w:t>
            </w:r>
            <w:r>
              <w:rPr>
                <w:rFonts w:hint="eastAsia"/>
                <w:sz w:val="24"/>
                <w:szCs w:val="24"/>
                <w:highlight w:val="none"/>
                <w:lang w:val="en-US" w:eastAsia="zh-CN"/>
              </w:rPr>
              <w:t>建议</w:t>
            </w:r>
            <w:r>
              <w:rPr>
                <w:rFonts w:hint="default" w:ascii="Times New Roman" w:hAnsi="Times New Roman" w:eastAsia="宋体" w:cs="Times New Roman"/>
                <w:b w:val="0"/>
                <w:bCs w:val="0"/>
                <w:snapToGrid w:val="0"/>
                <w:color w:val="auto"/>
                <w:spacing w:val="0"/>
                <w:kern w:val="0"/>
                <w:sz w:val="24"/>
                <w:szCs w:val="24"/>
                <w:highlight w:val="none"/>
                <w:u w:val="none"/>
              </w:rPr>
              <w:t>活性炭</w:t>
            </w:r>
            <w:r>
              <w:rPr>
                <w:rFonts w:hint="eastAsia" w:cs="Times New Roman"/>
                <w:b w:val="0"/>
                <w:bCs w:val="0"/>
                <w:snapToGrid w:val="0"/>
                <w:color w:val="auto"/>
                <w:spacing w:val="0"/>
                <w:kern w:val="0"/>
                <w:sz w:val="24"/>
                <w:szCs w:val="24"/>
                <w:highlight w:val="none"/>
                <w:u w:val="none"/>
                <w:lang w:val="en-US" w:eastAsia="zh-CN"/>
              </w:rPr>
              <w:t>约每季度或半年</w:t>
            </w:r>
            <w:r>
              <w:rPr>
                <w:rFonts w:hint="default" w:ascii="Times New Roman" w:hAnsi="Times New Roman" w:eastAsia="宋体" w:cs="Times New Roman"/>
                <w:b w:val="0"/>
                <w:bCs w:val="0"/>
                <w:snapToGrid w:val="0"/>
                <w:color w:val="auto"/>
                <w:spacing w:val="0"/>
                <w:kern w:val="0"/>
                <w:sz w:val="24"/>
                <w:szCs w:val="24"/>
                <w:highlight w:val="none"/>
                <w:u w:val="none"/>
              </w:rPr>
              <w:t>更换一次</w:t>
            </w:r>
            <w:r>
              <w:rPr>
                <w:rFonts w:hint="eastAsia" w:cs="Times New Roman"/>
                <w:sz w:val="24"/>
                <w:szCs w:val="24"/>
                <w:highlight w:val="none"/>
                <w:lang w:val="en-US" w:eastAsia="zh-CN"/>
              </w:rPr>
              <w:t>。</w:t>
            </w:r>
            <w:r>
              <w:rPr>
                <w:rFonts w:hint="default" w:ascii="Times New Roman" w:hAnsi="Times New Roman" w:eastAsia="宋体" w:cs="Times New Roman"/>
                <w:bCs/>
                <w:color w:val="auto"/>
                <w:sz w:val="24"/>
                <w:szCs w:val="21"/>
              </w:rPr>
              <w:t>活性炭本身无毒无害，项目</w:t>
            </w:r>
            <w:r>
              <w:rPr>
                <w:rFonts w:hint="eastAsia" w:ascii="Times New Roman" w:hAnsi="Times New Roman" w:eastAsia="宋体" w:cs="Times New Roman"/>
                <w:bCs/>
                <w:color w:val="auto"/>
                <w:sz w:val="24"/>
                <w:szCs w:val="21"/>
                <w:lang w:eastAsia="zh-CN"/>
              </w:rPr>
              <w:t>使用活性炭</w:t>
            </w:r>
            <w:r>
              <w:rPr>
                <w:rFonts w:hint="default" w:ascii="Times New Roman" w:hAnsi="Times New Roman" w:eastAsia="宋体" w:cs="Times New Roman"/>
                <w:bCs/>
                <w:color w:val="auto"/>
                <w:sz w:val="24"/>
                <w:szCs w:val="21"/>
              </w:rPr>
              <w:t>主要用作</w:t>
            </w:r>
            <w:r>
              <w:rPr>
                <w:rFonts w:hint="eastAsia" w:ascii="Times New Roman" w:hAnsi="Times New Roman" w:cs="Times New Roman"/>
                <w:bCs/>
                <w:color w:val="auto"/>
                <w:sz w:val="24"/>
                <w:szCs w:val="21"/>
                <w:lang w:val="en-US" w:eastAsia="zh-CN"/>
              </w:rPr>
              <w:t>本项目</w:t>
            </w:r>
            <w:r>
              <w:rPr>
                <w:rFonts w:hint="default" w:ascii="Times New Roman" w:hAnsi="Times New Roman" w:eastAsia="宋体" w:cs="Times New Roman"/>
                <w:bCs/>
                <w:color w:val="auto"/>
                <w:sz w:val="24"/>
                <w:szCs w:val="21"/>
              </w:rPr>
              <w:t>恶臭气体</w:t>
            </w:r>
            <w:r>
              <w:rPr>
                <w:rFonts w:hint="eastAsia" w:ascii="Times New Roman" w:hAnsi="Times New Roman" w:cs="Times New Roman"/>
                <w:bCs/>
                <w:color w:val="auto"/>
                <w:sz w:val="24"/>
                <w:szCs w:val="21"/>
                <w:lang w:eastAsia="zh-CN"/>
              </w:rPr>
              <w:t>、</w:t>
            </w:r>
            <w:r>
              <w:rPr>
                <w:rFonts w:hint="default" w:ascii="Times New Roman" w:hAnsi="Times New Roman" w:eastAsia="宋体" w:cs="Times New Roman"/>
                <w:bCs/>
                <w:color w:val="auto"/>
                <w:sz w:val="24"/>
                <w:szCs w:val="21"/>
              </w:rPr>
              <w:t>氨（NH</w:t>
            </w:r>
            <w:r>
              <w:rPr>
                <w:rFonts w:hint="default" w:ascii="Times New Roman" w:hAnsi="Times New Roman" w:eastAsia="宋体" w:cs="Times New Roman"/>
                <w:bCs/>
                <w:color w:val="auto"/>
                <w:sz w:val="24"/>
                <w:szCs w:val="21"/>
                <w:vertAlign w:val="subscript"/>
              </w:rPr>
              <w:t>3</w:t>
            </w:r>
            <w:r>
              <w:rPr>
                <w:rFonts w:hint="default" w:ascii="Times New Roman" w:hAnsi="Times New Roman" w:eastAsia="宋体" w:cs="Times New Roman"/>
                <w:bCs/>
                <w:color w:val="auto"/>
                <w:sz w:val="24"/>
                <w:szCs w:val="21"/>
              </w:rPr>
              <w:t>）、硫化氢（H</w:t>
            </w:r>
            <w:r>
              <w:rPr>
                <w:rFonts w:hint="default" w:ascii="Times New Roman" w:hAnsi="Times New Roman" w:eastAsia="宋体" w:cs="Times New Roman"/>
                <w:bCs/>
                <w:color w:val="auto"/>
                <w:sz w:val="24"/>
                <w:szCs w:val="21"/>
                <w:vertAlign w:val="subscript"/>
              </w:rPr>
              <w:t>2</w:t>
            </w:r>
            <w:r>
              <w:rPr>
                <w:rFonts w:hint="default" w:ascii="Times New Roman" w:hAnsi="Times New Roman" w:eastAsia="宋体" w:cs="Times New Roman"/>
                <w:bCs/>
                <w:color w:val="auto"/>
                <w:sz w:val="24"/>
                <w:szCs w:val="21"/>
              </w:rPr>
              <w:t>S）等的吸收</w:t>
            </w:r>
            <w:r>
              <w:rPr>
                <w:rFonts w:hint="eastAsia" w:ascii="Times New Roman" w:hAnsi="Times New Roman" w:eastAsia="宋体" w:cs="Times New Roman"/>
                <w:bCs/>
                <w:color w:val="auto"/>
                <w:sz w:val="24"/>
                <w:szCs w:val="21"/>
                <w:lang w:eastAsia="zh-CN"/>
              </w:rPr>
              <w:t>。</w:t>
            </w:r>
            <w:r>
              <w:rPr>
                <w:rFonts w:hint="eastAsia" w:ascii="Times New Roman" w:hAnsi="Times New Roman" w:eastAsia="宋体" w:cs="Times New Roman"/>
                <w:b w:val="0"/>
                <w:bCs/>
                <w:color w:val="auto"/>
                <w:sz w:val="24"/>
                <w:szCs w:val="21"/>
                <w:u w:val="none"/>
                <w:lang w:eastAsia="zh-CN"/>
              </w:rPr>
              <w:t>根据《国家危险废物名录》（</w:t>
            </w:r>
            <w:r>
              <w:rPr>
                <w:rFonts w:hint="eastAsia" w:ascii="Times New Roman" w:hAnsi="Times New Roman" w:eastAsia="宋体" w:cs="Times New Roman"/>
                <w:b w:val="0"/>
                <w:bCs/>
                <w:color w:val="auto"/>
                <w:sz w:val="24"/>
                <w:szCs w:val="21"/>
                <w:u w:val="none"/>
                <w:lang w:val="en-US" w:eastAsia="zh-CN"/>
              </w:rPr>
              <w:t>2021版</w:t>
            </w:r>
            <w:r>
              <w:rPr>
                <w:rFonts w:hint="eastAsia" w:ascii="Times New Roman" w:hAnsi="Times New Roman" w:eastAsia="宋体" w:cs="Times New Roman"/>
                <w:b w:val="0"/>
                <w:bCs/>
                <w:color w:val="auto"/>
                <w:sz w:val="24"/>
                <w:szCs w:val="21"/>
                <w:u w:val="none"/>
                <w:lang w:eastAsia="zh-CN"/>
              </w:rPr>
              <w:t>）本项目产生的</w:t>
            </w:r>
            <w:r>
              <w:rPr>
                <w:rFonts w:hint="eastAsia" w:ascii="Times New Roman" w:hAnsi="Times New Roman" w:eastAsia="宋体" w:cs="Times New Roman"/>
                <w:b w:val="0"/>
                <w:bCs/>
                <w:color w:val="auto"/>
                <w:sz w:val="24"/>
                <w:szCs w:val="21"/>
                <w:u w:val="none"/>
                <w:lang w:val="en-US" w:eastAsia="zh-CN"/>
              </w:rPr>
              <w:t>废活性炭属于危险废物（HW49其他废物，废物代码900-0</w:t>
            </w:r>
            <w:r>
              <w:rPr>
                <w:rFonts w:hint="eastAsia" w:cs="Times New Roman"/>
                <w:b w:val="0"/>
                <w:bCs/>
                <w:color w:val="auto"/>
                <w:sz w:val="24"/>
                <w:szCs w:val="21"/>
                <w:u w:val="none"/>
                <w:lang w:val="en-US" w:eastAsia="zh-CN"/>
              </w:rPr>
              <w:t>39</w:t>
            </w:r>
            <w:r>
              <w:rPr>
                <w:rFonts w:hint="eastAsia" w:ascii="Times New Roman" w:hAnsi="Times New Roman" w:eastAsia="宋体" w:cs="Times New Roman"/>
                <w:b w:val="0"/>
                <w:bCs/>
                <w:color w:val="auto"/>
                <w:sz w:val="24"/>
                <w:szCs w:val="21"/>
                <w:u w:val="none"/>
                <w:lang w:val="en-US" w:eastAsia="zh-CN"/>
              </w:rPr>
              <w:t>-49）</w:t>
            </w:r>
            <w:r>
              <w:rPr>
                <w:rFonts w:hint="default" w:ascii="Times New Roman" w:hAnsi="Times New Roman" w:eastAsia="宋体" w:cs="Times New Roman"/>
                <w:b w:val="0"/>
                <w:bCs/>
                <w:color w:val="auto"/>
                <w:sz w:val="24"/>
                <w:szCs w:val="21"/>
                <w:u w:val="none"/>
              </w:rPr>
              <w:t>。</w:t>
            </w:r>
            <w:r>
              <w:rPr>
                <w:rFonts w:hint="eastAsia" w:cs="Times New Roman"/>
                <w:sz w:val="24"/>
                <w:szCs w:val="24"/>
                <w:highlight w:val="none"/>
                <w:lang w:val="en-US" w:eastAsia="zh-CN"/>
              </w:rPr>
              <w:t>该部分危废收集后采用密闭袋存储在危废暂存间，交由有资质单位进行安全处置，不得随意排放。</w:t>
            </w:r>
          </w:p>
          <w:p w14:paraId="6E69FB98">
            <w:pPr>
              <w:keepNext w:val="0"/>
              <w:keepLines w:val="0"/>
              <w:pageBreakBefore w:val="0"/>
              <w:widowControl w:val="0"/>
              <w:kinsoku/>
              <w:overflowPunct/>
              <w:topLinePunct w:val="0"/>
              <w:autoSpaceDE/>
              <w:autoSpaceDN/>
              <w:bidi w:val="0"/>
              <w:adjustRightInd/>
              <w:snapToGrid/>
              <w:spacing w:line="500" w:lineRule="exact"/>
              <w:ind w:firstLine="480" w:firstLineChars="200"/>
              <w:jc w:val="left"/>
              <w:textAlignment w:val="baseline"/>
              <w:rPr>
                <w:rFonts w:hint="default" w:ascii="Times New Roman" w:hAnsi="Times New Roman" w:eastAsia="宋体" w:cs="Times New Roman"/>
                <w:b w:val="0"/>
                <w:bCs/>
                <w:color w:val="auto"/>
                <w:sz w:val="24"/>
                <w:szCs w:val="21"/>
                <w:u w:val="none"/>
                <w:lang w:eastAsia="zh-CN"/>
              </w:rPr>
            </w:pPr>
            <w:r>
              <w:rPr>
                <w:rFonts w:hint="default" w:ascii="Times New Roman" w:hAnsi="Times New Roman" w:eastAsia="宋体" w:cs="Times New Roman"/>
                <w:b w:val="0"/>
                <w:bCs/>
                <w:color w:val="auto"/>
                <w:sz w:val="24"/>
                <w:szCs w:val="21"/>
                <w:u w:val="none"/>
                <w:lang w:eastAsia="zh-CN"/>
              </w:rPr>
              <w:t>危废暂存时需要采取以下控制措施：</w:t>
            </w:r>
          </w:p>
          <w:p w14:paraId="6F803D7E">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baseline"/>
              <w:rPr>
                <w:rFonts w:hint="eastAsia" w:ascii="Times New Roman" w:hAnsi="Times New Roman" w:eastAsia="宋体" w:cs="Times New Roman"/>
                <w:b w:val="0"/>
                <w:bCs/>
                <w:color w:val="000000"/>
                <w:sz w:val="24"/>
                <w:szCs w:val="21"/>
                <w:u w:val="none"/>
                <w:lang w:val="en-US" w:eastAsia="zh-CN"/>
              </w:rPr>
            </w:pPr>
            <w:r>
              <w:rPr>
                <w:rFonts w:hint="default" w:ascii="Times New Roman" w:hAnsi="Times New Roman" w:eastAsia="宋体" w:cs="Times New Roman"/>
                <w:b w:val="0"/>
                <w:bCs/>
                <w:color w:val="000000"/>
                <w:sz w:val="24"/>
                <w:szCs w:val="21"/>
                <w:u w:val="none"/>
                <w:lang w:eastAsia="zh-CN"/>
              </w:rPr>
              <w:t>本项目危险废物收集后，建设单位须按《危险废物贮存污染控制标准》（GB18597-20</w:t>
            </w:r>
            <w:r>
              <w:rPr>
                <w:rFonts w:hint="eastAsia" w:ascii="Times New Roman" w:hAnsi="Times New Roman" w:eastAsia="宋体" w:cs="Times New Roman"/>
                <w:b w:val="0"/>
                <w:bCs/>
                <w:color w:val="000000"/>
                <w:sz w:val="24"/>
                <w:szCs w:val="21"/>
                <w:u w:val="none"/>
                <w:lang w:val="en-US" w:eastAsia="zh-CN"/>
              </w:rPr>
              <w:t>23</w:t>
            </w:r>
            <w:r>
              <w:rPr>
                <w:rFonts w:hint="default" w:ascii="Times New Roman" w:hAnsi="Times New Roman" w:eastAsia="宋体" w:cs="Times New Roman"/>
                <w:b w:val="0"/>
                <w:bCs/>
                <w:color w:val="000000"/>
                <w:sz w:val="24"/>
                <w:szCs w:val="21"/>
                <w:u w:val="none"/>
                <w:lang w:eastAsia="zh-CN"/>
              </w:rPr>
              <w:t>）进行贮存，并委托有危废处置资质单位进行安全处置。危险废物的暂存要求严格按照环境保护部公告2017年第43号《建设项目危险废物环境影响评价指南》中的相关要求，做到“四防”（防风、防雨、防晒、防渗漏），严格做到防渗和渗漏收集措施，设置不同废物的警示标示。</w:t>
            </w:r>
            <w:r>
              <w:rPr>
                <w:rFonts w:hint="default" w:ascii="Times New Roman" w:hAnsi="Times New Roman" w:eastAsia="宋体" w:cs="Times New Roman"/>
                <w:b w:val="0"/>
                <w:bCs/>
                <w:color w:val="000000"/>
                <w:sz w:val="24"/>
                <w:szCs w:val="21"/>
                <w:highlight w:val="none"/>
                <w:u w:val="none"/>
                <w:lang w:eastAsia="zh-CN"/>
              </w:rPr>
              <w:t>本项目</w:t>
            </w:r>
            <w:r>
              <w:rPr>
                <w:rFonts w:hint="eastAsia" w:ascii="Times New Roman" w:hAnsi="Times New Roman" w:eastAsia="宋体" w:cs="Times New Roman"/>
                <w:b w:val="0"/>
                <w:bCs/>
                <w:color w:val="000000"/>
                <w:sz w:val="24"/>
                <w:szCs w:val="21"/>
                <w:highlight w:val="none"/>
                <w:u w:val="none"/>
                <w:lang w:eastAsia="zh-CN"/>
              </w:rPr>
              <w:t>厂区建设一座</w:t>
            </w:r>
            <w:r>
              <w:rPr>
                <w:rFonts w:hint="eastAsia" w:ascii="Times New Roman" w:hAnsi="Times New Roman" w:eastAsia="宋体" w:cs="Times New Roman"/>
                <w:b w:val="0"/>
                <w:bCs/>
                <w:color w:val="000000"/>
                <w:sz w:val="24"/>
                <w:szCs w:val="21"/>
                <w:highlight w:val="none"/>
                <w:u w:val="none"/>
                <w:lang w:val="en-US" w:eastAsia="zh-CN"/>
              </w:rPr>
              <w:t>为</w:t>
            </w:r>
            <w:r>
              <w:rPr>
                <w:rFonts w:hint="eastAsia" w:cs="Times New Roman"/>
                <w:b w:val="0"/>
                <w:bCs/>
                <w:color w:val="000000"/>
                <w:sz w:val="24"/>
                <w:szCs w:val="21"/>
                <w:highlight w:val="none"/>
                <w:u w:val="none"/>
                <w:lang w:val="en-US" w:eastAsia="zh-CN"/>
              </w:rPr>
              <w:t>5</w:t>
            </w:r>
            <w:r>
              <w:rPr>
                <w:rFonts w:hint="default" w:ascii="Times New Roman" w:hAnsi="Times New Roman" w:eastAsia="宋体" w:cs="Times New Roman"/>
                <w:b w:val="0"/>
                <w:bCs/>
                <w:color w:val="000000"/>
                <w:sz w:val="24"/>
                <w:szCs w:val="21"/>
                <w:highlight w:val="none"/>
                <w:u w:val="none"/>
                <w:lang w:eastAsia="zh-CN"/>
              </w:rPr>
              <w:t>m</w:t>
            </w:r>
            <w:r>
              <w:rPr>
                <w:rFonts w:hint="default" w:ascii="Times New Roman" w:hAnsi="Times New Roman" w:eastAsia="宋体" w:cs="Times New Roman"/>
                <w:b w:val="0"/>
                <w:bCs/>
                <w:color w:val="000000"/>
                <w:sz w:val="24"/>
                <w:szCs w:val="21"/>
                <w:highlight w:val="none"/>
                <w:u w:val="none"/>
                <w:vertAlign w:val="superscript"/>
                <w:lang w:eastAsia="zh-CN"/>
              </w:rPr>
              <w:t>2</w:t>
            </w:r>
            <w:r>
              <w:rPr>
                <w:rFonts w:hint="eastAsia" w:ascii="Times New Roman" w:hAnsi="Times New Roman" w:eastAsia="宋体" w:cs="Times New Roman"/>
                <w:b w:val="0"/>
                <w:bCs/>
                <w:color w:val="000000"/>
                <w:sz w:val="24"/>
                <w:szCs w:val="21"/>
                <w:highlight w:val="none"/>
                <w:u w:val="none"/>
                <w:vertAlign w:val="baseline"/>
                <w:lang w:val="en-US" w:eastAsia="zh-CN"/>
              </w:rPr>
              <w:t>危废</w:t>
            </w:r>
            <w:r>
              <w:rPr>
                <w:rFonts w:hint="default" w:ascii="Times New Roman" w:hAnsi="Times New Roman" w:eastAsia="宋体" w:cs="Times New Roman"/>
                <w:b w:val="0"/>
                <w:bCs/>
                <w:color w:val="000000"/>
                <w:sz w:val="24"/>
                <w:szCs w:val="21"/>
                <w:highlight w:val="none"/>
                <w:u w:val="none"/>
                <w:lang w:eastAsia="zh-CN"/>
              </w:rPr>
              <w:t>间</w:t>
            </w:r>
            <w:r>
              <w:rPr>
                <w:rFonts w:hint="eastAsia" w:ascii="Times New Roman" w:hAnsi="Times New Roman" w:eastAsia="宋体" w:cs="Times New Roman"/>
                <w:b w:val="0"/>
                <w:bCs/>
                <w:color w:val="000000"/>
                <w:sz w:val="24"/>
                <w:szCs w:val="21"/>
                <w:highlight w:val="none"/>
                <w:u w:val="none"/>
                <w:lang w:val="en-US" w:eastAsia="zh-CN"/>
              </w:rPr>
              <w:t>来使用</w:t>
            </w:r>
            <w:r>
              <w:rPr>
                <w:rFonts w:hint="eastAsia" w:ascii="Times New Roman" w:hAnsi="Times New Roman" w:eastAsia="宋体" w:cs="Times New Roman"/>
                <w:b w:val="0"/>
                <w:bCs/>
                <w:color w:val="000000"/>
                <w:sz w:val="24"/>
                <w:szCs w:val="21"/>
                <w:highlight w:val="none"/>
                <w:u w:val="none"/>
                <w:lang w:eastAsia="zh-CN"/>
              </w:rPr>
              <w:t>，</w:t>
            </w:r>
            <w:r>
              <w:rPr>
                <w:rFonts w:hint="default" w:ascii="Times New Roman" w:hAnsi="Times New Roman" w:eastAsia="宋体" w:cs="Times New Roman"/>
                <w:b w:val="0"/>
                <w:bCs/>
                <w:color w:val="000000"/>
                <w:sz w:val="24"/>
                <w:szCs w:val="21"/>
                <w:highlight w:val="none"/>
                <w:u w:val="none"/>
                <w:lang w:eastAsia="zh-CN"/>
              </w:rPr>
              <w:t>用于</w:t>
            </w:r>
            <w:r>
              <w:rPr>
                <w:rFonts w:hint="eastAsia" w:ascii="Times New Roman" w:hAnsi="Times New Roman" w:eastAsia="宋体" w:cs="Times New Roman"/>
                <w:b w:val="0"/>
                <w:bCs/>
                <w:color w:val="000000"/>
                <w:sz w:val="24"/>
                <w:szCs w:val="21"/>
                <w:highlight w:val="none"/>
                <w:u w:val="none"/>
                <w:lang w:eastAsia="zh-CN"/>
              </w:rPr>
              <w:t>暂存</w:t>
            </w:r>
            <w:r>
              <w:rPr>
                <w:rFonts w:hint="default" w:ascii="Times New Roman" w:hAnsi="Times New Roman" w:eastAsia="宋体" w:cs="Times New Roman"/>
                <w:b w:val="0"/>
                <w:bCs/>
                <w:color w:val="000000"/>
                <w:sz w:val="24"/>
                <w:szCs w:val="21"/>
                <w:highlight w:val="none"/>
                <w:u w:val="none"/>
                <w:lang w:eastAsia="zh-CN"/>
              </w:rPr>
              <w:t>生产过程中产生的危险废物。</w:t>
            </w:r>
          </w:p>
          <w:p w14:paraId="2CFC868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eastAsia" w:ascii="Times New Roman" w:hAnsi="Times New Roman" w:eastAsia="宋体" w:cs="Times New Roman"/>
                <w:b w:val="0"/>
                <w:bCs/>
                <w:color w:val="auto"/>
                <w:sz w:val="24"/>
                <w:szCs w:val="21"/>
                <w:u w:val="none"/>
                <w:lang w:val="en-US" w:eastAsia="zh-CN"/>
              </w:rPr>
              <w:t>危废间</w:t>
            </w:r>
            <w:r>
              <w:rPr>
                <w:rFonts w:hint="default" w:ascii="Times New Roman" w:hAnsi="Times New Roman" w:eastAsia="宋体" w:cs="Times New Roman"/>
                <w:b w:val="0"/>
                <w:bCs w:val="0"/>
                <w:color w:val="auto"/>
                <w:sz w:val="24"/>
                <w:szCs w:val="24"/>
                <w:highlight w:val="none"/>
                <w:u w:val="none"/>
              </w:rPr>
              <w:t>地面进行防渗处理，按《危险废物贮存污染控制标准》（GB18597-20</w:t>
            </w:r>
            <w:r>
              <w:rPr>
                <w:rFonts w:hint="eastAsia" w:ascii="Times New Roman" w:hAnsi="Times New Roman" w:eastAsia="宋体" w:cs="Times New Roman"/>
                <w:b w:val="0"/>
                <w:bCs w:val="0"/>
                <w:color w:val="auto"/>
                <w:sz w:val="24"/>
                <w:szCs w:val="24"/>
                <w:highlight w:val="none"/>
                <w:u w:val="none"/>
                <w:lang w:val="en-US" w:eastAsia="zh-CN"/>
              </w:rPr>
              <w:t>23</w:t>
            </w:r>
            <w:r>
              <w:rPr>
                <w:rFonts w:hint="default" w:ascii="Times New Roman" w:hAnsi="Times New Roman" w:eastAsia="宋体" w:cs="Times New Roman"/>
                <w:b w:val="0"/>
                <w:bCs w:val="0"/>
                <w:color w:val="auto"/>
                <w:sz w:val="24"/>
                <w:szCs w:val="24"/>
                <w:highlight w:val="none"/>
                <w:u w:val="none"/>
              </w:rPr>
              <w:t>）要求设置，</w:t>
            </w:r>
            <w:r>
              <w:rPr>
                <w:rFonts w:hint="eastAsia" w:cs="Times New Roman"/>
                <w:b w:val="0"/>
                <w:bCs w:val="0"/>
                <w:color w:val="auto"/>
                <w:sz w:val="24"/>
                <w:szCs w:val="24"/>
                <w:highlight w:val="none"/>
                <w:u w:val="none"/>
                <w:lang w:val="en-US" w:eastAsia="zh-CN"/>
              </w:rPr>
              <w:t>即</w:t>
            </w:r>
            <w:r>
              <w:rPr>
                <w:rFonts w:hint="eastAsia" w:ascii="Times New Roman" w:hAnsi="Times New Roman" w:eastAsia="宋体" w:cs="Times New Roman"/>
                <w:bCs/>
                <w:color w:val="auto"/>
                <w:kern w:val="2"/>
                <w:sz w:val="24"/>
                <w:szCs w:val="20"/>
                <w:lang w:val="en-US" w:eastAsia="zh-CN" w:bidi="ar-SA"/>
              </w:rPr>
              <w:t>等效黏土防渗层Mb≥6.0m，K≤1×10</w:t>
            </w:r>
            <w:r>
              <w:rPr>
                <w:rFonts w:hint="eastAsia" w:ascii="Times New Roman" w:hAnsi="Times New Roman" w:eastAsia="宋体" w:cs="Times New Roman"/>
                <w:bCs/>
                <w:color w:val="auto"/>
                <w:kern w:val="2"/>
                <w:sz w:val="24"/>
                <w:szCs w:val="20"/>
                <w:vertAlign w:val="superscript"/>
                <w:lang w:val="en-US" w:eastAsia="zh-CN" w:bidi="ar-SA"/>
              </w:rPr>
              <w:t>-7</w:t>
            </w:r>
            <w:r>
              <w:rPr>
                <w:rFonts w:hint="eastAsia" w:ascii="Times New Roman" w:hAnsi="Times New Roman" w:eastAsia="宋体" w:cs="Times New Roman"/>
                <w:bCs/>
                <w:color w:val="auto"/>
                <w:kern w:val="2"/>
                <w:sz w:val="24"/>
                <w:szCs w:val="20"/>
                <w:lang w:val="en-US" w:eastAsia="zh-CN" w:bidi="ar-SA"/>
              </w:rPr>
              <w:t>cm/s，危险废物暂存室防渗技术要求参照</w:t>
            </w:r>
            <w:r>
              <w:rPr>
                <w:rFonts w:hint="eastAsia" w:ascii="Times New Roman" w:hAnsi="Times New Roman" w:cs="Times New Roman"/>
                <w:bCs/>
                <w:color w:val="auto"/>
                <w:kern w:val="2"/>
                <w:sz w:val="24"/>
                <w:szCs w:val="20"/>
                <w:lang w:val="en-US" w:eastAsia="zh-CN" w:bidi="ar-SA"/>
              </w:rPr>
              <w:t>《危险废物贮存污染控制标准》（GB 18597-2023）</w:t>
            </w:r>
            <w:r>
              <w:rPr>
                <w:rFonts w:hint="eastAsia" w:ascii="Times New Roman" w:hAnsi="Times New Roman" w:eastAsia="宋体" w:cs="Times New Roman"/>
                <w:bCs/>
                <w:color w:val="auto"/>
                <w:kern w:val="2"/>
                <w:sz w:val="24"/>
                <w:szCs w:val="20"/>
                <w:lang w:val="en-US" w:eastAsia="zh-CN" w:bidi="ar-SA"/>
              </w:rPr>
              <w:t>执行，基础必须防渗，防渗层为至少 1m 厚粘土层(渗透系数≤10-7cm/s)，或 2mm 厚高密度聚乙烯，或至少 2mm厚的其他人工材料，渗透系数≤10</w:t>
            </w:r>
            <w:r>
              <w:rPr>
                <w:rFonts w:hint="eastAsia" w:ascii="Times New Roman" w:hAnsi="Times New Roman" w:eastAsia="宋体" w:cs="Times New Roman"/>
                <w:bCs/>
                <w:color w:val="auto"/>
                <w:kern w:val="2"/>
                <w:sz w:val="24"/>
                <w:szCs w:val="20"/>
                <w:vertAlign w:val="superscript"/>
                <w:lang w:val="en-US" w:eastAsia="zh-CN" w:bidi="ar-SA"/>
              </w:rPr>
              <w:t>-10</w:t>
            </w:r>
            <w:r>
              <w:rPr>
                <w:rFonts w:hint="eastAsia" w:ascii="Times New Roman" w:hAnsi="Times New Roman" w:eastAsia="宋体" w:cs="Times New Roman"/>
                <w:bCs/>
                <w:color w:val="auto"/>
                <w:kern w:val="2"/>
                <w:sz w:val="24"/>
                <w:szCs w:val="20"/>
                <w:lang w:val="en-US" w:eastAsia="zh-CN" w:bidi="ar-SA"/>
              </w:rPr>
              <w:t>cm/s。</w:t>
            </w:r>
            <w:r>
              <w:rPr>
                <w:rFonts w:hint="default" w:ascii="Times New Roman" w:hAnsi="Times New Roman" w:eastAsia="宋体" w:cs="Times New Roman"/>
                <w:b w:val="0"/>
                <w:bCs w:val="0"/>
                <w:color w:val="auto"/>
                <w:sz w:val="24"/>
                <w:szCs w:val="24"/>
                <w:highlight w:val="none"/>
                <w:u w:val="none"/>
              </w:rPr>
              <w:t>危险废物应尽快由资质单位运走处理，不宜在厂内存放过长时间，确需暂存的，应做到以下几点：</w:t>
            </w:r>
          </w:p>
          <w:p w14:paraId="510420B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①厂内应设立危险废物临时贮存设施，贮存设施应符合《危险废物贮存污染控制标准》（GB18597-20</w:t>
            </w:r>
            <w:r>
              <w:rPr>
                <w:rFonts w:hint="eastAsia" w:ascii="Times New Roman" w:hAnsi="Times New Roman" w:eastAsia="宋体" w:cs="Times New Roman"/>
                <w:b w:val="0"/>
                <w:bCs w:val="0"/>
                <w:color w:val="auto"/>
                <w:sz w:val="24"/>
                <w:szCs w:val="24"/>
                <w:highlight w:val="none"/>
                <w:u w:val="none"/>
                <w:lang w:val="en-US" w:eastAsia="zh-CN"/>
              </w:rPr>
              <w:t>23</w:t>
            </w:r>
            <w:r>
              <w:rPr>
                <w:rFonts w:hint="default" w:ascii="Times New Roman" w:hAnsi="Times New Roman" w:eastAsia="宋体" w:cs="Times New Roman"/>
                <w:b w:val="0"/>
                <w:bCs w:val="0"/>
                <w:color w:val="auto"/>
                <w:sz w:val="24"/>
                <w:szCs w:val="24"/>
                <w:highlight w:val="none"/>
                <w:u w:val="none"/>
              </w:rPr>
              <w:t>）规定的临时贮存控制要求，有符合要求的专用标志。</w:t>
            </w:r>
          </w:p>
          <w:p w14:paraId="5AFBD6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②危险固废暂存间应设置符合《环境保护图形标志</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固体废物储存（处置）场》（GB15562.2）要求的警告标志。</w:t>
            </w:r>
          </w:p>
          <w:p w14:paraId="06593CE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③地面与裙脚要用坚固、防渗的材料建造，建筑材料必须与危险废物暂存点相容。</w:t>
            </w:r>
          </w:p>
          <w:p w14:paraId="5A1B03F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④危险废物暂存间内要有安全照明设施和观察窗口。</w:t>
            </w:r>
          </w:p>
          <w:p w14:paraId="2474EE1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⑤防止雨水对贮存场所进行冲刷，在危险废物暂存间须设置比较高的门槛。</w:t>
            </w:r>
          </w:p>
          <w:p w14:paraId="30D0F8B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⑥贮存区内禁止混放不相容危险废物。按照危废特性分类进行储存，禁止危险废物混入一般废物中储存。</w:t>
            </w:r>
          </w:p>
          <w:p w14:paraId="485FE0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⑦贮存区考虑相应的集排水和防渗设施。贮存库地面必须采用防腐、防渗措施，如水泥硬化前铺设一定厚度的防渗膜（如HDPE膜）。防渗等级应满足《危险废物贮存污染控制标准》要求。</w:t>
            </w:r>
          </w:p>
          <w:p w14:paraId="71295EB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⑧贮存区符合消防要求。</w:t>
            </w:r>
          </w:p>
          <w:p w14:paraId="4EF7832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⑨危废的暂存区必须有明显标志，具有耐腐蚀、耐压、密封和不与所贮存的废物发生反应等特性。</w:t>
            </w:r>
          </w:p>
          <w:p w14:paraId="29C5E77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⑩危废由相应资质的处置公司定期清运，包装容器为密封桶，桶上粘贴有标签，注明种类、成份、危险类别、产地、禁忌与安全措施等。专用运输车辆为厢式货车，可保证运输过程无泄漏。</w:t>
            </w:r>
          </w:p>
          <w:p w14:paraId="5FD69F64">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采取以上措施后，项目产生的固体废物能够符合环境卫生管理要求，不会对项目所在区域环境造成污染。</w:t>
            </w:r>
          </w:p>
          <w:p w14:paraId="61B88331">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黑体" w:cs="Times New Roman"/>
                <w:b w:val="0"/>
                <w:bCs w:val="0"/>
                <w:color w:val="auto"/>
                <w:sz w:val="24"/>
                <w:u w:val="none"/>
              </w:rPr>
            </w:pPr>
            <w:r>
              <w:rPr>
                <w:color w:val="000000"/>
                <w:sz w:val="24"/>
              </w:rPr>
              <w:t>本项目</w:t>
            </w:r>
            <w:r>
              <w:rPr>
                <w:rFonts w:hint="eastAsia"/>
                <w:color w:val="000000"/>
                <w:sz w:val="24"/>
                <w:lang w:val="en-US" w:eastAsia="zh-CN"/>
              </w:rPr>
              <w:t>危险</w:t>
            </w:r>
            <w:r>
              <w:rPr>
                <w:color w:val="000000"/>
                <w:sz w:val="24"/>
              </w:rPr>
              <w:t>废物产排情况见下表。</w:t>
            </w:r>
          </w:p>
          <w:p w14:paraId="1E249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u w:val="none"/>
              </w:rPr>
            </w:pPr>
            <w:r>
              <w:rPr>
                <w:rFonts w:hint="default" w:ascii="Times New Roman" w:hAnsi="Times New Roman" w:eastAsia="黑体" w:cs="Times New Roman"/>
                <w:b w:val="0"/>
                <w:bCs w:val="0"/>
                <w:color w:val="auto"/>
                <w:sz w:val="24"/>
                <w:u w:val="none"/>
              </w:rPr>
              <w:t>表</w:t>
            </w:r>
            <w:r>
              <w:rPr>
                <w:rFonts w:hint="default" w:ascii="Times New Roman" w:hAnsi="Times New Roman" w:eastAsia="黑体" w:cs="Times New Roman"/>
                <w:b w:val="0"/>
                <w:bCs w:val="0"/>
                <w:color w:val="auto"/>
                <w:sz w:val="24"/>
                <w:u w:val="none"/>
                <w:lang w:val="en-US" w:eastAsia="zh-CN"/>
              </w:rPr>
              <w:t>4-</w:t>
            </w:r>
            <w:r>
              <w:rPr>
                <w:rFonts w:hint="eastAsia" w:ascii="Times New Roman" w:hAnsi="Times New Roman" w:eastAsia="黑体" w:cs="Times New Roman"/>
                <w:b w:val="0"/>
                <w:bCs w:val="0"/>
                <w:color w:val="auto"/>
                <w:sz w:val="24"/>
                <w:u w:val="none"/>
                <w:lang w:val="en-US" w:eastAsia="zh-CN"/>
              </w:rPr>
              <w:t>14</w:t>
            </w:r>
            <w:r>
              <w:rPr>
                <w:rFonts w:hint="default" w:ascii="Times New Roman" w:hAnsi="Times New Roman" w:eastAsia="黑体" w:cs="Times New Roman"/>
                <w:b w:val="0"/>
                <w:bCs w:val="0"/>
                <w:color w:val="auto"/>
                <w:sz w:val="24"/>
                <w:u w:val="none"/>
              </w:rPr>
              <w:t xml:space="preserve">  </w:t>
            </w:r>
            <w:r>
              <w:rPr>
                <w:rFonts w:hint="eastAsia" w:ascii="Times New Roman" w:hAnsi="Times New Roman" w:eastAsia="黑体" w:cs="Times New Roman"/>
                <w:b w:val="0"/>
                <w:bCs w:val="0"/>
                <w:color w:val="auto"/>
                <w:sz w:val="24"/>
                <w:u w:val="none"/>
                <w:lang w:val="en-US" w:eastAsia="zh-CN"/>
              </w:rPr>
              <w:t>本</w:t>
            </w:r>
            <w:r>
              <w:rPr>
                <w:rFonts w:hint="default" w:ascii="Times New Roman" w:hAnsi="Times New Roman" w:eastAsia="黑体" w:cs="Times New Roman"/>
                <w:b w:val="0"/>
                <w:bCs w:val="0"/>
                <w:color w:val="auto"/>
                <w:sz w:val="24"/>
                <w:u w:val="none"/>
              </w:rPr>
              <w:t>项目危险废物产生情况</w:t>
            </w:r>
          </w:p>
          <w:tbl>
            <w:tblPr>
              <w:tblStyle w:val="21"/>
              <w:tblW w:w="7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08"/>
              <w:gridCol w:w="660"/>
              <w:gridCol w:w="696"/>
              <w:gridCol w:w="708"/>
              <w:gridCol w:w="650"/>
              <w:gridCol w:w="610"/>
              <w:gridCol w:w="756"/>
              <w:gridCol w:w="696"/>
              <w:gridCol w:w="648"/>
              <w:gridCol w:w="972"/>
            </w:tblGrid>
            <w:tr w14:paraId="6FD0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7" w:type="dxa"/>
                  <w:tcBorders>
                    <w:tl2br w:val="nil"/>
                    <w:tr2bl w:val="nil"/>
                  </w:tcBorders>
                  <w:noWrap w:val="0"/>
                  <w:vAlign w:val="center"/>
                </w:tcPr>
                <w:p w14:paraId="1E4E8434">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序号</w:t>
                  </w:r>
                </w:p>
              </w:tc>
              <w:tc>
                <w:tcPr>
                  <w:tcW w:w="808" w:type="dxa"/>
                  <w:tcBorders>
                    <w:tl2br w:val="nil"/>
                    <w:tr2bl w:val="nil"/>
                  </w:tcBorders>
                  <w:noWrap w:val="0"/>
                  <w:vAlign w:val="center"/>
                </w:tcPr>
                <w:p w14:paraId="334D96A1">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危险废物名称</w:t>
                  </w:r>
                </w:p>
              </w:tc>
              <w:tc>
                <w:tcPr>
                  <w:tcW w:w="660" w:type="dxa"/>
                  <w:tcBorders>
                    <w:tl2br w:val="nil"/>
                    <w:tr2bl w:val="nil"/>
                  </w:tcBorders>
                  <w:noWrap w:val="0"/>
                  <w:vAlign w:val="center"/>
                </w:tcPr>
                <w:p w14:paraId="5E415352">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危险废物类别</w:t>
                  </w:r>
                </w:p>
              </w:tc>
              <w:tc>
                <w:tcPr>
                  <w:tcW w:w="696" w:type="dxa"/>
                  <w:tcBorders>
                    <w:tl2br w:val="nil"/>
                    <w:tr2bl w:val="nil"/>
                  </w:tcBorders>
                  <w:noWrap w:val="0"/>
                  <w:vAlign w:val="center"/>
                </w:tcPr>
                <w:p w14:paraId="101D9B83">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危险废物代码</w:t>
                  </w:r>
                </w:p>
              </w:tc>
              <w:tc>
                <w:tcPr>
                  <w:tcW w:w="708" w:type="dxa"/>
                  <w:tcBorders>
                    <w:tl2br w:val="nil"/>
                    <w:tr2bl w:val="nil"/>
                  </w:tcBorders>
                  <w:noWrap w:val="0"/>
                  <w:vAlign w:val="center"/>
                </w:tcPr>
                <w:p w14:paraId="5167D222">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产生量</w:t>
                  </w:r>
                </w:p>
              </w:tc>
              <w:tc>
                <w:tcPr>
                  <w:tcW w:w="650" w:type="dxa"/>
                  <w:tcBorders>
                    <w:tl2br w:val="nil"/>
                    <w:tr2bl w:val="nil"/>
                  </w:tcBorders>
                  <w:noWrap w:val="0"/>
                  <w:vAlign w:val="center"/>
                </w:tcPr>
                <w:p w14:paraId="76FEDDAF">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产生工序</w:t>
                  </w:r>
                </w:p>
              </w:tc>
              <w:tc>
                <w:tcPr>
                  <w:tcW w:w="610" w:type="dxa"/>
                  <w:tcBorders>
                    <w:tl2br w:val="nil"/>
                    <w:tr2bl w:val="nil"/>
                  </w:tcBorders>
                  <w:noWrap w:val="0"/>
                  <w:vAlign w:val="center"/>
                </w:tcPr>
                <w:p w14:paraId="4411A392">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形态</w:t>
                  </w:r>
                </w:p>
              </w:tc>
              <w:tc>
                <w:tcPr>
                  <w:tcW w:w="756" w:type="dxa"/>
                  <w:tcBorders>
                    <w:tl2br w:val="nil"/>
                    <w:tr2bl w:val="nil"/>
                  </w:tcBorders>
                  <w:noWrap w:val="0"/>
                  <w:vAlign w:val="center"/>
                </w:tcPr>
                <w:p w14:paraId="5DDBA7A4">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位置</w:t>
                  </w:r>
                </w:p>
              </w:tc>
              <w:tc>
                <w:tcPr>
                  <w:tcW w:w="696" w:type="dxa"/>
                  <w:tcBorders>
                    <w:tl2br w:val="nil"/>
                    <w:tr2bl w:val="nil"/>
                  </w:tcBorders>
                  <w:noWrap w:val="0"/>
                  <w:vAlign w:val="center"/>
                </w:tcPr>
                <w:p w14:paraId="33CD4523">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占地面积</w:t>
                  </w:r>
                </w:p>
              </w:tc>
              <w:tc>
                <w:tcPr>
                  <w:tcW w:w="648" w:type="dxa"/>
                  <w:tcBorders>
                    <w:tl2br w:val="nil"/>
                    <w:tr2bl w:val="nil"/>
                  </w:tcBorders>
                  <w:noWrap w:val="0"/>
                  <w:vAlign w:val="center"/>
                </w:tcPr>
                <w:p w14:paraId="7FACF121">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kern w:val="2"/>
                      <w:sz w:val="21"/>
                      <w:szCs w:val="21"/>
                      <w:u w:val="none"/>
                      <w:lang w:val="en-US" w:eastAsia="zh-CN"/>
                    </w:rPr>
                  </w:pPr>
                  <w:r>
                    <w:rPr>
                      <w:rFonts w:hint="eastAsia" w:ascii="黑体" w:hAnsi="黑体" w:eastAsia="黑体" w:cs="黑体"/>
                      <w:b w:val="0"/>
                      <w:bCs w:val="0"/>
                      <w:color w:val="auto"/>
                      <w:kern w:val="2"/>
                      <w:sz w:val="21"/>
                      <w:szCs w:val="21"/>
                      <w:u w:val="none"/>
                      <w:lang w:val="en-US" w:eastAsia="zh-CN"/>
                    </w:rPr>
                    <w:t>危险特性</w:t>
                  </w:r>
                </w:p>
              </w:tc>
              <w:tc>
                <w:tcPr>
                  <w:tcW w:w="972" w:type="dxa"/>
                  <w:tcBorders>
                    <w:tl2br w:val="nil"/>
                    <w:tr2bl w:val="nil"/>
                  </w:tcBorders>
                  <w:noWrap w:val="0"/>
                  <w:vAlign w:val="center"/>
                </w:tcPr>
                <w:p w14:paraId="36DEDCBD">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黑体"/>
                      <w:b w:val="0"/>
                      <w:bCs w:val="0"/>
                      <w:color w:val="auto"/>
                      <w:sz w:val="21"/>
                      <w:szCs w:val="21"/>
                      <w:u w:val="none"/>
                      <w:lang w:val="en-US" w:eastAsia="zh-CN"/>
                    </w:rPr>
                  </w:pPr>
                  <w:r>
                    <w:rPr>
                      <w:rFonts w:hint="eastAsia" w:eastAsia="黑体"/>
                      <w:b w:val="0"/>
                      <w:bCs w:val="0"/>
                      <w:color w:val="auto"/>
                      <w:sz w:val="21"/>
                      <w:szCs w:val="21"/>
                      <w:u w:val="none"/>
                      <w:lang w:val="en-US" w:eastAsia="zh-CN"/>
                    </w:rPr>
                    <w:t>贮存</w:t>
                  </w:r>
                </w:p>
                <w:p w14:paraId="302184EA">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黑体"/>
                      <w:b/>
                      <w:bCs/>
                      <w:color w:val="auto"/>
                      <w:sz w:val="24"/>
                      <w:u w:val="none"/>
                      <w:lang w:val="en-US" w:eastAsia="zh-CN"/>
                    </w:rPr>
                  </w:pPr>
                  <w:r>
                    <w:rPr>
                      <w:rFonts w:hint="eastAsia" w:eastAsia="黑体"/>
                      <w:b w:val="0"/>
                      <w:bCs w:val="0"/>
                      <w:color w:val="auto"/>
                      <w:sz w:val="21"/>
                      <w:szCs w:val="21"/>
                      <w:u w:val="none"/>
                      <w:lang w:val="en-US" w:eastAsia="zh-CN"/>
                    </w:rPr>
                    <w:t>周期</w:t>
                  </w:r>
                </w:p>
              </w:tc>
            </w:tr>
            <w:tr w14:paraId="6D53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47" w:type="dxa"/>
                  <w:tcBorders>
                    <w:tl2br w:val="nil"/>
                    <w:tr2bl w:val="nil"/>
                  </w:tcBorders>
                  <w:noWrap w:val="0"/>
                  <w:vAlign w:val="center"/>
                </w:tcPr>
                <w:p w14:paraId="5E39AA68">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eastAsia="宋体" w:cs="Times New Roman"/>
                      <w:b w:val="0"/>
                      <w:bCs w:val="0"/>
                      <w:color w:val="auto"/>
                      <w:kern w:val="2"/>
                      <w:sz w:val="21"/>
                      <w:szCs w:val="21"/>
                      <w:u w:val="none"/>
                      <w:lang w:val="en-US" w:eastAsia="zh-CN"/>
                    </w:rPr>
                    <w:t>1</w:t>
                  </w:r>
                </w:p>
              </w:tc>
              <w:tc>
                <w:tcPr>
                  <w:tcW w:w="808" w:type="dxa"/>
                  <w:tcBorders>
                    <w:tl2br w:val="nil"/>
                    <w:tr2bl w:val="nil"/>
                  </w:tcBorders>
                  <w:noWrap w:val="0"/>
                  <w:vAlign w:val="center"/>
                </w:tcPr>
                <w:p w14:paraId="30AF30DC">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eastAsia="宋体" w:cs="Times New Roman"/>
                      <w:b w:val="0"/>
                      <w:bCs w:val="0"/>
                      <w:color w:val="auto"/>
                      <w:kern w:val="2"/>
                      <w:sz w:val="21"/>
                      <w:szCs w:val="21"/>
                      <w:u w:val="none"/>
                      <w:lang w:val="en-US" w:eastAsia="zh-CN"/>
                    </w:rPr>
                    <w:t>废活性炭</w:t>
                  </w:r>
                </w:p>
              </w:tc>
              <w:tc>
                <w:tcPr>
                  <w:tcW w:w="660" w:type="dxa"/>
                  <w:tcBorders>
                    <w:tl2br w:val="nil"/>
                    <w:tr2bl w:val="nil"/>
                  </w:tcBorders>
                  <w:noWrap w:val="0"/>
                  <w:vAlign w:val="center"/>
                </w:tcPr>
                <w:p w14:paraId="2847F73A">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eastAsia="宋体" w:cs="Times New Roman"/>
                      <w:b w:val="0"/>
                      <w:bCs w:val="0"/>
                      <w:color w:val="auto"/>
                      <w:kern w:val="2"/>
                      <w:sz w:val="21"/>
                      <w:szCs w:val="21"/>
                      <w:u w:val="none"/>
                      <w:lang w:val="en-US" w:eastAsia="zh-CN"/>
                    </w:rPr>
                    <w:t>HW</w:t>
                  </w:r>
                  <w:r>
                    <w:rPr>
                      <w:rFonts w:hint="eastAsia" w:ascii="Times New Roman" w:hAnsi="Times New Roman" w:eastAsia="宋体" w:cs="Times New Roman"/>
                      <w:b w:val="0"/>
                      <w:bCs w:val="0"/>
                      <w:color w:val="auto"/>
                      <w:kern w:val="2"/>
                      <w:sz w:val="21"/>
                      <w:szCs w:val="21"/>
                      <w:u w:val="none"/>
                      <w:lang w:val="en-US" w:eastAsia="zh-CN"/>
                    </w:rPr>
                    <w:t>49</w:t>
                  </w:r>
                </w:p>
              </w:tc>
              <w:tc>
                <w:tcPr>
                  <w:tcW w:w="696" w:type="dxa"/>
                  <w:tcBorders>
                    <w:tl2br w:val="nil"/>
                    <w:tr2bl w:val="nil"/>
                  </w:tcBorders>
                  <w:noWrap w:val="0"/>
                  <w:vAlign w:val="center"/>
                </w:tcPr>
                <w:p w14:paraId="3B10F580">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eastAsia="宋体" w:cs="Times New Roman"/>
                      <w:b w:val="0"/>
                      <w:bCs w:val="0"/>
                      <w:color w:val="auto"/>
                      <w:kern w:val="2"/>
                      <w:sz w:val="21"/>
                      <w:szCs w:val="21"/>
                      <w:u w:val="none"/>
                      <w:lang w:val="en-US" w:eastAsia="zh-CN"/>
                    </w:rPr>
                    <w:t>900-0</w:t>
                  </w:r>
                  <w:r>
                    <w:rPr>
                      <w:rFonts w:hint="eastAsia" w:cs="Times New Roman"/>
                      <w:b w:val="0"/>
                      <w:bCs w:val="0"/>
                      <w:color w:val="auto"/>
                      <w:kern w:val="2"/>
                      <w:sz w:val="21"/>
                      <w:szCs w:val="21"/>
                      <w:u w:val="none"/>
                      <w:lang w:val="en-US" w:eastAsia="zh-CN"/>
                    </w:rPr>
                    <w:t>39</w:t>
                  </w:r>
                  <w:r>
                    <w:rPr>
                      <w:rFonts w:hint="default" w:ascii="Times New Roman" w:hAnsi="Times New Roman" w:eastAsia="宋体" w:cs="Times New Roman"/>
                      <w:b w:val="0"/>
                      <w:bCs w:val="0"/>
                      <w:color w:val="auto"/>
                      <w:kern w:val="2"/>
                      <w:sz w:val="21"/>
                      <w:szCs w:val="21"/>
                      <w:u w:val="none"/>
                      <w:lang w:val="en-US" w:eastAsia="zh-CN"/>
                    </w:rPr>
                    <w:t>-49</w:t>
                  </w:r>
                </w:p>
              </w:tc>
              <w:tc>
                <w:tcPr>
                  <w:tcW w:w="708" w:type="dxa"/>
                  <w:tcBorders>
                    <w:tl2br w:val="nil"/>
                    <w:tr2bl w:val="nil"/>
                  </w:tcBorders>
                  <w:noWrap w:val="0"/>
                  <w:vAlign w:val="center"/>
                </w:tcPr>
                <w:p w14:paraId="312052ED">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cs="Times New Roman"/>
                      <w:b w:val="0"/>
                      <w:bCs/>
                      <w:color w:val="auto"/>
                      <w:sz w:val="21"/>
                      <w:szCs w:val="21"/>
                      <w:u w:val="none"/>
                      <w:lang w:val="en-US" w:eastAsia="zh-CN"/>
                    </w:rPr>
                    <w:t>0.008t</w:t>
                  </w:r>
                  <w:r>
                    <w:rPr>
                      <w:rFonts w:hint="default" w:ascii="Times New Roman" w:hAnsi="Times New Roman" w:eastAsia="宋体" w:cs="Times New Roman"/>
                      <w:b w:val="0"/>
                      <w:bCs/>
                      <w:color w:val="auto"/>
                      <w:sz w:val="21"/>
                      <w:szCs w:val="21"/>
                      <w:u w:val="none"/>
                      <w:lang w:eastAsia="zh-CN"/>
                    </w:rPr>
                    <w:t>/a</w:t>
                  </w:r>
                </w:p>
              </w:tc>
              <w:tc>
                <w:tcPr>
                  <w:tcW w:w="650" w:type="dxa"/>
                  <w:tcBorders>
                    <w:tl2br w:val="nil"/>
                    <w:tr2bl w:val="nil"/>
                  </w:tcBorders>
                  <w:noWrap w:val="0"/>
                  <w:vAlign w:val="center"/>
                </w:tcPr>
                <w:p w14:paraId="0AAE58F3">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ascii="Times New Roman" w:hAnsi="Times New Roman" w:eastAsia="宋体" w:cs="Times New Roman"/>
                      <w:b w:val="0"/>
                      <w:bCs w:val="0"/>
                      <w:color w:val="auto"/>
                      <w:kern w:val="2"/>
                      <w:sz w:val="21"/>
                      <w:szCs w:val="21"/>
                      <w:u w:val="none"/>
                      <w:lang w:val="en-US" w:eastAsia="zh-CN"/>
                    </w:rPr>
                    <w:t>废气处理</w:t>
                  </w:r>
                </w:p>
              </w:tc>
              <w:tc>
                <w:tcPr>
                  <w:tcW w:w="610" w:type="dxa"/>
                  <w:tcBorders>
                    <w:tl2br w:val="nil"/>
                    <w:tr2bl w:val="nil"/>
                  </w:tcBorders>
                  <w:noWrap w:val="0"/>
                  <w:vAlign w:val="center"/>
                </w:tcPr>
                <w:p w14:paraId="3F2C4B43">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ascii="Times New Roman" w:hAnsi="Times New Roman" w:eastAsia="宋体" w:cs="Times New Roman"/>
                      <w:b w:val="0"/>
                      <w:bCs w:val="0"/>
                      <w:color w:val="auto"/>
                      <w:kern w:val="2"/>
                      <w:sz w:val="21"/>
                      <w:szCs w:val="21"/>
                      <w:u w:val="none"/>
                      <w:lang w:val="en-US" w:eastAsia="zh-CN"/>
                    </w:rPr>
                    <w:t>固态</w:t>
                  </w:r>
                </w:p>
              </w:tc>
              <w:tc>
                <w:tcPr>
                  <w:tcW w:w="756" w:type="dxa"/>
                  <w:tcBorders>
                    <w:tl2br w:val="nil"/>
                    <w:tr2bl w:val="nil"/>
                  </w:tcBorders>
                  <w:noWrap w:val="0"/>
                  <w:vAlign w:val="center"/>
                </w:tcPr>
                <w:p w14:paraId="6258EEFF">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ascii="Times New Roman" w:hAnsi="Times New Roman" w:eastAsia="宋体" w:cs="Times New Roman"/>
                      <w:b w:val="0"/>
                      <w:bCs w:val="0"/>
                      <w:color w:val="auto"/>
                      <w:kern w:val="2"/>
                      <w:sz w:val="21"/>
                      <w:szCs w:val="21"/>
                      <w:u w:val="none"/>
                      <w:lang w:val="en-US" w:eastAsia="zh-CN"/>
                    </w:rPr>
                    <w:t>危废间</w:t>
                  </w:r>
                </w:p>
              </w:tc>
              <w:tc>
                <w:tcPr>
                  <w:tcW w:w="696" w:type="dxa"/>
                  <w:tcBorders>
                    <w:tl2br w:val="nil"/>
                    <w:tr2bl w:val="nil"/>
                  </w:tcBorders>
                  <w:noWrap w:val="0"/>
                  <w:vAlign w:val="center"/>
                </w:tcPr>
                <w:p w14:paraId="7C72CE56">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color w:val="000000"/>
                      <w:sz w:val="21"/>
                      <w:szCs w:val="21"/>
                      <w:highlight w:val="none"/>
                      <w:lang w:val="en-US" w:eastAsia="zh-CN"/>
                    </w:rPr>
                    <w:t>5</w:t>
                  </w:r>
                  <w:r>
                    <w:rPr>
                      <w:color w:val="000000"/>
                      <w:sz w:val="21"/>
                      <w:szCs w:val="21"/>
                      <w:highlight w:val="none"/>
                    </w:rPr>
                    <w:t>m</w:t>
                  </w:r>
                  <w:r>
                    <w:rPr>
                      <w:color w:val="000000"/>
                      <w:sz w:val="21"/>
                      <w:szCs w:val="21"/>
                      <w:highlight w:val="none"/>
                      <w:vertAlign w:val="superscript"/>
                    </w:rPr>
                    <w:t>2</w:t>
                  </w:r>
                </w:p>
              </w:tc>
              <w:tc>
                <w:tcPr>
                  <w:tcW w:w="648" w:type="dxa"/>
                  <w:tcBorders>
                    <w:tl2br w:val="nil"/>
                    <w:tr2bl w:val="nil"/>
                  </w:tcBorders>
                  <w:noWrap w:val="0"/>
                  <w:vAlign w:val="center"/>
                </w:tcPr>
                <w:p w14:paraId="66927556">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eastAsia="宋体" w:cs="Times New Roman"/>
                      <w:b w:val="0"/>
                      <w:bCs w:val="0"/>
                      <w:color w:val="auto"/>
                      <w:kern w:val="2"/>
                      <w:sz w:val="21"/>
                      <w:szCs w:val="21"/>
                      <w:u w:val="none"/>
                      <w:lang w:val="en-US" w:eastAsia="zh-CN"/>
                    </w:rPr>
                    <w:t>T</w:t>
                  </w:r>
                </w:p>
              </w:tc>
              <w:tc>
                <w:tcPr>
                  <w:tcW w:w="972" w:type="dxa"/>
                  <w:tcBorders>
                    <w:tl2br w:val="nil"/>
                    <w:tr2bl w:val="nil"/>
                  </w:tcBorders>
                  <w:noWrap w:val="0"/>
                  <w:vAlign w:val="center"/>
                </w:tcPr>
                <w:p w14:paraId="083B88EA">
                  <w:pPr>
                    <w:pStyle w:val="4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eastAsia" w:cs="Times New Roman"/>
                      <w:b w:val="0"/>
                      <w:bCs w:val="0"/>
                      <w:color w:val="auto"/>
                      <w:kern w:val="2"/>
                      <w:sz w:val="21"/>
                      <w:szCs w:val="21"/>
                      <w:u w:val="none"/>
                      <w:lang w:val="en-US" w:eastAsia="zh-CN"/>
                    </w:rPr>
                    <w:t>一</w:t>
                  </w:r>
                  <w:r>
                    <w:rPr>
                      <w:rFonts w:hint="eastAsia" w:ascii="Times New Roman" w:hAnsi="Times New Roman" w:eastAsia="宋体" w:cs="Times New Roman"/>
                      <w:b w:val="0"/>
                      <w:bCs w:val="0"/>
                      <w:color w:val="auto"/>
                      <w:kern w:val="2"/>
                      <w:sz w:val="21"/>
                      <w:szCs w:val="21"/>
                      <w:u w:val="none"/>
                      <w:lang w:val="en-US" w:eastAsia="zh-CN"/>
                    </w:rPr>
                    <w:t>个月</w:t>
                  </w:r>
                </w:p>
              </w:tc>
            </w:tr>
          </w:tbl>
          <w:p w14:paraId="6D73DF2A">
            <w:pPr>
              <w:keepNext w:val="0"/>
              <w:keepLines w:val="0"/>
              <w:pageBreakBefore w:val="0"/>
              <w:widowControl w:val="0"/>
              <w:kinsoku/>
              <w:wordWrap/>
              <w:overflowPunct/>
              <w:topLinePunct w:val="0"/>
              <w:bidi w:val="0"/>
              <w:spacing w:line="500" w:lineRule="exact"/>
              <w:ind w:firstLine="480" w:firstLineChars="200"/>
              <w:textAlignment w:val="auto"/>
              <w:rPr>
                <w:color w:val="000000"/>
                <w:sz w:val="24"/>
              </w:rPr>
            </w:pPr>
            <w:r>
              <w:rPr>
                <w:color w:val="000000"/>
                <w:sz w:val="24"/>
              </w:rPr>
              <w:t>本项目固体废物产排情况见下表。</w:t>
            </w:r>
          </w:p>
          <w:p w14:paraId="04D6C8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color w:val="000000"/>
                <w:sz w:val="24"/>
              </w:rPr>
            </w:pPr>
            <w:r>
              <w:rPr>
                <w:rFonts w:eastAsia="黑体"/>
                <w:color w:val="000000"/>
                <w:sz w:val="24"/>
              </w:rPr>
              <w:t>表</w:t>
            </w:r>
            <w:r>
              <w:rPr>
                <w:rFonts w:hint="eastAsia" w:eastAsia="黑体"/>
                <w:color w:val="000000"/>
                <w:sz w:val="24"/>
              </w:rPr>
              <w:t>4-</w:t>
            </w:r>
            <w:r>
              <w:rPr>
                <w:rFonts w:hint="eastAsia" w:eastAsia="黑体"/>
                <w:color w:val="000000"/>
                <w:sz w:val="24"/>
                <w:lang w:val="en-US" w:eastAsia="zh-CN"/>
              </w:rPr>
              <w:t xml:space="preserve">15 </w:t>
            </w:r>
            <w:r>
              <w:rPr>
                <w:rFonts w:eastAsia="黑体"/>
                <w:color w:val="000000"/>
                <w:sz w:val="24"/>
              </w:rPr>
              <w:t>项目</w:t>
            </w:r>
            <w:r>
              <w:rPr>
                <w:rFonts w:hint="eastAsia" w:eastAsia="黑体"/>
                <w:color w:val="000000"/>
                <w:sz w:val="24"/>
              </w:rPr>
              <w:t>一般</w:t>
            </w:r>
            <w:r>
              <w:rPr>
                <w:rFonts w:eastAsia="黑体"/>
                <w:color w:val="000000"/>
                <w:sz w:val="24"/>
              </w:rPr>
              <w:t>固体废物产排情况一览表</w:t>
            </w:r>
          </w:p>
          <w:tbl>
            <w:tblPr>
              <w:tblStyle w:val="21"/>
              <w:tblW w:w="505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Layout w:type="fixed"/>
              <w:tblCellMar>
                <w:top w:w="0" w:type="dxa"/>
                <w:left w:w="108" w:type="dxa"/>
                <w:bottom w:w="0" w:type="dxa"/>
                <w:right w:w="108" w:type="dxa"/>
              </w:tblCellMar>
            </w:tblPr>
            <w:tblGrid>
              <w:gridCol w:w="671"/>
              <w:gridCol w:w="1634"/>
              <w:gridCol w:w="1333"/>
              <w:gridCol w:w="1135"/>
              <w:gridCol w:w="1064"/>
              <w:gridCol w:w="2170"/>
            </w:tblGrid>
            <w:tr w14:paraId="4DD87E36">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551" w:hRule="atLeast"/>
                <w:jc w:val="center"/>
              </w:trPr>
              <w:tc>
                <w:tcPr>
                  <w:tcW w:w="419" w:type="pct"/>
                  <w:tcBorders>
                    <w:tl2br w:val="nil"/>
                    <w:tr2bl w:val="nil"/>
                  </w:tcBorders>
                  <w:noWrap w:val="0"/>
                  <w:vAlign w:val="center"/>
                </w:tcPr>
                <w:p w14:paraId="4EC14F4D">
                  <w:pPr>
                    <w:adjustRightInd w:val="0"/>
                    <w:snapToGrid w:val="0"/>
                    <w:spacing w:beforeLines="10"/>
                    <w:jc w:val="center"/>
                    <w:rPr>
                      <w:bCs/>
                      <w:color w:val="000000"/>
                      <w:szCs w:val="21"/>
                      <w:lang w:val="zh-CN"/>
                    </w:rPr>
                  </w:pPr>
                  <w:r>
                    <w:rPr>
                      <w:bCs/>
                      <w:color w:val="000000"/>
                      <w:szCs w:val="21"/>
                      <w:lang w:val="zh-CN"/>
                    </w:rPr>
                    <w:t>序号</w:t>
                  </w:r>
                </w:p>
              </w:tc>
              <w:tc>
                <w:tcPr>
                  <w:tcW w:w="1020" w:type="pct"/>
                  <w:tcBorders>
                    <w:tl2br w:val="nil"/>
                    <w:tr2bl w:val="nil"/>
                  </w:tcBorders>
                  <w:noWrap w:val="0"/>
                  <w:vAlign w:val="center"/>
                </w:tcPr>
                <w:p w14:paraId="1E9C8312">
                  <w:pPr>
                    <w:adjustRightInd w:val="0"/>
                    <w:snapToGrid w:val="0"/>
                    <w:spacing w:beforeLines="10"/>
                    <w:jc w:val="center"/>
                    <w:rPr>
                      <w:bCs/>
                      <w:color w:val="000000"/>
                      <w:szCs w:val="21"/>
                      <w:lang w:val="zh-CN"/>
                    </w:rPr>
                  </w:pPr>
                  <w:r>
                    <w:rPr>
                      <w:bCs/>
                      <w:color w:val="000000"/>
                      <w:szCs w:val="21"/>
                      <w:lang w:val="zh-CN"/>
                    </w:rPr>
                    <w:t>产污环节</w:t>
                  </w:r>
                </w:p>
              </w:tc>
              <w:tc>
                <w:tcPr>
                  <w:tcW w:w="832" w:type="pct"/>
                  <w:tcBorders>
                    <w:tl2br w:val="nil"/>
                    <w:tr2bl w:val="nil"/>
                  </w:tcBorders>
                  <w:noWrap w:val="0"/>
                  <w:vAlign w:val="center"/>
                </w:tcPr>
                <w:p w14:paraId="7E02FF0B">
                  <w:pPr>
                    <w:adjustRightInd w:val="0"/>
                    <w:snapToGrid w:val="0"/>
                    <w:spacing w:beforeLines="10"/>
                    <w:jc w:val="center"/>
                    <w:rPr>
                      <w:bCs/>
                      <w:color w:val="000000"/>
                      <w:szCs w:val="21"/>
                      <w:lang w:val="zh-CN"/>
                    </w:rPr>
                  </w:pPr>
                  <w:r>
                    <w:rPr>
                      <w:bCs/>
                      <w:color w:val="000000"/>
                      <w:szCs w:val="21"/>
                      <w:lang w:val="zh-CN"/>
                    </w:rPr>
                    <w:t>固废</w:t>
                  </w:r>
                </w:p>
                <w:p w14:paraId="3BDFEBD9">
                  <w:pPr>
                    <w:adjustRightInd w:val="0"/>
                    <w:snapToGrid w:val="0"/>
                    <w:spacing w:beforeLines="10"/>
                    <w:jc w:val="center"/>
                    <w:rPr>
                      <w:bCs/>
                      <w:color w:val="000000"/>
                      <w:szCs w:val="21"/>
                      <w:lang w:val="zh-CN"/>
                    </w:rPr>
                  </w:pPr>
                  <w:r>
                    <w:rPr>
                      <w:bCs/>
                      <w:color w:val="000000"/>
                      <w:szCs w:val="21"/>
                      <w:lang w:val="zh-CN"/>
                    </w:rPr>
                    <w:t>名称</w:t>
                  </w:r>
                </w:p>
              </w:tc>
              <w:tc>
                <w:tcPr>
                  <w:tcW w:w="708" w:type="pct"/>
                  <w:tcBorders>
                    <w:tl2br w:val="nil"/>
                    <w:tr2bl w:val="nil"/>
                  </w:tcBorders>
                  <w:noWrap w:val="0"/>
                  <w:vAlign w:val="center"/>
                </w:tcPr>
                <w:p w14:paraId="7CB55ABD">
                  <w:pPr>
                    <w:adjustRightInd w:val="0"/>
                    <w:snapToGrid w:val="0"/>
                    <w:spacing w:beforeLines="10"/>
                    <w:jc w:val="center"/>
                    <w:rPr>
                      <w:bCs/>
                      <w:color w:val="000000"/>
                      <w:szCs w:val="21"/>
                      <w:lang w:val="zh-CN"/>
                    </w:rPr>
                  </w:pPr>
                  <w:r>
                    <w:rPr>
                      <w:bCs/>
                      <w:color w:val="000000"/>
                      <w:szCs w:val="21"/>
                      <w:lang w:val="zh-CN"/>
                    </w:rPr>
                    <w:t>固废属性</w:t>
                  </w:r>
                </w:p>
              </w:tc>
              <w:tc>
                <w:tcPr>
                  <w:tcW w:w="664" w:type="pct"/>
                  <w:tcBorders>
                    <w:tl2br w:val="nil"/>
                    <w:tr2bl w:val="nil"/>
                  </w:tcBorders>
                  <w:noWrap w:val="0"/>
                  <w:vAlign w:val="center"/>
                </w:tcPr>
                <w:p w14:paraId="3A3C6830">
                  <w:pPr>
                    <w:adjustRightInd w:val="0"/>
                    <w:snapToGrid w:val="0"/>
                    <w:spacing w:beforeLines="10"/>
                    <w:jc w:val="center"/>
                    <w:rPr>
                      <w:bCs/>
                      <w:color w:val="000000"/>
                      <w:szCs w:val="21"/>
                      <w:highlight w:val="none"/>
                      <w:lang w:val="zh-CN"/>
                    </w:rPr>
                  </w:pPr>
                  <w:r>
                    <w:rPr>
                      <w:bCs/>
                      <w:color w:val="000000"/>
                      <w:szCs w:val="21"/>
                      <w:highlight w:val="none"/>
                      <w:lang w:val="zh-CN"/>
                    </w:rPr>
                    <w:t>产生量（t/a）</w:t>
                  </w:r>
                </w:p>
              </w:tc>
              <w:tc>
                <w:tcPr>
                  <w:tcW w:w="1355" w:type="pct"/>
                  <w:tcBorders>
                    <w:tl2br w:val="nil"/>
                    <w:tr2bl w:val="nil"/>
                  </w:tcBorders>
                  <w:noWrap w:val="0"/>
                  <w:vAlign w:val="center"/>
                </w:tcPr>
                <w:p w14:paraId="7A18F41F">
                  <w:pPr>
                    <w:adjustRightInd w:val="0"/>
                    <w:snapToGrid w:val="0"/>
                    <w:spacing w:beforeLines="10"/>
                    <w:jc w:val="center"/>
                    <w:rPr>
                      <w:bCs/>
                      <w:color w:val="000000"/>
                      <w:szCs w:val="21"/>
                      <w:lang w:val="zh-CN"/>
                    </w:rPr>
                  </w:pPr>
                  <w:r>
                    <w:rPr>
                      <w:bCs/>
                      <w:color w:val="000000"/>
                      <w:szCs w:val="21"/>
                      <w:lang w:val="zh-CN"/>
                    </w:rPr>
                    <w:t>拟采取的处理方式</w:t>
                  </w:r>
                </w:p>
              </w:tc>
            </w:tr>
            <w:tr w14:paraId="5F4EAB69">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09" w:hRule="atLeast"/>
                <w:jc w:val="center"/>
              </w:trPr>
              <w:tc>
                <w:tcPr>
                  <w:tcW w:w="419" w:type="pct"/>
                  <w:tcBorders>
                    <w:tl2br w:val="nil"/>
                    <w:tr2bl w:val="nil"/>
                  </w:tcBorders>
                  <w:shd w:val="clear" w:color="auto" w:fill="auto"/>
                  <w:noWrap w:val="0"/>
                  <w:vAlign w:val="center"/>
                </w:tcPr>
                <w:p w14:paraId="65CC5DE1">
                  <w:pPr>
                    <w:adjustRightInd w:val="0"/>
                    <w:snapToGrid w:val="0"/>
                    <w:spacing w:beforeLines="10"/>
                    <w:jc w:val="center"/>
                    <w:rPr>
                      <w:rFonts w:hint="eastAsia" w:ascii="Times New Roman" w:hAnsi="Times New Roman" w:eastAsia="宋体" w:cs="Times New Roman"/>
                      <w:bCs/>
                      <w:color w:val="000000"/>
                      <w:kern w:val="2"/>
                      <w:sz w:val="21"/>
                      <w:szCs w:val="21"/>
                      <w:lang w:val="zh-CN" w:eastAsia="zh-CN" w:bidi="ar-SA"/>
                    </w:rPr>
                  </w:pPr>
                  <w:r>
                    <w:rPr>
                      <w:rFonts w:hint="eastAsia"/>
                      <w:bCs/>
                      <w:color w:val="000000"/>
                      <w:szCs w:val="21"/>
                      <w:lang w:val="zh-CN"/>
                    </w:rPr>
                    <w:t>1</w:t>
                  </w:r>
                </w:p>
              </w:tc>
              <w:tc>
                <w:tcPr>
                  <w:tcW w:w="1020" w:type="pct"/>
                  <w:tcBorders>
                    <w:tl2br w:val="nil"/>
                    <w:tr2bl w:val="nil"/>
                  </w:tcBorders>
                  <w:noWrap w:val="0"/>
                  <w:vAlign w:val="center"/>
                </w:tcPr>
                <w:p w14:paraId="1564899B">
                  <w:pPr>
                    <w:adjustRightInd w:val="0"/>
                    <w:snapToGrid w:val="0"/>
                    <w:spacing w:beforeLines="10"/>
                    <w:jc w:val="center"/>
                    <w:rPr>
                      <w:rFonts w:hint="default"/>
                      <w:color w:val="000000"/>
                      <w:szCs w:val="21"/>
                      <w:lang w:val="en-US" w:eastAsia="zh-CN"/>
                    </w:rPr>
                  </w:pPr>
                  <w:r>
                    <w:rPr>
                      <w:rFonts w:hint="eastAsia"/>
                      <w:color w:val="000000"/>
                      <w:szCs w:val="21"/>
                      <w:lang w:val="en-US" w:eastAsia="zh-CN"/>
                    </w:rPr>
                    <w:t>牛骨粉碎工序</w:t>
                  </w:r>
                </w:p>
              </w:tc>
              <w:tc>
                <w:tcPr>
                  <w:tcW w:w="832" w:type="pct"/>
                  <w:tcBorders>
                    <w:tl2br w:val="nil"/>
                    <w:tr2bl w:val="nil"/>
                  </w:tcBorders>
                  <w:shd w:val="clear" w:color="auto" w:fill="auto"/>
                  <w:noWrap w:val="0"/>
                  <w:vAlign w:val="center"/>
                </w:tcPr>
                <w:p w14:paraId="0A63DC1B">
                  <w:pPr>
                    <w:adjustRightInd w:val="0"/>
                    <w:snapToGrid w:val="0"/>
                    <w:spacing w:beforeLines="10"/>
                    <w:jc w:val="center"/>
                    <w:rPr>
                      <w:rFonts w:hint="default"/>
                      <w:color w:val="000000"/>
                      <w:szCs w:val="21"/>
                      <w:lang w:val="en-US" w:eastAsia="zh-CN"/>
                    </w:rPr>
                  </w:pPr>
                  <w:r>
                    <w:rPr>
                      <w:rFonts w:hint="eastAsia"/>
                      <w:color w:val="000000"/>
                      <w:szCs w:val="21"/>
                      <w:lang w:val="en-US" w:eastAsia="zh-CN"/>
                    </w:rPr>
                    <w:t>牛骨残渣</w:t>
                  </w:r>
                </w:p>
              </w:tc>
              <w:tc>
                <w:tcPr>
                  <w:tcW w:w="708" w:type="pct"/>
                  <w:tcBorders>
                    <w:tl2br w:val="nil"/>
                    <w:tr2bl w:val="nil"/>
                  </w:tcBorders>
                  <w:shd w:val="clear" w:color="auto" w:fill="auto"/>
                  <w:noWrap w:val="0"/>
                  <w:vAlign w:val="center"/>
                </w:tcPr>
                <w:p w14:paraId="07AC8A8B">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bCs/>
                      <w:color w:val="000000"/>
                      <w:szCs w:val="21"/>
                      <w:lang w:val="zh-CN"/>
                    </w:rPr>
                    <w:t>一般固废</w:t>
                  </w:r>
                </w:p>
              </w:tc>
              <w:tc>
                <w:tcPr>
                  <w:tcW w:w="664" w:type="pct"/>
                  <w:tcBorders>
                    <w:tl2br w:val="nil"/>
                    <w:tr2bl w:val="nil"/>
                  </w:tcBorders>
                  <w:noWrap w:val="0"/>
                  <w:vAlign w:val="center"/>
                </w:tcPr>
                <w:p w14:paraId="5E69AB9A">
                  <w:pPr>
                    <w:adjustRightInd w:val="0"/>
                    <w:snapToGrid w:val="0"/>
                    <w:spacing w:beforeLines="10"/>
                    <w:jc w:val="center"/>
                    <w:rPr>
                      <w:rFonts w:hint="eastAsia"/>
                      <w:color w:val="000000"/>
                      <w:szCs w:val="21"/>
                      <w:highlight w:val="none"/>
                      <w:lang w:val="en-US" w:eastAsia="zh-CN"/>
                    </w:rPr>
                  </w:pPr>
                  <w:r>
                    <w:rPr>
                      <w:rFonts w:hint="eastAsia"/>
                      <w:color w:val="000000"/>
                      <w:kern w:val="0"/>
                      <w:sz w:val="21"/>
                      <w:szCs w:val="21"/>
                      <w:highlight w:val="none"/>
                      <w:u w:val="none"/>
                      <w:lang w:val="en-US" w:eastAsia="zh-CN"/>
                    </w:rPr>
                    <w:t>0.0416</w:t>
                  </w:r>
                </w:p>
              </w:tc>
              <w:tc>
                <w:tcPr>
                  <w:tcW w:w="1355" w:type="pct"/>
                  <w:tcBorders>
                    <w:tl2br w:val="nil"/>
                    <w:tr2bl w:val="nil"/>
                  </w:tcBorders>
                  <w:noWrap w:val="0"/>
                  <w:vAlign w:val="center"/>
                </w:tcPr>
                <w:p w14:paraId="2003F222">
                  <w:pPr>
                    <w:adjustRightInd w:val="0"/>
                    <w:snapToGrid w:val="0"/>
                    <w:spacing w:beforeLines="10"/>
                    <w:jc w:val="center"/>
                    <w:rPr>
                      <w:color w:val="000000"/>
                      <w:kern w:val="0"/>
                      <w:szCs w:val="21"/>
                      <w:lang w:val="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r>
                    <w:rPr>
                      <w:rFonts w:hint="eastAsia"/>
                      <w:color w:val="000000"/>
                      <w:kern w:val="0"/>
                      <w:sz w:val="21"/>
                      <w:szCs w:val="21"/>
                      <w:u w:val="none"/>
                      <w:lang w:val="en-US" w:eastAsia="zh-CN"/>
                    </w:rPr>
                    <w:t>或外售至周边养殖户</w:t>
                  </w:r>
                </w:p>
              </w:tc>
            </w:tr>
            <w:tr w14:paraId="0A5DE8FF">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09" w:hRule="atLeast"/>
                <w:jc w:val="center"/>
              </w:trPr>
              <w:tc>
                <w:tcPr>
                  <w:tcW w:w="419" w:type="pct"/>
                  <w:tcBorders>
                    <w:tl2br w:val="nil"/>
                    <w:tr2bl w:val="nil"/>
                  </w:tcBorders>
                  <w:shd w:val="clear" w:color="auto" w:fill="auto"/>
                  <w:noWrap w:val="0"/>
                  <w:vAlign w:val="center"/>
                </w:tcPr>
                <w:p w14:paraId="1CBFDB4A">
                  <w:pPr>
                    <w:adjustRightInd w:val="0"/>
                    <w:snapToGrid w:val="0"/>
                    <w:spacing w:beforeLines="10"/>
                    <w:jc w:val="center"/>
                    <w:rPr>
                      <w:rFonts w:hint="eastAsia" w:ascii="Times New Roman" w:hAnsi="Times New Roman" w:eastAsia="宋体" w:cs="Times New Roman"/>
                      <w:bCs/>
                      <w:color w:val="000000"/>
                      <w:kern w:val="2"/>
                      <w:sz w:val="21"/>
                      <w:szCs w:val="21"/>
                      <w:lang w:val="zh-CN" w:eastAsia="zh-CN" w:bidi="ar-SA"/>
                    </w:rPr>
                  </w:pPr>
                  <w:r>
                    <w:rPr>
                      <w:rFonts w:hint="eastAsia"/>
                      <w:bCs/>
                      <w:color w:val="000000"/>
                      <w:szCs w:val="21"/>
                      <w:lang w:val="zh-CN"/>
                    </w:rPr>
                    <w:t>2</w:t>
                  </w:r>
                </w:p>
              </w:tc>
              <w:tc>
                <w:tcPr>
                  <w:tcW w:w="1020" w:type="pct"/>
                  <w:tcBorders>
                    <w:tl2br w:val="nil"/>
                    <w:tr2bl w:val="nil"/>
                  </w:tcBorders>
                  <w:noWrap w:val="0"/>
                  <w:vAlign w:val="center"/>
                </w:tcPr>
                <w:p w14:paraId="002B25C1">
                  <w:pPr>
                    <w:adjustRightInd w:val="0"/>
                    <w:snapToGrid w:val="0"/>
                    <w:spacing w:beforeLines="10"/>
                    <w:jc w:val="center"/>
                    <w:rPr>
                      <w:rFonts w:hint="default"/>
                      <w:color w:val="000000"/>
                      <w:szCs w:val="21"/>
                      <w:lang w:val="en-US" w:eastAsia="zh-CN"/>
                    </w:rPr>
                  </w:pPr>
                  <w:r>
                    <w:rPr>
                      <w:rFonts w:hint="eastAsia"/>
                      <w:color w:val="000000"/>
                      <w:szCs w:val="21"/>
                      <w:lang w:val="en-US" w:eastAsia="zh-CN"/>
                    </w:rPr>
                    <w:t>辣椒去把工序</w:t>
                  </w:r>
                </w:p>
              </w:tc>
              <w:tc>
                <w:tcPr>
                  <w:tcW w:w="832" w:type="pct"/>
                  <w:tcBorders>
                    <w:tl2br w:val="nil"/>
                    <w:tr2bl w:val="nil"/>
                  </w:tcBorders>
                  <w:shd w:val="clear" w:color="auto" w:fill="auto"/>
                  <w:noWrap w:val="0"/>
                  <w:vAlign w:val="center"/>
                </w:tcPr>
                <w:p w14:paraId="02A15F19">
                  <w:pPr>
                    <w:adjustRightInd w:val="0"/>
                    <w:snapToGrid w:val="0"/>
                    <w:spacing w:beforeLines="10"/>
                    <w:jc w:val="center"/>
                    <w:rPr>
                      <w:rFonts w:hint="eastAsia"/>
                      <w:color w:val="000000"/>
                      <w:szCs w:val="21"/>
                      <w:lang w:val="en-US" w:eastAsia="zh-CN"/>
                    </w:rPr>
                  </w:pPr>
                  <w:r>
                    <w:rPr>
                      <w:rFonts w:hint="eastAsia"/>
                      <w:color w:val="000000"/>
                      <w:szCs w:val="21"/>
                      <w:lang w:val="en-US" w:eastAsia="zh-CN"/>
                    </w:rPr>
                    <w:t>辣椒把</w:t>
                  </w:r>
                </w:p>
                <w:p w14:paraId="1DEBD9A7">
                  <w:pPr>
                    <w:adjustRightInd w:val="0"/>
                    <w:snapToGrid w:val="0"/>
                    <w:spacing w:beforeLines="10"/>
                    <w:jc w:val="center"/>
                    <w:rPr>
                      <w:rFonts w:hint="default"/>
                      <w:color w:val="000000"/>
                      <w:szCs w:val="21"/>
                      <w:lang w:val="en-US" w:eastAsia="zh-CN"/>
                    </w:rPr>
                  </w:pPr>
                  <w:r>
                    <w:rPr>
                      <w:rFonts w:hint="eastAsia"/>
                      <w:color w:val="000000"/>
                      <w:szCs w:val="21"/>
                      <w:lang w:val="en-US" w:eastAsia="zh-CN"/>
                    </w:rPr>
                    <w:t>和辣椒叶</w:t>
                  </w:r>
                </w:p>
              </w:tc>
              <w:tc>
                <w:tcPr>
                  <w:tcW w:w="708" w:type="pct"/>
                  <w:tcBorders>
                    <w:tl2br w:val="nil"/>
                    <w:tr2bl w:val="nil"/>
                  </w:tcBorders>
                  <w:shd w:val="clear" w:color="auto" w:fill="auto"/>
                  <w:noWrap w:val="0"/>
                  <w:vAlign w:val="center"/>
                </w:tcPr>
                <w:p w14:paraId="57460202">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bCs/>
                      <w:color w:val="000000"/>
                      <w:szCs w:val="21"/>
                      <w:lang w:val="zh-CN"/>
                    </w:rPr>
                    <w:t>一般固废</w:t>
                  </w:r>
                </w:p>
              </w:tc>
              <w:tc>
                <w:tcPr>
                  <w:tcW w:w="664" w:type="pct"/>
                  <w:tcBorders>
                    <w:tl2br w:val="nil"/>
                    <w:tr2bl w:val="nil"/>
                  </w:tcBorders>
                  <w:noWrap w:val="0"/>
                  <w:vAlign w:val="center"/>
                </w:tcPr>
                <w:p w14:paraId="7CD1D715">
                  <w:pPr>
                    <w:adjustRightInd w:val="0"/>
                    <w:snapToGrid w:val="0"/>
                    <w:spacing w:beforeLines="10"/>
                    <w:jc w:val="center"/>
                    <w:rPr>
                      <w:rFonts w:hint="eastAsia"/>
                      <w:color w:val="000000"/>
                      <w:szCs w:val="21"/>
                      <w:highlight w:val="none"/>
                      <w:lang w:val="en-US" w:eastAsia="zh-CN"/>
                    </w:rPr>
                  </w:pPr>
                  <w:r>
                    <w:rPr>
                      <w:rFonts w:hint="eastAsia"/>
                      <w:color w:val="000000"/>
                      <w:kern w:val="0"/>
                      <w:sz w:val="21"/>
                      <w:szCs w:val="21"/>
                      <w:highlight w:val="none"/>
                      <w:u w:val="none"/>
                      <w:lang w:val="en-US" w:eastAsia="zh-CN"/>
                    </w:rPr>
                    <w:t>0.1</w:t>
                  </w:r>
                </w:p>
              </w:tc>
              <w:tc>
                <w:tcPr>
                  <w:tcW w:w="1355" w:type="pct"/>
                  <w:tcBorders>
                    <w:tl2br w:val="nil"/>
                    <w:tr2bl w:val="nil"/>
                  </w:tcBorders>
                  <w:noWrap w:val="0"/>
                  <w:vAlign w:val="center"/>
                </w:tcPr>
                <w:p w14:paraId="390DF49A">
                  <w:pPr>
                    <w:adjustRightInd w:val="0"/>
                    <w:snapToGrid w:val="0"/>
                    <w:spacing w:beforeLines="10"/>
                    <w:jc w:val="center"/>
                    <w:rPr>
                      <w:color w:val="000000"/>
                      <w:kern w:val="0"/>
                      <w:szCs w:val="21"/>
                      <w:lang w:val="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r>
            <w:tr w14:paraId="7A3BFFAC">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09" w:hRule="atLeast"/>
                <w:jc w:val="center"/>
              </w:trPr>
              <w:tc>
                <w:tcPr>
                  <w:tcW w:w="419" w:type="pct"/>
                  <w:tcBorders>
                    <w:tl2br w:val="nil"/>
                    <w:tr2bl w:val="nil"/>
                  </w:tcBorders>
                  <w:shd w:val="clear" w:color="auto" w:fill="auto"/>
                  <w:noWrap w:val="0"/>
                  <w:vAlign w:val="center"/>
                </w:tcPr>
                <w:p w14:paraId="2F5A5206">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rFonts w:hint="eastAsia"/>
                      <w:bCs/>
                      <w:color w:val="000000"/>
                      <w:szCs w:val="21"/>
                      <w:lang w:val="zh-CN"/>
                    </w:rPr>
                    <w:t>3</w:t>
                  </w:r>
                </w:p>
              </w:tc>
              <w:tc>
                <w:tcPr>
                  <w:tcW w:w="1020" w:type="pct"/>
                  <w:tcBorders>
                    <w:tl2br w:val="nil"/>
                    <w:tr2bl w:val="nil"/>
                  </w:tcBorders>
                  <w:noWrap w:val="0"/>
                  <w:vAlign w:val="center"/>
                </w:tcPr>
                <w:p w14:paraId="2939EC87">
                  <w:pPr>
                    <w:adjustRightInd w:val="0"/>
                    <w:snapToGrid w:val="0"/>
                    <w:spacing w:beforeLines="10"/>
                    <w:jc w:val="center"/>
                    <w:rPr>
                      <w:rFonts w:hint="default" w:eastAsia="宋体"/>
                      <w:color w:val="000000"/>
                      <w:szCs w:val="21"/>
                      <w:lang w:val="en-US" w:eastAsia="zh-CN"/>
                    </w:rPr>
                  </w:pPr>
                  <w:r>
                    <w:rPr>
                      <w:rFonts w:hint="eastAsia"/>
                      <w:color w:val="000000"/>
                      <w:szCs w:val="21"/>
                      <w:lang w:val="en-US" w:eastAsia="zh-CN"/>
                    </w:rPr>
                    <w:t>挑选工序</w:t>
                  </w:r>
                </w:p>
              </w:tc>
              <w:tc>
                <w:tcPr>
                  <w:tcW w:w="832" w:type="pct"/>
                  <w:tcBorders>
                    <w:tl2br w:val="nil"/>
                    <w:tr2bl w:val="nil"/>
                  </w:tcBorders>
                  <w:shd w:val="clear" w:color="auto" w:fill="auto"/>
                  <w:noWrap w:val="0"/>
                  <w:vAlign w:val="center"/>
                </w:tcPr>
                <w:p w14:paraId="4A6F353F">
                  <w:pPr>
                    <w:adjustRightInd w:val="0"/>
                    <w:snapToGrid w:val="0"/>
                    <w:spacing w:beforeLines="10"/>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废残渣</w:t>
                  </w:r>
                </w:p>
              </w:tc>
              <w:tc>
                <w:tcPr>
                  <w:tcW w:w="708" w:type="pct"/>
                  <w:tcBorders>
                    <w:tl2br w:val="nil"/>
                    <w:tr2bl w:val="nil"/>
                  </w:tcBorders>
                  <w:noWrap w:val="0"/>
                  <w:vAlign w:val="center"/>
                </w:tcPr>
                <w:p w14:paraId="47EA8026">
                  <w:pPr>
                    <w:adjustRightInd w:val="0"/>
                    <w:snapToGrid w:val="0"/>
                    <w:spacing w:beforeLines="10"/>
                    <w:jc w:val="center"/>
                    <w:rPr>
                      <w:bCs/>
                      <w:color w:val="000000"/>
                      <w:szCs w:val="21"/>
                    </w:rPr>
                  </w:pPr>
                  <w:r>
                    <w:rPr>
                      <w:bCs/>
                      <w:color w:val="000000"/>
                      <w:szCs w:val="21"/>
                      <w:lang w:val="zh-CN"/>
                    </w:rPr>
                    <w:t>一般固废</w:t>
                  </w:r>
                </w:p>
              </w:tc>
              <w:tc>
                <w:tcPr>
                  <w:tcW w:w="664" w:type="pct"/>
                  <w:tcBorders>
                    <w:tl2br w:val="nil"/>
                    <w:tr2bl w:val="nil"/>
                  </w:tcBorders>
                  <w:noWrap w:val="0"/>
                  <w:vAlign w:val="center"/>
                </w:tcPr>
                <w:p w14:paraId="4FA90AE8">
                  <w:pPr>
                    <w:adjustRightInd w:val="0"/>
                    <w:snapToGrid w:val="0"/>
                    <w:spacing w:beforeLines="10"/>
                    <w:jc w:val="center"/>
                    <w:rPr>
                      <w:rFonts w:hint="default" w:eastAsia="宋体"/>
                      <w:bCs/>
                      <w:color w:val="000000"/>
                      <w:szCs w:val="21"/>
                      <w:highlight w:val="none"/>
                      <w:lang w:val="en-US" w:eastAsia="zh-CN"/>
                    </w:rPr>
                  </w:pPr>
                  <w:r>
                    <w:rPr>
                      <w:rFonts w:hint="eastAsia"/>
                      <w:bCs/>
                      <w:color w:val="000000"/>
                      <w:szCs w:val="21"/>
                      <w:highlight w:val="none"/>
                      <w:lang w:val="en-US" w:eastAsia="zh-CN"/>
                    </w:rPr>
                    <w:t>0.08</w:t>
                  </w:r>
                </w:p>
              </w:tc>
              <w:tc>
                <w:tcPr>
                  <w:tcW w:w="1355" w:type="pct"/>
                  <w:tcBorders>
                    <w:tl2br w:val="nil"/>
                    <w:tr2bl w:val="nil"/>
                  </w:tcBorders>
                  <w:noWrap w:val="0"/>
                  <w:vAlign w:val="center"/>
                </w:tcPr>
                <w:p w14:paraId="208362D8">
                  <w:pPr>
                    <w:adjustRightInd w:val="0"/>
                    <w:snapToGrid w:val="0"/>
                    <w:spacing w:beforeLines="10"/>
                    <w:jc w:val="center"/>
                    <w:rPr>
                      <w:rFonts w:hint="default" w:eastAsia="宋体"/>
                      <w:bCs/>
                      <w:color w:val="000000"/>
                      <w:szCs w:val="21"/>
                      <w:lang w:val="en-US" w:eastAsia="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r>
                    <w:rPr>
                      <w:rFonts w:hint="eastAsia"/>
                      <w:color w:val="000000"/>
                      <w:kern w:val="0"/>
                      <w:sz w:val="21"/>
                      <w:szCs w:val="21"/>
                      <w:u w:val="none"/>
                      <w:lang w:val="en-US" w:eastAsia="zh-CN"/>
                    </w:rPr>
                    <w:t>或外售至周边养殖户</w:t>
                  </w:r>
                </w:p>
              </w:tc>
            </w:tr>
            <w:tr w14:paraId="6A0E2869">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11" w:hRule="atLeast"/>
                <w:jc w:val="center"/>
              </w:trPr>
              <w:tc>
                <w:tcPr>
                  <w:tcW w:w="419" w:type="pct"/>
                  <w:tcBorders>
                    <w:tl2br w:val="nil"/>
                    <w:tr2bl w:val="nil"/>
                  </w:tcBorders>
                  <w:shd w:val="clear" w:color="auto" w:fill="auto"/>
                  <w:noWrap w:val="0"/>
                  <w:vAlign w:val="center"/>
                </w:tcPr>
                <w:p w14:paraId="6C9D66C5">
                  <w:pPr>
                    <w:adjustRightInd w:val="0"/>
                    <w:snapToGrid w:val="0"/>
                    <w:spacing w:beforeLines="10"/>
                    <w:jc w:val="center"/>
                    <w:rPr>
                      <w:rFonts w:hint="eastAsia" w:ascii="Times New Roman" w:hAnsi="Times New Roman" w:eastAsia="宋体" w:cs="Times New Roman"/>
                      <w:bCs/>
                      <w:color w:val="000000"/>
                      <w:kern w:val="2"/>
                      <w:sz w:val="21"/>
                      <w:szCs w:val="21"/>
                      <w:lang w:val="zh-CN" w:eastAsia="zh-CN" w:bidi="ar-SA"/>
                    </w:rPr>
                  </w:pPr>
                  <w:r>
                    <w:rPr>
                      <w:rFonts w:hint="eastAsia"/>
                      <w:bCs/>
                      <w:color w:val="000000"/>
                      <w:szCs w:val="21"/>
                      <w:lang w:val="en-US" w:eastAsia="zh-CN"/>
                    </w:rPr>
                    <w:t>4</w:t>
                  </w:r>
                </w:p>
              </w:tc>
              <w:tc>
                <w:tcPr>
                  <w:tcW w:w="1020" w:type="pct"/>
                  <w:tcBorders>
                    <w:tl2br w:val="nil"/>
                    <w:tr2bl w:val="nil"/>
                  </w:tcBorders>
                  <w:noWrap w:val="0"/>
                  <w:vAlign w:val="center"/>
                </w:tcPr>
                <w:p w14:paraId="2B564A6A">
                  <w:pPr>
                    <w:adjustRightInd w:val="0"/>
                    <w:snapToGrid w:val="0"/>
                    <w:spacing w:beforeLines="10"/>
                    <w:jc w:val="center"/>
                    <w:rPr>
                      <w:rFonts w:hint="default" w:eastAsia="宋体"/>
                      <w:bCs/>
                      <w:color w:val="000000"/>
                      <w:szCs w:val="21"/>
                      <w:lang w:val="en-US" w:eastAsia="zh-CN"/>
                    </w:rPr>
                  </w:pPr>
                  <w:r>
                    <w:rPr>
                      <w:rFonts w:hint="eastAsia"/>
                      <w:bCs/>
                      <w:color w:val="000000"/>
                      <w:szCs w:val="21"/>
                      <w:lang w:val="en-US" w:eastAsia="zh-CN"/>
                    </w:rPr>
                    <w:t>检验工序</w:t>
                  </w:r>
                </w:p>
              </w:tc>
              <w:tc>
                <w:tcPr>
                  <w:tcW w:w="832" w:type="pct"/>
                  <w:tcBorders>
                    <w:tl2br w:val="nil"/>
                    <w:tr2bl w:val="nil"/>
                  </w:tcBorders>
                  <w:shd w:val="clear" w:color="auto" w:fill="auto"/>
                  <w:noWrap w:val="0"/>
                  <w:vAlign w:val="center"/>
                </w:tcPr>
                <w:p w14:paraId="4D1785F6">
                  <w:pPr>
                    <w:adjustRightInd w:val="0"/>
                    <w:snapToGrid w:val="0"/>
                    <w:spacing w:beforeLines="10"/>
                    <w:jc w:val="center"/>
                    <w:rPr>
                      <w:rFonts w:hint="default" w:ascii="Times New Roman" w:hAnsi="Times New Roman" w:eastAsia="宋体" w:cs="Times New Roman"/>
                      <w:bCs/>
                      <w:color w:val="000000"/>
                      <w:kern w:val="2"/>
                      <w:sz w:val="21"/>
                      <w:szCs w:val="21"/>
                      <w:lang w:val="zh-CN" w:eastAsia="zh-CN" w:bidi="ar-SA"/>
                    </w:rPr>
                  </w:pPr>
                  <w:r>
                    <w:rPr>
                      <w:rFonts w:hint="eastAsia"/>
                      <w:bCs/>
                      <w:color w:val="000000"/>
                      <w:szCs w:val="21"/>
                      <w:lang w:val="en-US" w:eastAsia="zh-CN"/>
                    </w:rPr>
                    <w:t>不合格品</w:t>
                  </w:r>
                </w:p>
              </w:tc>
              <w:tc>
                <w:tcPr>
                  <w:tcW w:w="708" w:type="pct"/>
                  <w:tcBorders>
                    <w:tl2br w:val="nil"/>
                    <w:tr2bl w:val="nil"/>
                  </w:tcBorders>
                  <w:noWrap w:val="0"/>
                  <w:vAlign w:val="center"/>
                </w:tcPr>
                <w:p w14:paraId="7FEB868E">
                  <w:pPr>
                    <w:adjustRightInd w:val="0"/>
                    <w:snapToGrid w:val="0"/>
                    <w:spacing w:beforeLines="10"/>
                    <w:jc w:val="center"/>
                    <w:rPr>
                      <w:bCs/>
                      <w:color w:val="000000"/>
                      <w:szCs w:val="21"/>
                      <w:lang w:val="zh-CN"/>
                    </w:rPr>
                  </w:pPr>
                  <w:r>
                    <w:rPr>
                      <w:bCs/>
                      <w:color w:val="000000"/>
                      <w:szCs w:val="21"/>
                      <w:lang w:val="zh-CN"/>
                    </w:rPr>
                    <w:t>一般固废</w:t>
                  </w:r>
                </w:p>
              </w:tc>
              <w:tc>
                <w:tcPr>
                  <w:tcW w:w="664" w:type="pct"/>
                  <w:tcBorders>
                    <w:tl2br w:val="nil"/>
                    <w:tr2bl w:val="nil"/>
                  </w:tcBorders>
                  <w:noWrap w:val="0"/>
                  <w:vAlign w:val="center"/>
                </w:tcPr>
                <w:p w14:paraId="5F9357C7">
                  <w:pPr>
                    <w:adjustRightInd w:val="0"/>
                    <w:snapToGrid w:val="0"/>
                    <w:spacing w:beforeLines="10"/>
                    <w:jc w:val="center"/>
                    <w:rPr>
                      <w:rFonts w:hint="default" w:eastAsia="宋体"/>
                      <w:color w:val="000000"/>
                      <w:szCs w:val="21"/>
                      <w:highlight w:val="none"/>
                      <w:lang w:val="en-US" w:eastAsia="zh-CN"/>
                    </w:rPr>
                  </w:pPr>
                  <w:r>
                    <w:rPr>
                      <w:rFonts w:hint="eastAsia"/>
                      <w:color w:val="000000"/>
                      <w:szCs w:val="21"/>
                      <w:highlight w:val="none"/>
                      <w:lang w:val="en-US" w:eastAsia="zh-CN"/>
                    </w:rPr>
                    <w:t>0.02</w:t>
                  </w:r>
                </w:p>
              </w:tc>
              <w:tc>
                <w:tcPr>
                  <w:tcW w:w="1355" w:type="pct"/>
                  <w:tcBorders>
                    <w:tl2br w:val="nil"/>
                    <w:tr2bl w:val="nil"/>
                  </w:tcBorders>
                  <w:noWrap w:val="0"/>
                  <w:vAlign w:val="center"/>
                </w:tcPr>
                <w:p w14:paraId="5CA35B8B">
                  <w:pPr>
                    <w:adjustRightInd w:val="0"/>
                    <w:snapToGrid w:val="0"/>
                    <w:spacing w:beforeLines="10"/>
                    <w:jc w:val="center"/>
                    <w:rPr>
                      <w:rFonts w:hint="default" w:eastAsia="宋体"/>
                      <w:bCs/>
                      <w:color w:val="000000"/>
                      <w:szCs w:val="21"/>
                      <w:lang w:val="en-US" w:eastAsia="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r>
            <w:tr w14:paraId="5CA5380D">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14" w:hRule="atLeast"/>
                <w:jc w:val="center"/>
              </w:trPr>
              <w:tc>
                <w:tcPr>
                  <w:tcW w:w="419" w:type="pct"/>
                  <w:tcBorders>
                    <w:tl2br w:val="nil"/>
                    <w:tr2bl w:val="nil"/>
                  </w:tcBorders>
                  <w:shd w:val="clear" w:color="auto" w:fill="auto"/>
                  <w:noWrap w:val="0"/>
                  <w:vAlign w:val="center"/>
                </w:tcPr>
                <w:p w14:paraId="426481EA">
                  <w:pPr>
                    <w:adjustRightInd w:val="0"/>
                    <w:snapToGrid w:val="0"/>
                    <w:spacing w:beforeLines="10"/>
                    <w:jc w:val="center"/>
                    <w:rPr>
                      <w:rFonts w:hint="default" w:ascii="Times New Roman" w:hAnsi="Times New Roman" w:eastAsia="宋体" w:cs="Times New Roman"/>
                      <w:bCs/>
                      <w:color w:val="000000"/>
                      <w:kern w:val="2"/>
                      <w:sz w:val="21"/>
                      <w:szCs w:val="21"/>
                      <w:lang w:val="zh-CN" w:eastAsia="zh-CN" w:bidi="ar-SA"/>
                    </w:rPr>
                  </w:pPr>
                  <w:r>
                    <w:rPr>
                      <w:rFonts w:hint="eastAsia"/>
                      <w:bCs/>
                      <w:color w:val="000000"/>
                      <w:szCs w:val="21"/>
                      <w:lang w:val="en-US" w:eastAsia="zh-CN"/>
                    </w:rPr>
                    <w:t>5</w:t>
                  </w:r>
                </w:p>
              </w:tc>
              <w:tc>
                <w:tcPr>
                  <w:tcW w:w="1020" w:type="pct"/>
                  <w:tcBorders>
                    <w:tl2br w:val="nil"/>
                    <w:tr2bl w:val="nil"/>
                  </w:tcBorders>
                  <w:noWrap w:val="0"/>
                  <w:vAlign w:val="center"/>
                </w:tcPr>
                <w:p w14:paraId="12095CB6">
                  <w:pPr>
                    <w:adjustRightInd w:val="0"/>
                    <w:snapToGrid w:val="0"/>
                    <w:spacing w:beforeLines="10"/>
                    <w:jc w:val="center"/>
                    <w:rPr>
                      <w:rFonts w:hint="default" w:eastAsia="宋体"/>
                      <w:bCs/>
                      <w:color w:val="000000"/>
                      <w:szCs w:val="21"/>
                      <w:lang w:val="en-US" w:eastAsia="zh-CN"/>
                    </w:rPr>
                  </w:pPr>
                  <w:r>
                    <w:rPr>
                      <w:rFonts w:hint="eastAsia"/>
                      <w:bCs/>
                      <w:color w:val="000000"/>
                      <w:szCs w:val="21"/>
                      <w:lang w:val="en-US" w:eastAsia="zh-CN"/>
                    </w:rPr>
                    <w:t>废水沉淀</w:t>
                  </w:r>
                </w:p>
              </w:tc>
              <w:tc>
                <w:tcPr>
                  <w:tcW w:w="832" w:type="pct"/>
                  <w:tcBorders>
                    <w:tl2br w:val="nil"/>
                    <w:tr2bl w:val="nil"/>
                  </w:tcBorders>
                  <w:shd w:val="clear" w:color="auto" w:fill="auto"/>
                  <w:noWrap w:val="0"/>
                  <w:vAlign w:val="center"/>
                </w:tcPr>
                <w:p w14:paraId="2D79E29E">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沉淀污泥</w:t>
                  </w:r>
                </w:p>
              </w:tc>
              <w:tc>
                <w:tcPr>
                  <w:tcW w:w="708" w:type="pct"/>
                  <w:tcBorders>
                    <w:tl2br w:val="nil"/>
                    <w:tr2bl w:val="nil"/>
                  </w:tcBorders>
                  <w:shd w:val="clear" w:color="auto" w:fill="auto"/>
                  <w:noWrap w:val="0"/>
                  <w:vAlign w:val="center"/>
                </w:tcPr>
                <w:p w14:paraId="23BA02D9">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bCs/>
                      <w:color w:val="000000"/>
                      <w:szCs w:val="21"/>
                      <w:lang w:val="zh-CN"/>
                    </w:rPr>
                    <w:t>一般固废</w:t>
                  </w:r>
                </w:p>
              </w:tc>
              <w:tc>
                <w:tcPr>
                  <w:tcW w:w="664" w:type="pct"/>
                  <w:tcBorders>
                    <w:tl2br w:val="nil"/>
                    <w:tr2bl w:val="nil"/>
                  </w:tcBorders>
                  <w:shd w:val="clear" w:color="auto" w:fill="auto"/>
                  <w:noWrap w:val="0"/>
                  <w:vAlign w:val="center"/>
                </w:tcPr>
                <w:p w14:paraId="79E5AD83">
                  <w:pPr>
                    <w:adjustRightInd w:val="0"/>
                    <w:snapToGrid w:val="0"/>
                    <w:spacing w:beforeLines="10"/>
                    <w:jc w:val="center"/>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2.13</w:t>
                  </w:r>
                </w:p>
              </w:tc>
              <w:tc>
                <w:tcPr>
                  <w:tcW w:w="1355" w:type="pct"/>
                  <w:tcBorders>
                    <w:tl2br w:val="nil"/>
                    <w:tr2bl w:val="nil"/>
                  </w:tcBorders>
                  <w:shd w:val="clear" w:color="auto" w:fill="auto"/>
                  <w:noWrap w:val="0"/>
                  <w:vAlign w:val="center"/>
                </w:tcPr>
                <w:p w14:paraId="6C4BE2B8">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r>
            <w:tr w14:paraId="29188720">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07" w:hRule="atLeast"/>
                <w:jc w:val="center"/>
              </w:trPr>
              <w:tc>
                <w:tcPr>
                  <w:tcW w:w="419" w:type="pct"/>
                  <w:tcBorders>
                    <w:tl2br w:val="nil"/>
                    <w:tr2bl w:val="nil"/>
                  </w:tcBorders>
                  <w:noWrap w:val="0"/>
                  <w:vAlign w:val="center"/>
                </w:tcPr>
                <w:p w14:paraId="73A05B48">
                  <w:pPr>
                    <w:adjustRightInd w:val="0"/>
                    <w:snapToGrid w:val="0"/>
                    <w:spacing w:beforeLines="10"/>
                    <w:jc w:val="center"/>
                    <w:rPr>
                      <w:rFonts w:hint="default" w:eastAsia="宋体"/>
                      <w:bCs/>
                      <w:color w:val="000000"/>
                      <w:szCs w:val="21"/>
                      <w:lang w:val="en-US" w:eastAsia="zh-CN"/>
                    </w:rPr>
                  </w:pPr>
                  <w:r>
                    <w:rPr>
                      <w:rFonts w:hint="eastAsia"/>
                      <w:bCs/>
                      <w:color w:val="000000"/>
                      <w:szCs w:val="21"/>
                      <w:lang w:val="en-US" w:eastAsia="zh-CN"/>
                    </w:rPr>
                    <w:t>6</w:t>
                  </w:r>
                </w:p>
              </w:tc>
              <w:tc>
                <w:tcPr>
                  <w:tcW w:w="1020" w:type="pct"/>
                  <w:tcBorders>
                    <w:tl2br w:val="nil"/>
                    <w:tr2bl w:val="nil"/>
                  </w:tcBorders>
                  <w:noWrap w:val="0"/>
                  <w:vAlign w:val="center"/>
                </w:tcPr>
                <w:p w14:paraId="28B58434">
                  <w:pPr>
                    <w:adjustRightInd w:val="0"/>
                    <w:snapToGrid w:val="0"/>
                    <w:spacing w:beforeLines="10"/>
                    <w:jc w:val="center"/>
                    <w:rPr>
                      <w:rFonts w:hint="default" w:eastAsia="宋体"/>
                      <w:bCs/>
                      <w:color w:val="000000"/>
                      <w:szCs w:val="21"/>
                      <w:lang w:val="en-US" w:eastAsia="zh-CN"/>
                    </w:rPr>
                  </w:pPr>
                  <w:r>
                    <w:rPr>
                      <w:rFonts w:hint="eastAsia"/>
                      <w:bCs/>
                      <w:color w:val="000000"/>
                      <w:szCs w:val="21"/>
                      <w:lang w:val="en-US" w:eastAsia="zh-CN"/>
                    </w:rPr>
                    <w:t>打包拆包工序</w:t>
                  </w:r>
                </w:p>
              </w:tc>
              <w:tc>
                <w:tcPr>
                  <w:tcW w:w="832" w:type="pct"/>
                  <w:tcBorders>
                    <w:tl2br w:val="nil"/>
                    <w:tr2bl w:val="nil"/>
                  </w:tcBorders>
                  <w:shd w:val="clear" w:color="auto" w:fill="auto"/>
                  <w:noWrap w:val="0"/>
                  <w:vAlign w:val="center"/>
                </w:tcPr>
                <w:p w14:paraId="2210B65D">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废包装材料</w:t>
                  </w:r>
                </w:p>
              </w:tc>
              <w:tc>
                <w:tcPr>
                  <w:tcW w:w="708" w:type="pct"/>
                  <w:tcBorders>
                    <w:tl2br w:val="nil"/>
                    <w:tr2bl w:val="nil"/>
                  </w:tcBorders>
                  <w:noWrap w:val="0"/>
                  <w:vAlign w:val="center"/>
                </w:tcPr>
                <w:p w14:paraId="74F090A6">
                  <w:pPr>
                    <w:adjustRightInd w:val="0"/>
                    <w:snapToGrid w:val="0"/>
                    <w:spacing w:beforeLines="10"/>
                    <w:jc w:val="center"/>
                    <w:rPr>
                      <w:bCs/>
                      <w:color w:val="000000"/>
                      <w:szCs w:val="21"/>
                      <w:lang w:val="zh-CN"/>
                    </w:rPr>
                  </w:pPr>
                  <w:r>
                    <w:rPr>
                      <w:bCs/>
                      <w:color w:val="000000"/>
                      <w:szCs w:val="21"/>
                      <w:lang w:val="zh-CN"/>
                    </w:rPr>
                    <w:t>一般固废</w:t>
                  </w:r>
                </w:p>
              </w:tc>
              <w:tc>
                <w:tcPr>
                  <w:tcW w:w="664" w:type="pct"/>
                  <w:tcBorders>
                    <w:tl2br w:val="nil"/>
                    <w:tr2bl w:val="nil"/>
                  </w:tcBorders>
                  <w:noWrap w:val="0"/>
                  <w:vAlign w:val="center"/>
                </w:tcPr>
                <w:p w14:paraId="272EC5BB">
                  <w:pPr>
                    <w:adjustRightInd w:val="0"/>
                    <w:snapToGrid w:val="0"/>
                    <w:spacing w:beforeLines="10"/>
                    <w:jc w:val="center"/>
                    <w:rPr>
                      <w:rFonts w:hint="default"/>
                      <w:color w:val="000000"/>
                      <w:kern w:val="0"/>
                      <w:szCs w:val="21"/>
                      <w:highlight w:val="none"/>
                      <w:lang w:val="en-US" w:eastAsia="zh-CN"/>
                    </w:rPr>
                  </w:pPr>
                  <w:r>
                    <w:rPr>
                      <w:rFonts w:hint="eastAsia"/>
                      <w:color w:val="000000"/>
                      <w:kern w:val="0"/>
                      <w:szCs w:val="21"/>
                      <w:highlight w:val="none"/>
                      <w:lang w:val="en-US" w:eastAsia="zh-CN"/>
                    </w:rPr>
                    <w:t>0.007</w:t>
                  </w:r>
                </w:p>
              </w:tc>
              <w:tc>
                <w:tcPr>
                  <w:tcW w:w="1355" w:type="pct"/>
                  <w:tcBorders>
                    <w:tl2br w:val="nil"/>
                    <w:tr2bl w:val="nil"/>
                  </w:tcBorders>
                  <w:noWrap w:val="0"/>
                  <w:vAlign w:val="center"/>
                </w:tcPr>
                <w:p w14:paraId="15E3ABFE">
                  <w:pPr>
                    <w:adjustRightInd w:val="0"/>
                    <w:snapToGrid w:val="0"/>
                    <w:spacing w:beforeLines="10"/>
                    <w:jc w:val="center"/>
                    <w:rPr>
                      <w:color w:val="000000"/>
                      <w:kern w:val="0"/>
                      <w:szCs w:val="21"/>
                      <w:lang w:val="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r>
            <w:tr w14:paraId="16C9B946">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09" w:hRule="atLeast"/>
                <w:jc w:val="center"/>
              </w:trPr>
              <w:tc>
                <w:tcPr>
                  <w:tcW w:w="419" w:type="pct"/>
                  <w:tcBorders>
                    <w:tl2br w:val="nil"/>
                    <w:tr2bl w:val="nil"/>
                  </w:tcBorders>
                  <w:noWrap w:val="0"/>
                  <w:vAlign w:val="center"/>
                </w:tcPr>
                <w:p w14:paraId="4677D3F7">
                  <w:pPr>
                    <w:adjustRightInd w:val="0"/>
                    <w:snapToGrid w:val="0"/>
                    <w:spacing w:beforeLines="10"/>
                    <w:jc w:val="center"/>
                    <w:rPr>
                      <w:rFonts w:hint="default"/>
                      <w:bCs/>
                      <w:color w:val="000000"/>
                      <w:szCs w:val="21"/>
                      <w:lang w:val="en-US" w:eastAsia="zh-CN"/>
                    </w:rPr>
                  </w:pPr>
                  <w:r>
                    <w:rPr>
                      <w:rFonts w:hint="eastAsia"/>
                      <w:bCs/>
                      <w:color w:val="000000"/>
                      <w:szCs w:val="21"/>
                      <w:lang w:val="en-US" w:eastAsia="zh-CN"/>
                    </w:rPr>
                    <w:t>7</w:t>
                  </w:r>
                </w:p>
              </w:tc>
              <w:tc>
                <w:tcPr>
                  <w:tcW w:w="1020" w:type="pct"/>
                  <w:tcBorders>
                    <w:tl2br w:val="nil"/>
                    <w:tr2bl w:val="nil"/>
                  </w:tcBorders>
                  <w:noWrap w:val="0"/>
                  <w:vAlign w:val="center"/>
                </w:tcPr>
                <w:p w14:paraId="756CDDA1">
                  <w:pPr>
                    <w:adjustRightInd w:val="0"/>
                    <w:snapToGrid w:val="0"/>
                    <w:spacing w:beforeLines="10"/>
                    <w:jc w:val="center"/>
                    <w:rPr>
                      <w:rFonts w:hint="default"/>
                      <w:bCs/>
                      <w:color w:val="000000"/>
                      <w:szCs w:val="21"/>
                      <w:lang w:val="en-US" w:eastAsia="zh-CN"/>
                    </w:rPr>
                  </w:pPr>
                  <w:r>
                    <w:rPr>
                      <w:rFonts w:hint="eastAsia"/>
                      <w:bCs/>
                      <w:color w:val="000000"/>
                      <w:szCs w:val="21"/>
                      <w:lang w:val="en-US" w:eastAsia="zh-CN"/>
                    </w:rPr>
                    <w:t>员工生活</w:t>
                  </w:r>
                </w:p>
              </w:tc>
              <w:tc>
                <w:tcPr>
                  <w:tcW w:w="832" w:type="pct"/>
                  <w:tcBorders>
                    <w:tl2br w:val="nil"/>
                    <w:tr2bl w:val="nil"/>
                  </w:tcBorders>
                  <w:shd w:val="clear" w:color="auto" w:fill="auto"/>
                  <w:noWrap w:val="0"/>
                  <w:vAlign w:val="center"/>
                </w:tcPr>
                <w:p w14:paraId="6BEA49BD">
                  <w:pPr>
                    <w:adjustRightInd w:val="0"/>
                    <w:snapToGrid w:val="0"/>
                    <w:spacing w:beforeLines="10"/>
                    <w:jc w:val="center"/>
                    <w:rPr>
                      <w:rFonts w:hint="eastAsia" w:ascii="Times New Roman" w:hAnsi="Times New Roman" w:eastAsia="宋体" w:cs="Times New Roman"/>
                      <w:bCs/>
                      <w:color w:val="000000"/>
                      <w:kern w:val="2"/>
                      <w:sz w:val="21"/>
                      <w:szCs w:val="21"/>
                      <w:lang w:val="en-US" w:eastAsia="zh-CN" w:bidi="ar-SA"/>
                    </w:rPr>
                  </w:pPr>
                  <w:r>
                    <w:rPr>
                      <w:color w:val="000000"/>
                      <w:kern w:val="0"/>
                      <w:szCs w:val="21"/>
                      <w:lang w:val="zh-CN"/>
                    </w:rPr>
                    <w:t>生活垃圾</w:t>
                  </w:r>
                </w:p>
              </w:tc>
              <w:tc>
                <w:tcPr>
                  <w:tcW w:w="708" w:type="pct"/>
                  <w:tcBorders>
                    <w:tl2br w:val="nil"/>
                    <w:tr2bl w:val="nil"/>
                  </w:tcBorders>
                  <w:shd w:val="clear" w:color="auto" w:fill="auto"/>
                  <w:noWrap w:val="0"/>
                  <w:vAlign w:val="center"/>
                </w:tcPr>
                <w:p w14:paraId="5B828E7E">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bCs/>
                      <w:color w:val="000000"/>
                      <w:szCs w:val="21"/>
                      <w:lang w:val="zh-CN"/>
                    </w:rPr>
                    <w:t>一般固废</w:t>
                  </w:r>
                </w:p>
              </w:tc>
              <w:tc>
                <w:tcPr>
                  <w:tcW w:w="664" w:type="pct"/>
                  <w:tcBorders>
                    <w:tl2br w:val="nil"/>
                    <w:tr2bl w:val="nil"/>
                  </w:tcBorders>
                  <w:shd w:val="clear" w:color="auto" w:fill="auto"/>
                  <w:noWrap w:val="0"/>
                  <w:vAlign w:val="center"/>
                </w:tcPr>
                <w:p w14:paraId="1914287A">
                  <w:pPr>
                    <w:adjustRightInd w:val="0"/>
                    <w:snapToGrid w:val="0"/>
                    <w:spacing w:beforeLines="10"/>
                    <w:jc w:val="center"/>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4.5</w:t>
                  </w:r>
                </w:p>
              </w:tc>
              <w:tc>
                <w:tcPr>
                  <w:tcW w:w="1355" w:type="pct"/>
                  <w:tcBorders>
                    <w:tl2br w:val="nil"/>
                    <w:tr2bl w:val="nil"/>
                  </w:tcBorders>
                  <w:shd w:val="clear" w:color="auto" w:fill="auto"/>
                  <w:noWrap w:val="0"/>
                  <w:vAlign w:val="center"/>
                </w:tcPr>
                <w:p w14:paraId="4E98B897">
                  <w:pPr>
                    <w:adjustRightInd w:val="0"/>
                    <w:snapToGrid w:val="0"/>
                    <w:spacing w:beforeLines="10"/>
                    <w:jc w:val="center"/>
                    <w:rPr>
                      <w:rFonts w:ascii="Times New Roman" w:hAnsi="Times New Roman" w:eastAsia="宋体" w:cs="Times New Roman"/>
                      <w:bCs/>
                      <w:color w:val="000000"/>
                      <w:kern w:val="2"/>
                      <w:sz w:val="21"/>
                      <w:szCs w:val="21"/>
                      <w:lang w:val="zh-CN" w:eastAsia="zh-CN" w:bidi="ar-SA"/>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r>
            <w:tr w14:paraId="5F2C587D">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rPr>
                <w:trHeight w:val="437" w:hRule="atLeast"/>
                <w:jc w:val="center"/>
              </w:trPr>
              <w:tc>
                <w:tcPr>
                  <w:tcW w:w="419" w:type="pct"/>
                  <w:tcBorders>
                    <w:tl2br w:val="nil"/>
                    <w:tr2bl w:val="nil"/>
                  </w:tcBorders>
                  <w:noWrap w:val="0"/>
                  <w:vAlign w:val="center"/>
                </w:tcPr>
                <w:p w14:paraId="4A0F0650">
                  <w:pPr>
                    <w:adjustRightInd w:val="0"/>
                    <w:snapToGrid w:val="0"/>
                    <w:spacing w:beforeLines="10"/>
                    <w:jc w:val="center"/>
                    <w:rPr>
                      <w:rFonts w:hint="default"/>
                      <w:bCs/>
                      <w:color w:val="000000"/>
                      <w:szCs w:val="21"/>
                      <w:lang w:val="en-US" w:eastAsia="zh-CN"/>
                    </w:rPr>
                  </w:pPr>
                  <w:r>
                    <w:rPr>
                      <w:rFonts w:hint="eastAsia"/>
                      <w:bCs/>
                      <w:color w:val="000000"/>
                      <w:szCs w:val="21"/>
                      <w:lang w:val="en-US" w:eastAsia="zh-CN"/>
                    </w:rPr>
                    <w:t>8</w:t>
                  </w:r>
                </w:p>
              </w:tc>
              <w:tc>
                <w:tcPr>
                  <w:tcW w:w="1020" w:type="pct"/>
                  <w:tcBorders>
                    <w:tl2br w:val="nil"/>
                    <w:tr2bl w:val="nil"/>
                  </w:tcBorders>
                  <w:noWrap w:val="0"/>
                  <w:vAlign w:val="center"/>
                </w:tcPr>
                <w:p w14:paraId="650160AB">
                  <w:pPr>
                    <w:adjustRightInd w:val="0"/>
                    <w:snapToGrid w:val="0"/>
                    <w:spacing w:beforeLines="10"/>
                    <w:jc w:val="center"/>
                    <w:rPr>
                      <w:rFonts w:hint="default"/>
                      <w:bCs/>
                      <w:color w:val="000000"/>
                      <w:szCs w:val="21"/>
                      <w:lang w:val="en-US" w:eastAsia="zh-CN"/>
                    </w:rPr>
                  </w:pPr>
                  <w:r>
                    <w:rPr>
                      <w:rFonts w:hint="eastAsia"/>
                      <w:bCs/>
                      <w:color w:val="000000"/>
                      <w:szCs w:val="21"/>
                      <w:lang w:val="en-US" w:eastAsia="zh-CN"/>
                    </w:rPr>
                    <w:t>废气吸附</w:t>
                  </w:r>
                </w:p>
              </w:tc>
              <w:tc>
                <w:tcPr>
                  <w:tcW w:w="832" w:type="pct"/>
                  <w:tcBorders>
                    <w:tl2br w:val="nil"/>
                    <w:tr2bl w:val="nil"/>
                  </w:tcBorders>
                  <w:shd w:val="clear" w:color="auto" w:fill="auto"/>
                  <w:noWrap w:val="0"/>
                  <w:vAlign w:val="center"/>
                </w:tcPr>
                <w:p w14:paraId="6B2CFF5B">
                  <w:pPr>
                    <w:adjustRightInd w:val="0"/>
                    <w:snapToGrid w:val="0"/>
                    <w:spacing w:beforeLines="10"/>
                    <w:jc w:val="center"/>
                    <w:rPr>
                      <w:color w:val="000000"/>
                      <w:kern w:val="0"/>
                      <w:szCs w:val="21"/>
                      <w:lang w:val="zh-CN"/>
                    </w:rPr>
                  </w:pPr>
                  <w:r>
                    <w:rPr>
                      <w:rFonts w:hint="eastAsia"/>
                      <w:bCs/>
                      <w:color w:val="000000"/>
                      <w:szCs w:val="21"/>
                      <w:lang w:val="en-US" w:eastAsia="zh-CN"/>
                    </w:rPr>
                    <w:t>废活性炭</w:t>
                  </w:r>
                </w:p>
              </w:tc>
              <w:tc>
                <w:tcPr>
                  <w:tcW w:w="708" w:type="pct"/>
                  <w:tcBorders>
                    <w:tl2br w:val="nil"/>
                    <w:tr2bl w:val="nil"/>
                  </w:tcBorders>
                  <w:shd w:val="clear" w:color="auto" w:fill="auto"/>
                  <w:noWrap w:val="0"/>
                  <w:vAlign w:val="center"/>
                </w:tcPr>
                <w:p w14:paraId="50086395">
                  <w:pPr>
                    <w:adjustRightInd w:val="0"/>
                    <w:snapToGrid w:val="0"/>
                    <w:spacing w:beforeLines="10"/>
                    <w:jc w:val="center"/>
                    <w:rPr>
                      <w:rFonts w:hint="eastAsia" w:eastAsia="宋体"/>
                      <w:bCs/>
                      <w:color w:val="000000"/>
                      <w:szCs w:val="21"/>
                      <w:lang w:val="en-US" w:eastAsia="zh-CN"/>
                    </w:rPr>
                  </w:pPr>
                  <w:r>
                    <w:rPr>
                      <w:rFonts w:hint="eastAsia"/>
                      <w:bCs/>
                      <w:color w:val="000000"/>
                      <w:szCs w:val="21"/>
                      <w:lang w:val="en-US" w:eastAsia="zh-CN"/>
                    </w:rPr>
                    <w:t>危险废物</w:t>
                  </w:r>
                </w:p>
              </w:tc>
              <w:tc>
                <w:tcPr>
                  <w:tcW w:w="664" w:type="pct"/>
                  <w:tcBorders>
                    <w:tl2br w:val="nil"/>
                    <w:tr2bl w:val="nil"/>
                  </w:tcBorders>
                  <w:shd w:val="clear" w:color="auto" w:fill="auto"/>
                  <w:noWrap w:val="0"/>
                  <w:vAlign w:val="center"/>
                </w:tcPr>
                <w:p w14:paraId="73443641">
                  <w:pPr>
                    <w:adjustRightInd w:val="0"/>
                    <w:snapToGrid w:val="0"/>
                    <w:spacing w:beforeLines="10"/>
                    <w:jc w:val="center"/>
                    <w:rPr>
                      <w:rFonts w:hint="default"/>
                      <w:color w:val="000000"/>
                      <w:szCs w:val="21"/>
                      <w:highlight w:val="none"/>
                      <w:lang w:val="en-US" w:eastAsia="zh-CN"/>
                    </w:rPr>
                  </w:pPr>
                  <w:r>
                    <w:rPr>
                      <w:rFonts w:hint="eastAsia"/>
                      <w:color w:val="000000"/>
                      <w:szCs w:val="21"/>
                      <w:highlight w:val="none"/>
                      <w:lang w:val="en-US" w:eastAsia="zh-CN"/>
                    </w:rPr>
                    <w:t>0.01</w:t>
                  </w:r>
                </w:p>
              </w:tc>
              <w:tc>
                <w:tcPr>
                  <w:tcW w:w="1355" w:type="pct"/>
                  <w:tcBorders>
                    <w:tl2br w:val="nil"/>
                    <w:tr2bl w:val="nil"/>
                  </w:tcBorders>
                  <w:shd w:val="clear" w:color="auto" w:fill="auto"/>
                  <w:noWrap w:val="0"/>
                  <w:vAlign w:val="center"/>
                </w:tcPr>
                <w:p w14:paraId="454EC0C1">
                  <w:pPr>
                    <w:adjustRightInd w:val="0"/>
                    <w:snapToGrid w:val="0"/>
                    <w:spacing w:beforeLines="10"/>
                    <w:jc w:val="center"/>
                    <w:rPr>
                      <w:color w:val="000000"/>
                      <w:kern w:val="0"/>
                      <w:szCs w:val="21"/>
                      <w:lang w:val="zh-CN"/>
                    </w:rPr>
                  </w:pPr>
                  <w:r>
                    <w:rPr>
                      <w:rFonts w:hint="eastAsia"/>
                      <w:b w:val="0"/>
                      <w:bCs w:val="0"/>
                      <w:color w:val="auto"/>
                      <w:kern w:val="2"/>
                      <w:sz w:val="21"/>
                      <w:szCs w:val="21"/>
                      <w:u w:val="none"/>
                      <w:lang w:eastAsia="zh-CN"/>
                    </w:rPr>
                    <w:t>委托</w:t>
                  </w:r>
                  <w:r>
                    <w:rPr>
                      <w:rFonts w:hint="eastAsia"/>
                      <w:b w:val="0"/>
                      <w:bCs w:val="0"/>
                      <w:color w:val="auto"/>
                      <w:kern w:val="2"/>
                      <w:sz w:val="21"/>
                      <w:szCs w:val="21"/>
                      <w:u w:val="none"/>
                      <w:lang w:val="en-US" w:eastAsia="zh-CN"/>
                    </w:rPr>
                    <w:t>有</w:t>
                  </w:r>
                  <w:r>
                    <w:rPr>
                      <w:rFonts w:hint="eastAsia"/>
                      <w:b w:val="0"/>
                      <w:bCs w:val="0"/>
                      <w:color w:val="auto"/>
                      <w:kern w:val="2"/>
                      <w:sz w:val="21"/>
                      <w:szCs w:val="21"/>
                      <w:u w:val="none"/>
                      <w:lang w:eastAsia="zh-CN"/>
                    </w:rPr>
                    <w:t>资质单位进行安全处置</w:t>
                  </w:r>
                </w:p>
              </w:tc>
            </w:tr>
          </w:tbl>
          <w:p w14:paraId="008B099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b w:val="0"/>
                <w:bCs w:val="0"/>
                <w:color w:val="000000"/>
                <w:kern w:val="0"/>
                <w:sz w:val="24"/>
              </w:rPr>
            </w:pPr>
            <w:r>
              <w:rPr>
                <w:rFonts w:hint="eastAsia"/>
                <w:b w:val="0"/>
                <w:bCs w:val="0"/>
                <w:color w:val="000000"/>
                <w:kern w:val="0"/>
                <w:sz w:val="24"/>
              </w:rPr>
              <w:t>4</w:t>
            </w:r>
            <w:r>
              <w:rPr>
                <w:b w:val="0"/>
                <w:bCs w:val="0"/>
                <w:color w:val="000000"/>
                <w:kern w:val="0"/>
                <w:sz w:val="24"/>
              </w:rPr>
              <w:t>.</w:t>
            </w:r>
            <w:r>
              <w:rPr>
                <w:rFonts w:hint="eastAsia"/>
                <w:b w:val="0"/>
                <w:bCs w:val="0"/>
                <w:color w:val="000000"/>
                <w:kern w:val="0"/>
                <w:sz w:val="24"/>
                <w:lang w:val="en-US" w:eastAsia="zh-CN"/>
              </w:rPr>
              <w:t>2</w:t>
            </w:r>
            <w:r>
              <w:rPr>
                <w:rFonts w:hint="default" w:ascii="Times New Roman" w:hAnsi="Times New Roman" w:cs="Times New Roman"/>
                <w:b w:val="0"/>
                <w:bCs w:val="0"/>
                <w:sz w:val="24"/>
                <w:szCs w:val="24"/>
                <w:u w:val="none"/>
              </w:rPr>
              <w:t>固体废物防治措施及运营期管理要求</w:t>
            </w:r>
          </w:p>
          <w:p w14:paraId="3E24E9D1">
            <w:pPr>
              <w:pStyle w:val="4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textAlignment w:val="auto"/>
              <w:rPr>
                <w:rFonts w:hint="default" w:ascii="Times New Roman" w:hAnsi="Times New Roman" w:cs="Times New Roman"/>
                <w:color w:val="000000"/>
                <w:kern w:val="2"/>
                <w:sz w:val="24"/>
                <w:szCs w:val="24"/>
                <w:u w:val="none"/>
              </w:rPr>
            </w:pPr>
            <w:r>
              <w:rPr>
                <w:rFonts w:hint="default" w:ascii="Times New Roman" w:hAnsi="Times New Roman" w:cs="Times New Roman"/>
                <w:color w:val="000000"/>
                <w:kern w:val="2"/>
                <w:sz w:val="24"/>
                <w:szCs w:val="24"/>
                <w:u w:val="none"/>
              </w:rPr>
              <w:t>本项目设置一座</w:t>
            </w:r>
            <w:r>
              <w:rPr>
                <w:rFonts w:hint="default" w:ascii="Times New Roman" w:hAnsi="Times New Roman" w:cs="Times New Roman"/>
                <w:color w:val="000000"/>
                <w:kern w:val="2"/>
                <w:sz w:val="24"/>
                <w:szCs w:val="24"/>
                <w:u w:val="none"/>
                <w:lang w:val="en-US" w:eastAsia="zh-CN"/>
              </w:rPr>
              <w:t>5</w:t>
            </w:r>
            <w:r>
              <w:rPr>
                <w:rFonts w:hint="default" w:ascii="Times New Roman" w:hAnsi="Times New Roman" w:cs="Times New Roman"/>
                <w:color w:val="000000"/>
                <w:kern w:val="2"/>
                <w:sz w:val="24"/>
                <w:szCs w:val="24"/>
                <w:u w:val="none"/>
              </w:rPr>
              <w:t>m</w:t>
            </w:r>
            <w:r>
              <w:rPr>
                <w:rFonts w:hint="default" w:ascii="Times New Roman" w:hAnsi="Times New Roman" w:cs="Times New Roman"/>
                <w:color w:val="000000"/>
                <w:kern w:val="2"/>
                <w:sz w:val="24"/>
                <w:szCs w:val="24"/>
                <w:u w:val="none"/>
                <w:vertAlign w:val="superscript"/>
              </w:rPr>
              <w:t>2</w:t>
            </w:r>
            <w:r>
              <w:rPr>
                <w:rFonts w:hint="default" w:ascii="Times New Roman" w:hAnsi="Times New Roman" w:cs="Times New Roman"/>
                <w:color w:val="000000"/>
                <w:kern w:val="2"/>
                <w:sz w:val="24"/>
                <w:szCs w:val="24"/>
                <w:u w:val="none"/>
              </w:rPr>
              <w:t>的</w:t>
            </w:r>
            <w:r>
              <w:rPr>
                <w:rFonts w:hint="default" w:ascii="Times New Roman" w:hAnsi="Times New Roman" w:cs="Times New Roman"/>
                <w:color w:val="000000"/>
                <w:kern w:val="2"/>
                <w:sz w:val="24"/>
                <w:szCs w:val="24"/>
                <w:u w:val="none"/>
                <w:lang w:val="en-US" w:eastAsia="zh-CN"/>
              </w:rPr>
              <w:t>一般固废暂存间</w:t>
            </w:r>
            <w:r>
              <w:rPr>
                <w:rFonts w:hint="default" w:ascii="Times New Roman" w:hAnsi="Times New Roman" w:cs="Times New Roman"/>
                <w:color w:val="000000"/>
                <w:kern w:val="2"/>
                <w:sz w:val="24"/>
                <w:szCs w:val="24"/>
                <w:u w:val="none"/>
              </w:rPr>
              <w:t>，根据《一般工业固体废物贮存和填埋污染控制标准》（GB 18599-2020），其贮存过程应满足相应防渗漏、防雨淋、防扬尘等环境保护要求。</w:t>
            </w:r>
          </w:p>
          <w:p w14:paraId="54101BF8">
            <w:pPr>
              <w:pStyle w:val="4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textAlignment w:val="auto"/>
              <w:rPr>
                <w:rFonts w:hint="default" w:ascii="Times New Roman" w:hAnsi="Times New Roman" w:eastAsia="宋体" w:cs="Times New Roman"/>
                <w:sz w:val="24"/>
                <w:szCs w:val="24"/>
                <w:highlight w:val="none"/>
                <w:u w:val="none"/>
              </w:rPr>
            </w:pPr>
            <w:r>
              <w:rPr>
                <w:rFonts w:hint="eastAsia" w:ascii="Times New Roman" w:hAnsi="Times New Roman" w:cs="Times New Roman"/>
                <w:sz w:val="24"/>
                <w:szCs w:val="24"/>
                <w:highlight w:val="none"/>
                <w:u w:val="none"/>
                <w:lang w:val="en-US" w:eastAsia="zh-CN"/>
              </w:rPr>
              <w:t>a</w:t>
            </w:r>
            <w:r>
              <w:rPr>
                <w:rFonts w:hint="default" w:ascii="Times New Roman" w:hAnsi="Times New Roman" w:eastAsia="宋体" w:cs="Times New Roman"/>
                <w:sz w:val="24"/>
                <w:szCs w:val="24"/>
                <w:highlight w:val="none"/>
                <w:u w:val="none"/>
                <w:lang w:val="en-US" w:eastAsia="zh-CN"/>
              </w:rPr>
              <w:t>：</w:t>
            </w:r>
            <w:r>
              <w:rPr>
                <w:rFonts w:hint="default" w:ascii="Times New Roman" w:hAnsi="Times New Roman" w:eastAsia="宋体" w:cs="Times New Roman"/>
                <w:sz w:val="24"/>
                <w:szCs w:val="24"/>
                <w:highlight w:val="none"/>
                <w:u w:val="none"/>
              </w:rPr>
              <w:t>贮存设施应根据</w:t>
            </w:r>
            <w:r>
              <w:rPr>
                <w:rFonts w:hint="eastAsia" w:ascii="Times New Roman" w:hAnsi="Times New Roman" w:cs="Times New Roman"/>
                <w:sz w:val="24"/>
                <w:szCs w:val="24"/>
                <w:highlight w:val="none"/>
                <w:u w:val="none"/>
                <w:lang w:val="en-US" w:eastAsia="zh-CN"/>
              </w:rPr>
              <w:t>一般固体废物</w:t>
            </w:r>
            <w:r>
              <w:rPr>
                <w:rFonts w:hint="default" w:ascii="Times New Roman" w:hAnsi="Times New Roman" w:eastAsia="宋体" w:cs="Times New Roman"/>
                <w:sz w:val="24"/>
                <w:szCs w:val="24"/>
                <w:highlight w:val="none"/>
                <w:u w:val="none"/>
              </w:rPr>
              <w:t>的类别、数量、形态、物理化学性质和污染防治等要求设置贮存分区，避免不相容的</w:t>
            </w:r>
            <w:r>
              <w:rPr>
                <w:rFonts w:hint="eastAsia" w:ascii="Times New Roman" w:hAnsi="Times New Roman" w:cs="Times New Roman"/>
                <w:sz w:val="24"/>
                <w:szCs w:val="24"/>
                <w:highlight w:val="none"/>
                <w:u w:val="none"/>
                <w:lang w:val="en-US" w:eastAsia="zh-CN"/>
              </w:rPr>
              <w:t>固体</w:t>
            </w:r>
            <w:r>
              <w:rPr>
                <w:rFonts w:hint="default" w:ascii="Times New Roman" w:hAnsi="Times New Roman" w:eastAsia="宋体" w:cs="Times New Roman"/>
                <w:sz w:val="24"/>
                <w:szCs w:val="24"/>
                <w:highlight w:val="none"/>
                <w:u w:val="none"/>
              </w:rPr>
              <w:t>废物接触、混合。</w:t>
            </w:r>
          </w:p>
          <w:p w14:paraId="1B62FBD1">
            <w:pPr>
              <w:pStyle w:val="4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textAlignment w:val="auto"/>
              <w:rPr>
                <w:rFonts w:hint="default" w:ascii="Times New Roman" w:hAnsi="Times New Roman" w:cs="Times New Roman"/>
                <w:color w:val="000000"/>
                <w:sz w:val="24"/>
                <w:szCs w:val="24"/>
                <w:highlight w:val="none"/>
                <w:u w:val="none"/>
              </w:rPr>
            </w:pPr>
            <w:r>
              <w:rPr>
                <w:rFonts w:hint="eastAsia" w:ascii="Times New Roman" w:hAnsi="Times New Roman" w:cs="Times New Roman"/>
                <w:sz w:val="24"/>
                <w:szCs w:val="24"/>
                <w:highlight w:val="none"/>
                <w:u w:val="none"/>
                <w:lang w:val="en-US" w:eastAsia="zh-CN"/>
              </w:rPr>
              <w:t>b</w:t>
            </w:r>
            <w:r>
              <w:rPr>
                <w:rFonts w:hint="default" w:ascii="Times New Roman" w:hAnsi="Times New Roman" w:eastAsia="宋体" w:cs="Times New Roman"/>
                <w:sz w:val="24"/>
                <w:szCs w:val="24"/>
                <w:highlight w:val="none"/>
                <w:u w:val="none"/>
                <w:lang w:val="en-US" w:eastAsia="zh-CN"/>
              </w:rPr>
              <w:t>：</w:t>
            </w:r>
            <w:r>
              <w:rPr>
                <w:rFonts w:hint="default" w:ascii="Times New Roman" w:hAnsi="Times New Roman" w:cs="Times New Roman"/>
                <w:color w:val="000000"/>
                <w:sz w:val="24"/>
                <w:szCs w:val="24"/>
                <w:highlight w:val="none"/>
                <w:u w:val="none"/>
              </w:rPr>
              <w:t>应定期检查</w:t>
            </w:r>
            <w:r>
              <w:rPr>
                <w:rFonts w:hint="eastAsia" w:ascii="Times New Roman" w:hAnsi="Times New Roman" w:cs="Times New Roman"/>
                <w:color w:val="000000"/>
                <w:sz w:val="24"/>
                <w:szCs w:val="24"/>
                <w:highlight w:val="none"/>
                <w:u w:val="none"/>
                <w:lang w:val="en-US" w:eastAsia="zh-CN"/>
              </w:rPr>
              <w:t>一般固体</w:t>
            </w:r>
            <w:r>
              <w:rPr>
                <w:rFonts w:hint="default" w:ascii="Times New Roman" w:hAnsi="Times New Roman" w:cs="Times New Roman"/>
                <w:color w:val="000000"/>
                <w:sz w:val="24"/>
                <w:szCs w:val="24"/>
                <w:highlight w:val="none"/>
                <w:u w:val="none"/>
              </w:rPr>
              <w:t>废物的贮存状况，及时清理贮存设施地面，更换破损泄漏的</w:t>
            </w:r>
            <w:r>
              <w:rPr>
                <w:rFonts w:hint="eastAsia" w:ascii="Times New Roman" w:hAnsi="Times New Roman" w:cs="Times New Roman"/>
                <w:color w:val="000000"/>
                <w:sz w:val="24"/>
                <w:szCs w:val="24"/>
                <w:highlight w:val="none"/>
                <w:u w:val="none"/>
                <w:lang w:val="en-US" w:eastAsia="zh-CN"/>
              </w:rPr>
              <w:t>一般固体</w:t>
            </w:r>
            <w:r>
              <w:rPr>
                <w:rFonts w:hint="default" w:ascii="Times New Roman" w:hAnsi="Times New Roman" w:cs="Times New Roman"/>
                <w:color w:val="000000"/>
                <w:sz w:val="24"/>
                <w:szCs w:val="24"/>
                <w:highlight w:val="none"/>
                <w:u w:val="none"/>
              </w:rPr>
              <w:t>废物贮存容器和包装物，保证堆存</w:t>
            </w:r>
            <w:r>
              <w:rPr>
                <w:rFonts w:hint="eastAsia" w:ascii="Times New Roman" w:hAnsi="Times New Roman" w:cs="Times New Roman"/>
                <w:color w:val="000000"/>
                <w:sz w:val="24"/>
                <w:szCs w:val="24"/>
                <w:highlight w:val="none"/>
                <w:u w:val="none"/>
                <w:lang w:val="en-US" w:eastAsia="zh-CN"/>
              </w:rPr>
              <w:t>一般固体</w:t>
            </w:r>
            <w:r>
              <w:rPr>
                <w:rFonts w:hint="default" w:ascii="Times New Roman" w:hAnsi="Times New Roman" w:cs="Times New Roman"/>
                <w:color w:val="000000"/>
                <w:sz w:val="24"/>
                <w:szCs w:val="24"/>
                <w:highlight w:val="none"/>
                <w:u w:val="none"/>
              </w:rPr>
              <w:t>废物的防雨、防风、防扬尘等设施功能完好。</w:t>
            </w:r>
          </w:p>
          <w:p w14:paraId="637F1D3A">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eastAsia" w:ascii="Times New Roman" w:hAnsi="Times New Roman" w:eastAsia="宋体" w:cs="Times New Roman"/>
                <w:color w:val="000000"/>
                <w:kern w:val="2"/>
                <w:szCs w:val="24"/>
                <w:highlight w:val="none"/>
                <w:lang w:val="en-US" w:eastAsia="zh-CN"/>
              </w:rPr>
              <w:t>评价对项目建设单位一般固废暂存台账</w:t>
            </w:r>
            <w:r>
              <w:rPr>
                <w:rFonts w:hint="eastAsia" w:ascii="Times New Roman" w:hAnsi="Times New Roman" w:eastAsia="宋体" w:cs="Times New Roman"/>
                <w:color w:val="000000"/>
                <w:kern w:val="2"/>
                <w:szCs w:val="24"/>
                <w:lang w:val="en-US" w:eastAsia="zh-CN"/>
              </w:rPr>
              <w:t>提出以下要求：</w:t>
            </w:r>
          </w:p>
          <w:p w14:paraId="7438A023">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a</w:t>
            </w:r>
            <w:r>
              <w:rPr>
                <w:rFonts w:hint="eastAsia" w:ascii="Times New Roman" w:hAnsi="Times New Roman" w:eastAsia="宋体" w:cs="Times New Roman"/>
                <w:color w:val="000000"/>
                <w:kern w:val="2"/>
                <w:szCs w:val="24"/>
                <w:lang w:val="en-US" w:eastAsia="zh-CN"/>
              </w:rPr>
              <w:t>、一般工业固体废物管理台账实施分级管理，记录固体废物的基础信息及流向信息，所有产废单位均应填写。结合环境影响评价、排污许可等材料，根据实际生产运营情况记录固体废物产生信息，当生产工艺发生重大变动等原因导致固体废物产生种类等发生变化的，应当及时另行填写；记录固体废物的产生、贮存、利用、处置数量和利用、处置方式等信息；按批次填写，每一批次固体废物的出厂以及转移信息均应当如实记录；</w:t>
            </w:r>
          </w:p>
          <w:p w14:paraId="48269DEE">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b</w:t>
            </w:r>
            <w:r>
              <w:rPr>
                <w:rFonts w:hint="eastAsia" w:ascii="Times New Roman" w:hAnsi="Times New Roman" w:eastAsia="宋体" w:cs="Times New Roman"/>
                <w:color w:val="000000"/>
                <w:kern w:val="2"/>
                <w:szCs w:val="24"/>
                <w:lang w:val="en-US" w:eastAsia="zh-CN"/>
              </w:rPr>
              <w:t>、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14:paraId="2B5BA925">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c</w:t>
            </w:r>
            <w:r>
              <w:rPr>
                <w:rFonts w:hint="eastAsia" w:ascii="Times New Roman" w:hAnsi="Times New Roman" w:eastAsia="宋体" w:cs="Times New Roman"/>
                <w:color w:val="000000"/>
                <w:kern w:val="2"/>
                <w:szCs w:val="24"/>
                <w:lang w:val="en-US" w:eastAsia="zh-CN"/>
              </w:rPr>
              <w:t>、产废单位填写台账记录表时，应当根据自身固体废物产生情况，选择对应的固体废物种类和代码，并根据固体废物种类确定固体废物的具体名称；</w:t>
            </w:r>
          </w:p>
          <w:p w14:paraId="08873FEF">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d</w:t>
            </w:r>
            <w:r>
              <w:rPr>
                <w:rFonts w:hint="eastAsia" w:ascii="Times New Roman" w:hAnsi="Times New Roman" w:eastAsia="宋体" w:cs="Times New Roman"/>
                <w:color w:val="000000"/>
                <w:kern w:val="2"/>
                <w:szCs w:val="24"/>
                <w:lang w:val="en-US" w:eastAsia="zh-CN"/>
              </w:rPr>
              <w:t xml:space="preserve">、鼓励产废单位采用国家建立的一般工业固体废物管理电子台账，简化数据填写、台账管理等工作。地方和企业自行开发的电子台账要实现与国家系统对接。建立电子台账的产废单位，可不再记录纸质台账； </w:t>
            </w:r>
          </w:p>
          <w:p w14:paraId="1F69090B">
            <w:pPr>
              <w:pStyle w:val="43"/>
              <w:keepNext w:val="0"/>
              <w:keepLines w:val="0"/>
              <w:pageBreakBefore w:val="0"/>
              <w:widowControl w:val="0"/>
              <w:kinsoku/>
              <w:wordWrap/>
              <w:overflowPunct/>
              <w:topLinePunct w:val="0"/>
              <w:bidi w:val="0"/>
              <w:snapToGrid w:val="0"/>
              <w:spacing w:line="500" w:lineRule="exact"/>
              <w:ind w:firstLine="480"/>
              <w:textAlignment w:val="auto"/>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e</w:t>
            </w:r>
            <w:r>
              <w:rPr>
                <w:rFonts w:hint="eastAsia" w:ascii="Times New Roman" w:hAnsi="Times New Roman" w:eastAsia="宋体" w:cs="Times New Roman"/>
                <w:color w:val="000000"/>
                <w:kern w:val="2"/>
                <w:szCs w:val="24"/>
                <w:lang w:val="en-US" w:eastAsia="zh-CN"/>
              </w:rPr>
              <w:t>、台账记录表各表单的负责人对记录信息的真实性、完整性和规范性负责；</w:t>
            </w:r>
          </w:p>
          <w:p w14:paraId="19D9DB1A">
            <w:pPr>
              <w:pStyle w:val="43"/>
              <w:keepNext w:val="0"/>
              <w:keepLines w:val="0"/>
              <w:pageBreakBefore w:val="0"/>
              <w:widowControl w:val="0"/>
              <w:kinsoku/>
              <w:overflowPunct/>
              <w:topLinePunct w:val="0"/>
              <w:bidi w:val="0"/>
              <w:spacing w:line="500" w:lineRule="exact"/>
              <w:ind w:firstLine="480"/>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f</w:t>
            </w:r>
            <w:r>
              <w:rPr>
                <w:rFonts w:hint="eastAsia" w:ascii="Times New Roman" w:hAnsi="Times New Roman" w:eastAsia="宋体" w:cs="Times New Roman"/>
                <w:color w:val="000000"/>
                <w:kern w:val="2"/>
                <w:szCs w:val="24"/>
                <w:lang w:val="en-US" w:eastAsia="zh-CN"/>
              </w:rPr>
              <w:t>、产废单位应当设立专人负责台账的管理与归档，一般工业固体废物管理台账保存期限不少于</w:t>
            </w:r>
            <w:r>
              <w:rPr>
                <w:rFonts w:hint="default" w:ascii="Times New Roman" w:hAnsi="Times New Roman" w:eastAsia="宋体" w:cs="Times New Roman"/>
                <w:color w:val="000000"/>
                <w:kern w:val="2"/>
                <w:szCs w:val="24"/>
                <w:lang w:val="en-US" w:eastAsia="zh-CN"/>
              </w:rPr>
              <w:t>5</w:t>
            </w:r>
            <w:r>
              <w:rPr>
                <w:rFonts w:hint="eastAsia" w:ascii="Times New Roman" w:hAnsi="Times New Roman" w:eastAsia="宋体" w:cs="Times New Roman"/>
                <w:color w:val="000000"/>
                <w:kern w:val="2"/>
                <w:szCs w:val="24"/>
                <w:lang w:val="en-US" w:eastAsia="zh-CN"/>
              </w:rPr>
              <w:t>年。</w:t>
            </w:r>
          </w:p>
          <w:p w14:paraId="2F3780B5">
            <w:pPr>
              <w:pStyle w:val="43"/>
              <w:keepNext w:val="0"/>
              <w:keepLines w:val="0"/>
              <w:pageBreakBefore w:val="0"/>
              <w:widowControl w:val="0"/>
              <w:kinsoku/>
              <w:overflowPunct/>
              <w:topLinePunct w:val="0"/>
              <w:bidi w:val="0"/>
              <w:spacing w:line="500" w:lineRule="exact"/>
              <w:ind w:firstLine="480"/>
              <w:rPr>
                <w:rFonts w:ascii="Times New Roman" w:hAnsi="Times New Roman" w:eastAsia="宋体" w:cs="Times New Roman"/>
                <w:color w:val="000000"/>
                <w:kern w:val="2"/>
                <w:szCs w:val="24"/>
              </w:rPr>
            </w:pPr>
            <w:r>
              <w:rPr>
                <w:rFonts w:hint="default" w:ascii="Times New Roman" w:hAnsi="Times New Roman" w:eastAsia="宋体" w:cs="Times New Roman"/>
                <w:color w:val="000000"/>
                <w:kern w:val="2"/>
                <w:szCs w:val="24"/>
                <w:lang w:val="en-US" w:eastAsia="zh-CN"/>
              </w:rPr>
              <w:t>g</w:t>
            </w:r>
            <w:r>
              <w:rPr>
                <w:rFonts w:hint="eastAsia" w:ascii="Times New Roman" w:hAnsi="Times New Roman" w:eastAsia="宋体" w:cs="Times New Roman"/>
                <w:color w:val="000000"/>
                <w:kern w:val="2"/>
                <w:szCs w:val="24"/>
                <w:lang w:val="en-US" w:eastAsia="zh-CN"/>
              </w:rPr>
              <w:t>、鼓励有条件的产废单位在固体废物产生场所、贮存场所及磅秤位置等关键点位设置视频监控，提高台账记录信息的准确性。</w:t>
            </w:r>
          </w:p>
          <w:p w14:paraId="7D9568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left"/>
              <w:textAlignment w:val="auto"/>
              <w:rPr>
                <w:color w:val="000000"/>
                <w:sz w:val="24"/>
              </w:rPr>
            </w:pPr>
            <w:r>
              <w:rPr>
                <w:rFonts w:hint="default" w:ascii="Times New Roman" w:hAnsi="Times New Roman" w:cs="Times New Roman"/>
                <w:color w:val="000000"/>
                <w:sz w:val="24"/>
                <w:szCs w:val="24"/>
                <w:highlight w:val="none"/>
                <w:u w:val="none"/>
              </w:rPr>
              <w:t>贮存点应采取防风、防雨、防晒和防止危险废物流失、扬散等措施</w:t>
            </w:r>
            <w:r>
              <w:rPr>
                <w:rFonts w:hint="default" w:ascii="Times New Roman" w:hAnsi="Times New Roman" w:cs="Times New Roman"/>
                <w:color w:val="000000"/>
                <w:sz w:val="24"/>
                <w:szCs w:val="24"/>
                <w:highlight w:val="none"/>
                <w:u w:val="none"/>
                <w:lang w:eastAsia="zh-CN"/>
              </w:rPr>
              <w:t>，贮存点应具有固定的区域边界，</w:t>
            </w:r>
            <w:r>
              <w:rPr>
                <w:rFonts w:hint="default" w:ascii="Times New Roman" w:hAnsi="Times New Roman" w:cs="Times New Roman"/>
                <w:color w:val="000000"/>
                <w:sz w:val="24"/>
                <w:szCs w:val="24"/>
                <w:highlight w:val="none"/>
                <w:u w:val="none"/>
              </w:rPr>
              <w:t>贮存设施周围应设置围墙。</w:t>
            </w:r>
            <w:r>
              <w:rPr>
                <w:color w:val="000000"/>
                <w:sz w:val="24"/>
              </w:rPr>
              <w:t>综上所述，建设项目对固体废物均进行了合理的处置，实现</w:t>
            </w:r>
            <w:r>
              <w:rPr>
                <w:rFonts w:hint="eastAsia"/>
                <w:color w:val="000000"/>
                <w:sz w:val="24"/>
                <w:lang w:eastAsia="zh-CN"/>
              </w:rPr>
              <w:t>“</w:t>
            </w:r>
            <w:r>
              <w:rPr>
                <w:color w:val="000000"/>
                <w:sz w:val="24"/>
              </w:rPr>
              <w:t>无害化、减量化和资源化</w:t>
            </w:r>
            <w:r>
              <w:rPr>
                <w:rFonts w:hint="eastAsia"/>
                <w:color w:val="000000"/>
                <w:sz w:val="24"/>
                <w:lang w:eastAsia="zh-CN"/>
              </w:rPr>
              <w:t>”</w:t>
            </w:r>
            <w:r>
              <w:rPr>
                <w:color w:val="000000"/>
                <w:sz w:val="24"/>
              </w:rPr>
              <w:t>的要求，处置措施技术经济可行，对周围环境影响不大。</w:t>
            </w:r>
          </w:p>
          <w:p w14:paraId="0F821B09">
            <w:pPr>
              <w:keepNext w:val="0"/>
              <w:keepLines w:val="0"/>
              <w:pageBreakBefore w:val="0"/>
              <w:widowControl w:val="0"/>
              <w:kinsoku/>
              <w:overflowPunct/>
              <w:topLinePunct w:val="0"/>
              <w:autoSpaceDE/>
              <w:autoSpaceDN/>
              <w:bidi w:val="0"/>
              <w:adjustRightInd/>
              <w:snapToGrid w:val="0"/>
              <w:spacing w:line="500" w:lineRule="exact"/>
              <w:ind w:firstLine="482" w:firstLineChars="200"/>
              <w:rPr>
                <w:b/>
                <w:snapToGrid w:val="0"/>
                <w:color w:val="000000"/>
                <w:sz w:val="24"/>
                <w:highlight w:val="none"/>
              </w:rPr>
            </w:pPr>
            <w:r>
              <w:rPr>
                <w:b/>
                <w:snapToGrid w:val="0"/>
                <w:color w:val="000000"/>
                <w:sz w:val="24"/>
                <w:highlight w:val="none"/>
              </w:rPr>
              <w:t>5</w:t>
            </w:r>
            <w:r>
              <w:rPr>
                <w:rFonts w:hAnsi="宋体"/>
                <w:b/>
                <w:snapToGrid w:val="0"/>
                <w:color w:val="000000"/>
                <w:sz w:val="24"/>
                <w:highlight w:val="none"/>
              </w:rPr>
              <w:t>、地下水、土壤环境影响分析</w:t>
            </w:r>
          </w:p>
          <w:p w14:paraId="3BE88562">
            <w:pPr>
              <w:keepNext w:val="0"/>
              <w:keepLines w:val="0"/>
              <w:pageBreakBefore w:val="0"/>
              <w:widowControl w:val="0"/>
              <w:kinsoku/>
              <w:overflowPunct/>
              <w:topLinePunct w:val="0"/>
              <w:autoSpaceDE/>
              <w:autoSpaceDN/>
              <w:bidi w:val="0"/>
              <w:adjustRightInd/>
              <w:spacing w:line="500" w:lineRule="exact"/>
              <w:ind w:firstLine="480" w:firstLineChars="200"/>
              <w:rPr>
                <w:b w:val="0"/>
                <w:bCs/>
                <w:color w:val="000000"/>
                <w:sz w:val="24"/>
              </w:rPr>
            </w:pPr>
            <w:r>
              <w:rPr>
                <w:rFonts w:hint="eastAsia"/>
                <w:b w:val="0"/>
                <w:bCs/>
                <w:color w:val="000000"/>
                <w:sz w:val="24"/>
              </w:rPr>
              <w:t>5</w:t>
            </w:r>
            <w:r>
              <w:rPr>
                <w:b w:val="0"/>
                <w:bCs/>
                <w:color w:val="000000"/>
                <w:sz w:val="24"/>
              </w:rPr>
              <w:t>.1</w:t>
            </w:r>
            <w:r>
              <w:rPr>
                <w:rFonts w:hint="eastAsia"/>
                <w:b w:val="0"/>
                <w:bCs/>
                <w:color w:val="000000"/>
                <w:sz w:val="24"/>
              </w:rPr>
              <w:t>主要污染途径</w:t>
            </w:r>
          </w:p>
          <w:p w14:paraId="4FFE9DB5">
            <w:pPr>
              <w:keepNext w:val="0"/>
              <w:keepLines w:val="0"/>
              <w:pageBreakBefore w:val="0"/>
              <w:widowControl w:val="0"/>
              <w:kinsoku/>
              <w:overflowPunct/>
              <w:topLinePunct w:val="0"/>
              <w:autoSpaceDE/>
              <w:autoSpaceDN/>
              <w:bidi w:val="0"/>
              <w:adjustRightInd/>
              <w:spacing w:line="500" w:lineRule="exact"/>
              <w:ind w:firstLine="480" w:firstLineChars="200"/>
              <w:jc w:val="left"/>
              <w:textAlignment w:val="baseline"/>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highlight w:val="none"/>
              </w:rPr>
              <w:t>项目</w:t>
            </w:r>
            <w:r>
              <w:rPr>
                <w:rFonts w:hint="eastAsia" w:cs="Times New Roman"/>
                <w:bCs/>
                <w:color w:val="auto"/>
                <w:sz w:val="24"/>
                <w:szCs w:val="21"/>
                <w:highlight w:val="none"/>
                <w:lang w:val="en-US" w:eastAsia="zh-CN"/>
              </w:rPr>
              <w:t>主要生产牛骨高汤、辣椒酱系列产品</w:t>
            </w:r>
            <w:r>
              <w:rPr>
                <w:rFonts w:hint="eastAsia" w:ascii="Times New Roman" w:hAnsi="Times New Roman" w:cs="Times New Roman"/>
                <w:bCs/>
                <w:color w:val="auto"/>
                <w:sz w:val="24"/>
                <w:szCs w:val="21"/>
                <w:highlight w:val="none"/>
                <w:lang w:eastAsia="zh-CN"/>
              </w:rPr>
              <w:t>，</w:t>
            </w:r>
            <w:r>
              <w:rPr>
                <w:rFonts w:hint="eastAsia" w:ascii="Times New Roman" w:hAnsi="Times New Roman" w:eastAsia="宋体" w:cs="Times New Roman"/>
                <w:bCs/>
                <w:color w:val="auto"/>
                <w:sz w:val="24"/>
                <w:szCs w:val="21"/>
              </w:rPr>
              <w:t>根据《环境影响评价技术导则 地下水环境》（HJ610-2016）</w:t>
            </w:r>
            <w:r>
              <w:rPr>
                <w:rFonts w:hint="eastAsia" w:cs="Times New Roman"/>
                <w:bCs/>
                <w:color w:val="auto"/>
                <w:sz w:val="24"/>
                <w:u w:val="none"/>
                <w:lang w:val="en-US" w:eastAsia="zh-CN"/>
              </w:rPr>
              <w:t>对比，本项目</w:t>
            </w:r>
            <w:r>
              <w:rPr>
                <w:rFonts w:hint="eastAsia" w:cs="Times New Roman"/>
                <w:bCs/>
                <w:color w:val="auto"/>
                <w:sz w:val="24"/>
                <w:highlight w:val="none"/>
                <w:u w:val="none"/>
                <w:lang w:val="en-US" w:eastAsia="zh-CN"/>
              </w:rPr>
              <w:t>属于N轻工-104、调味品、发酵制品制造-其他，为</w:t>
            </w:r>
            <w:r>
              <w:rPr>
                <w:rFonts w:hint="default" w:ascii="Tahoma" w:hAnsi="Tahoma" w:eastAsia="宋体" w:cs="Tahoma"/>
                <w:bCs/>
                <w:color w:val="auto"/>
                <w:sz w:val="24"/>
                <w:highlight w:val="none"/>
                <w:u w:val="none"/>
                <w:lang w:val="en-US" w:eastAsia="zh-CN"/>
              </w:rPr>
              <w:t>Ⅳ</w:t>
            </w:r>
            <w:r>
              <w:rPr>
                <w:rFonts w:hint="eastAsia" w:cs="Times New Roman"/>
                <w:bCs/>
                <w:color w:val="auto"/>
                <w:sz w:val="24"/>
                <w:highlight w:val="none"/>
                <w:u w:val="none"/>
                <w:lang w:val="en-US" w:eastAsia="zh-CN"/>
              </w:rPr>
              <w:t>类项目</w:t>
            </w:r>
            <w:r>
              <w:rPr>
                <w:rFonts w:hint="eastAsia" w:cs="Times New Roman"/>
                <w:bCs/>
                <w:color w:val="auto"/>
                <w:sz w:val="24"/>
                <w:szCs w:val="21"/>
                <w:lang w:eastAsia="zh-CN"/>
              </w:rPr>
              <w:t>；</w:t>
            </w:r>
            <w:r>
              <w:rPr>
                <w:color w:val="000000"/>
                <w:sz w:val="24"/>
                <w:szCs w:val="24"/>
              </w:rPr>
              <w:t>根据《环境影响评价技术导则</w:t>
            </w:r>
            <w:r>
              <w:rPr>
                <w:rFonts w:hint="eastAsia"/>
                <w:color w:val="000000"/>
                <w:sz w:val="24"/>
                <w:szCs w:val="24"/>
              </w:rPr>
              <w:t xml:space="preserve"> </w:t>
            </w:r>
            <w:r>
              <w:rPr>
                <w:color w:val="000000"/>
                <w:sz w:val="24"/>
                <w:szCs w:val="24"/>
              </w:rPr>
              <w:t>土壤环境》（HJ 964-2018）附录A</w:t>
            </w:r>
            <w:r>
              <w:rPr>
                <w:rFonts w:hint="eastAsia"/>
                <w:color w:val="000000"/>
                <w:sz w:val="24"/>
                <w:szCs w:val="24"/>
              </w:rPr>
              <w:t>中“表A.1”规定</w:t>
            </w:r>
            <w:r>
              <w:rPr>
                <w:color w:val="000000"/>
                <w:sz w:val="24"/>
                <w:szCs w:val="24"/>
              </w:rPr>
              <w:t>，</w:t>
            </w:r>
            <w:r>
              <w:rPr>
                <w:rFonts w:hint="eastAsia"/>
                <w:color w:val="000000"/>
                <w:sz w:val="24"/>
                <w:szCs w:val="24"/>
                <w:lang w:val="en-US" w:eastAsia="zh-CN"/>
              </w:rPr>
              <w:t>本项目属于其他行业类型中，为</w:t>
            </w:r>
            <w:r>
              <w:rPr>
                <w:rFonts w:hint="default" w:ascii="Tahoma" w:hAnsi="Tahoma" w:eastAsia="宋体" w:cs="Tahoma"/>
                <w:bCs/>
                <w:color w:val="auto"/>
                <w:sz w:val="24"/>
                <w:highlight w:val="none"/>
                <w:u w:val="none"/>
                <w:lang w:val="en-US" w:eastAsia="zh-CN"/>
              </w:rPr>
              <w:t>Ⅳ</w:t>
            </w:r>
            <w:r>
              <w:rPr>
                <w:rFonts w:hint="eastAsia"/>
                <w:color w:val="000000"/>
                <w:sz w:val="24"/>
                <w:szCs w:val="24"/>
                <w:lang w:val="en-US" w:eastAsia="zh-CN"/>
              </w:rPr>
              <w:t>类项目</w:t>
            </w:r>
            <w:r>
              <w:rPr>
                <w:rFonts w:hint="eastAsia"/>
                <w:color w:val="000000"/>
                <w:sz w:val="24"/>
                <w:lang w:val="en-US" w:eastAsia="zh-CN"/>
              </w:rPr>
              <w:t>。</w:t>
            </w:r>
            <w:r>
              <w:rPr>
                <w:rFonts w:hint="eastAsia" w:ascii="Times New Roman" w:hAnsi="Times New Roman" w:eastAsia="宋体" w:cs="Times New Roman"/>
                <w:bCs/>
                <w:color w:val="auto"/>
                <w:sz w:val="24"/>
                <w:szCs w:val="21"/>
              </w:rPr>
              <w:t>因此不再对地下水</w:t>
            </w:r>
            <w:r>
              <w:rPr>
                <w:rFonts w:hint="eastAsia" w:cs="Times New Roman"/>
                <w:bCs/>
                <w:color w:val="auto"/>
                <w:sz w:val="24"/>
                <w:szCs w:val="21"/>
                <w:lang w:eastAsia="zh-CN"/>
              </w:rPr>
              <w:t>、</w:t>
            </w:r>
            <w:r>
              <w:rPr>
                <w:rFonts w:hint="eastAsia" w:cs="Times New Roman"/>
                <w:bCs/>
                <w:color w:val="auto"/>
                <w:sz w:val="24"/>
                <w:szCs w:val="21"/>
                <w:lang w:val="en-US" w:eastAsia="zh-CN"/>
              </w:rPr>
              <w:t>土壤</w:t>
            </w:r>
            <w:r>
              <w:rPr>
                <w:rFonts w:hint="eastAsia" w:ascii="Times New Roman" w:hAnsi="Times New Roman" w:eastAsia="宋体" w:cs="Times New Roman"/>
                <w:bCs/>
                <w:color w:val="auto"/>
                <w:sz w:val="24"/>
                <w:szCs w:val="21"/>
              </w:rPr>
              <w:t>环境影响进行分析</w:t>
            </w:r>
            <w:r>
              <w:rPr>
                <w:rFonts w:hint="eastAsia" w:ascii="Times New Roman" w:hAnsi="Times New Roman" w:eastAsia="宋体" w:cs="Times New Roman"/>
                <w:bCs/>
                <w:color w:val="auto"/>
                <w:sz w:val="24"/>
                <w:szCs w:val="21"/>
                <w:lang w:eastAsia="zh-CN"/>
              </w:rPr>
              <w:t>，只针对项目生产特点，提出针对性的防渗漏措施</w:t>
            </w:r>
            <w:r>
              <w:rPr>
                <w:rFonts w:hint="eastAsia" w:ascii="Times New Roman" w:hAnsi="Times New Roman" w:eastAsia="宋体" w:cs="Times New Roman"/>
                <w:bCs/>
                <w:color w:val="auto"/>
                <w:sz w:val="24"/>
                <w:szCs w:val="21"/>
              </w:rPr>
              <w:t>。</w:t>
            </w:r>
          </w:p>
          <w:p w14:paraId="7B09D1F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baseline"/>
              <w:rPr>
                <w:color w:val="000000"/>
                <w:sz w:val="24"/>
                <w:u w:val="none"/>
                <w:lang w:val="zh-CN"/>
              </w:rPr>
            </w:pPr>
            <w:r>
              <w:rPr>
                <w:rFonts w:hint="eastAsia" w:ascii="Times New Roman" w:hAnsi="Times New Roman" w:eastAsia="宋体" w:cs="Times New Roman"/>
                <w:bCs/>
                <w:color w:val="auto"/>
                <w:sz w:val="24"/>
                <w:szCs w:val="21"/>
                <w:lang w:eastAsia="zh-CN"/>
              </w:rPr>
              <w:t>同时地下水环境保护措施与对策应符合</w:t>
            </w:r>
            <w:r>
              <w:rPr>
                <w:rFonts w:hint="eastAsia" w:ascii="Times New Roman" w:hAnsi="Times New Roman" w:eastAsia="宋体" w:cs="Times New Roman"/>
                <w:bCs/>
                <w:color w:val="auto"/>
                <w:sz w:val="24"/>
                <w:szCs w:val="21"/>
              </w:rPr>
              <w:t>《中华人民共和国水污染防治法》的相关规定，地下水污染防治措施按照“源头控制、分区防控、污染监控、应急响应”相结合的原则，对污染物的产生、漏渗、扩散、应急响应全阶段进行控制。</w:t>
            </w:r>
            <w:r>
              <w:rPr>
                <w:rFonts w:hint="eastAsia" w:ascii="Times New Roman" w:hAnsi="Times New Roman" w:eastAsia="宋体" w:cs="Times New Roman"/>
                <w:b w:val="0"/>
                <w:bCs/>
                <w:color w:val="auto"/>
                <w:sz w:val="24"/>
                <w:szCs w:val="21"/>
                <w:u w:val="none"/>
              </w:rPr>
              <w:t>为了</w:t>
            </w:r>
            <w:r>
              <w:rPr>
                <w:rFonts w:hint="eastAsia" w:ascii="Times New Roman" w:hAnsi="Times New Roman" w:eastAsia="宋体" w:cs="Times New Roman"/>
                <w:b w:val="0"/>
                <w:bCs/>
                <w:color w:val="auto"/>
                <w:sz w:val="24"/>
                <w:szCs w:val="21"/>
                <w:u w:val="none"/>
                <w:lang w:eastAsia="zh-CN"/>
              </w:rPr>
              <w:t>确保防止</w:t>
            </w:r>
            <w:r>
              <w:rPr>
                <w:rFonts w:hint="eastAsia" w:ascii="Times New Roman" w:hAnsi="Times New Roman" w:eastAsia="宋体" w:cs="Times New Roman"/>
                <w:b w:val="0"/>
                <w:bCs/>
                <w:color w:val="auto"/>
                <w:sz w:val="24"/>
                <w:szCs w:val="21"/>
                <w:u w:val="none"/>
              </w:rPr>
              <w:t>项目生产过程对地下水</w:t>
            </w:r>
            <w:r>
              <w:rPr>
                <w:rFonts w:hint="eastAsia" w:ascii="Times New Roman" w:hAnsi="Times New Roman" w:eastAsia="宋体" w:cs="Times New Roman"/>
                <w:b w:val="0"/>
                <w:bCs/>
                <w:color w:val="auto"/>
                <w:sz w:val="24"/>
                <w:szCs w:val="21"/>
                <w:u w:val="none"/>
                <w:lang w:eastAsia="zh-CN"/>
              </w:rPr>
              <w:t>及土壤</w:t>
            </w:r>
            <w:r>
              <w:rPr>
                <w:rFonts w:hint="eastAsia" w:ascii="Times New Roman" w:hAnsi="Times New Roman" w:eastAsia="宋体" w:cs="Times New Roman"/>
                <w:b w:val="0"/>
                <w:bCs/>
                <w:color w:val="auto"/>
                <w:sz w:val="24"/>
                <w:szCs w:val="21"/>
                <w:u w:val="none"/>
              </w:rPr>
              <w:t>产生污染，评价</w:t>
            </w:r>
            <w:r>
              <w:rPr>
                <w:rFonts w:hint="eastAsia" w:ascii="Times New Roman" w:hAnsi="Times New Roman" w:eastAsia="宋体" w:cs="Times New Roman"/>
                <w:b w:val="0"/>
                <w:bCs/>
                <w:color w:val="auto"/>
                <w:sz w:val="24"/>
                <w:szCs w:val="21"/>
                <w:u w:val="none"/>
                <w:lang w:eastAsia="zh-CN"/>
              </w:rPr>
              <w:t>要求</w:t>
            </w:r>
            <w:r>
              <w:rPr>
                <w:color w:val="000000"/>
                <w:sz w:val="24"/>
                <w:u w:val="none"/>
                <w:lang w:val="zh-CN"/>
              </w:rPr>
              <w:t>项目污染物能污染地下水的途径主要包括：</w:t>
            </w:r>
            <w:r>
              <w:rPr>
                <w:rFonts w:hint="eastAsia" w:ascii="Times New Roman" w:hAnsi="Times New Roman" w:cs="Times New Roman"/>
                <w:sz w:val="24"/>
                <w:lang w:val="en-US" w:eastAsia="zh-CN"/>
              </w:rPr>
              <w:t>厂区内</w:t>
            </w:r>
            <w:r>
              <w:rPr>
                <w:rFonts w:hint="eastAsia" w:cs="Times New Roman"/>
                <w:sz w:val="24"/>
                <w:lang w:val="en-US" w:eastAsia="zh-CN"/>
              </w:rPr>
              <w:t>隔油池</w:t>
            </w:r>
            <w:r>
              <w:rPr>
                <w:rFonts w:hint="eastAsia" w:ascii="Times New Roman" w:hAnsi="Times New Roman" w:cs="Times New Roman"/>
                <w:sz w:val="24"/>
                <w:lang w:val="en-US" w:eastAsia="zh-CN"/>
              </w:rPr>
              <w:t>和污水管线</w:t>
            </w:r>
            <w:r>
              <w:rPr>
                <w:rFonts w:hint="eastAsia" w:cs="Times New Roman"/>
                <w:sz w:val="24"/>
                <w:lang w:val="en-US" w:eastAsia="zh-CN"/>
              </w:rPr>
              <w:t>、废水处理设施以及化粪池</w:t>
            </w:r>
            <w:r>
              <w:rPr>
                <w:rFonts w:hint="eastAsia" w:ascii="Times New Roman" w:hAnsi="Times New Roman" w:cs="Times New Roman"/>
                <w:sz w:val="24"/>
                <w:lang w:val="en-US" w:eastAsia="zh-CN"/>
              </w:rPr>
              <w:t>等区域，</w:t>
            </w:r>
            <w:r>
              <w:rPr>
                <w:rFonts w:hint="eastAsia"/>
                <w:color w:val="000000"/>
                <w:sz w:val="24"/>
                <w:highlight w:val="none"/>
                <w:u w:val="none"/>
                <w:lang w:val="en-US" w:eastAsia="zh-CN"/>
              </w:rPr>
              <w:t>这些区域如果</w:t>
            </w:r>
            <w:r>
              <w:rPr>
                <w:color w:val="000000"/>
                <w:sz w:val="24"/>
                <w:u w:val="none"/>
                <w:lang w:val="zh-CN"/>
              </w:rPr>
              <w:t>防渗措施不到位，</w:t>
            </w:r>
            <w:r>
              <w:rPr>
                <w:rFonts w:hint="eastAsia"/>
                <w:color w:val="000000"/>
                <w:sz w:val="24"/>
                <w:u w:val="none"/>
                <w:lang w:val="en-US" w:eastAsia="zh-CN"/>
              </w:rPr>
              <w:t>会出现泄漏的情况而造成</w:t>
            </w:r>
            <w:r>
              <w:rPr>
                <w:rFonts w:hint="eastAsia"/>
                <w:color w:val="000000"/>
                <w:sz w:val="24"/>
                <w:u w:val="none"/>
                <w:lang w:val="zh-CN"/>
              </w:rPr>
              <w:t>污染地下水</w:t>
            </w:r>
            <w:r>
              <w:rPr>
                <w:rFonts w:hint="eastAsia"/>
                <w:color w:val="000000"/>
                <w:sz w:val="24"/>
                <w:u w:val="none"/>
                <w:lang w:val="en-US" w:eastAsia="zh-CN"/>
              </w:rPr>
              <w:t>和</w:t>
            </w:r>
            <w:r>
              <w:rPr>
                <w:rFonts w:hint="eastAsia"/>
                <w:color w:val="000000"/>
                <w:sz w:val="24"/>
                <w:u w:val="none"/>
                <w:lang w:val="zh-CN"/>
              </w:rPr>
              <w:t>土壤</w:t>
            </w:r>
            <w:r>
              <w:rPr>
                <w:color w:val="000000"/>
                <w:sz w:val="24"/>
                <w:u w:val="none"/>
                <w:lang w:val="zh-CN"/>
              </w:rPr>
              <w:t>。</w:t>
            </w:r>
          </w:p>
          <w:p w14:paraId="16024DD0">
            <w:pPr>
              <w:keepNext w:val="0"/>
              <w:keepLines w:val="0"/>
              <w:pageBreakBefore w:val="0"/>
              <w:widowControl w:val="0"/>
              <w:kinsoku/>
              <w:overflowPunct/>
              <w:topLinePunct w:val="0"/>
              <w:autoSpaceDE/>
              <w:autoSpaceDN/>
              <w:bidi w:val="0"/>
              <w:adjustRightInd/>
              <w:spacing w:line="500" w:lineRule="exact"/>
              <w:ind w:firstLine="480" w:firstLineChars="200"/>
              <w:rPr>
                <w:b w:val="0"/>
                <w:bCs/>
                <w:color w:val="000000"/>
                <w:sz w:val="24"/>
                <w:u w:val="none"/>
              </w:rPr>
            </w:pPr>
            <w:r>
              <w:rPr>
                <w:rFonts w:hint="eastAsia"/>
                <w:b w:val="0"/>
                <w:bCs/>
                <w:color w:val="000000"/>
                <w:sz w:val="24"/>
                <w:u w:val="none"/>
              </w:rPr>
              <w:t>5</w:t>
            </w:r>
            <w:r>
              <w:rPr>
                <w:b w:val="0"/>
                <w:bCs/>
                <w:color w:val="000000"/>
                <w:sz w:val="24"/>
                <w:u w:val="none"/>
              </w:rPr>
              <w:t>.2</w:t>
            </w:r>
            <w:r>
              <w:rPr>
                <w:rFonts w:hint="eastAsia" w:ascii="Times New Roman" w:hAnsi="宋体" w:eastAsia="宋体" w:cs="Times New Roman"/>
                <w:b/>
                <w:color w:val="auto"/>
                <w:kern w:val="2"/>
                <w:sz w:val="24"/>
                <w:u w:val="none"/>
                <w:lang w:val="en-US" w:eastAsia="zh-CN" w:bidi="ar-SA"/>
              </w:rPr>
              <w:t>项目防渗要求</w:t>
            </w:r>
          </w:p>
          <w:p w14:paraId="39528D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宋体" w:eastAsia="宋体" w:cs="Times New Roman"/>
                <w:b/>
                <w:color w:val="auto"/>
                <w:kern w:val="2"/>
                <w:sz w:val="24"/>
                <w:szCs w:val="24"/>
                <w:highlight w:val="yellow"/>
                <w:u w:val="none"/>
                <w:lang w:val="en-US" w:eastAsia="zh-CN" w:bidi="ar-SA"/>
              </w:rPr>
            </w:pPr>
            <w:r>
              <w:rPr>
                <w:rFonts w:hint="eastAsia" w:ascii="Times New Roman" w:hAnsi="Times New Roman" w:eastAsia="宋体" w:cs="Times New Roman"/>
                <w:bCs/>
                <w:color w:val="auto"/>
                <w:sz w:val="24"/>
                <w:u w:val="none"/>
              </w:rPr>
              <w:t>正常工况下，本项目根据《环境影响评价技术导则</w:t>
            </w:r>
            <w:r>
              <w:rPr>
                <w:rFonts w:hint="eastAsia" w:ascii="Times New Roman" w:hAnsi="Times New Roman" w:cs="Times New Roman"/>
                <w:bCs/>
                <w:color w:val="auto"/>
                <w:sz w:val="24"/>
                <w:u w:val="none"/>
                <w:lang w:val="en-US" w:eastAsia="zh-CN"/>
              </w:rPr>
              <w:t xml:space="preserve"> </w:t>
            </w:r>
            <w:r>
              <w:rPr>
                <w:rFonts w:hint="eastAsia" w:ascii="Times New Roman" w:hAnsi="Times New Roman" w:eastAsia="宋体" w:cs="Times New Roman"/>
                <w:bCs/>
                <w:color w:val="auto"/>
                <w:sz w:val="24"/>
                <w:u w:val="none"/>
              </w:rPr>
              <w:t>地下水环境》（HJ610-2016）、《环境影响评价技术导则</w:t>
            </w:r>
            <w:r>
              <w:rPr>
                <w:rFonts w:hint="eastAsia" w:ascii="Times New Roman" w:hAnsi="Times New Roman" w:eastAsia="宋体" w:cs="Times New Roman"/>
                <w:bCs/>
                <w:color w:val="auto"/>
                <w:sz w:val="24"/>
                <w:u w:val="none"/>
                <w:lang w:val="en-US" w:eastAsia="zh-CN"/>
              </w:rPr>
              <w:t xml:space="preserve"> 土壤环境</w:t>
            </w:r>
            <w:r>
              <w:rPr>
                <w:rFonts w:hint="eastAsia" w:ascii="Times New Roman" w:hAnsi="Times New Roman" w:eastAsia="宋体" w:cs="Times New Roman"/>
                <w:bCs/>
                <w:color w:val="auto"/>
                <w:sz w:val="24"/>
                <w:u w:val="none"/>
              </w:rPr>
              <w:t>》（HJ</w:t>
            </w:r>
            <w:r>
              <w:rPr>
                <w:rFonts w:hint="eastAsia" w:ascii="Times New Roman" w:hAnsi="Times New Roman" w:eastAsia="宋体" w:cs="Times New Roman"/>
                <w:bCs/>
                <w:color w:val="auto"/>
                <w:sz w:val="24"/>
                <w:u w:val="none"/>
                <w:lang w:val="en-US" w:eastAsia="zh-CN"/>
              </w:rPr>
              <w:t>964</w:t>
            </w:r>
            <w:r>
              <w:rPr>
                <w:rFonts w:hint="eastAsia" w:ascii="Times New Roman" w:hAnsi="Times New Roman" w:eastAsia="宋体" w:cs="Times New Roman"/>
                <w:bCs/>
                <w:color w:val="auto"/>
                <w:sz w:val="24"/>
                <w:u w:val="none"/>
              </w:rPr>
              <w:t>-201</w:t>
            </w:r>
            <w:r>
              <w:rPr>
                <w:rFonts w:hint="eastAsia" w:ascii="Times New Roman" w:hAnsi="Times New Roman" w:eastAsia="宋体" w:cs="Times New Roman"/>
                <w:bCs/>
                <w:color w:val="auto"/>
                <w:sz w:val="24"/>
                <w:u w:val="none"/>
                <w:lang w:val="en-US" w:eastAsia="zh-CN"/>
              </w:rPr>
              <w:t>8</w:t>
            </w:r>
            <w:r>
              <w:rPr>
                <w:rFonts w:hint="eastAsia" w:ascii="Times New Roman" w:hAnsi="Times New Roman" w:eastAsia="宋体" w:cs="Times New Roman"/>
                <w:bCs/>
                <w:color w:val="auto"/>
                <w:sz w:val="24"/>
                <w:u w:val="none"/>
              </w:rPr>
              <w:t>）和《危险废物贮存污染控制标准》（GB18597-20</w:t>
            </w:r>
            <w:r>
              <w:rPr>
                <w:rFonts w:hint="eastAsia" w:cs="Times New Roman"/>
                <w:bCs/>
                <w:color w:val="auto"/>
                <w:sz w:val="24"/>
                <w:u w:val="none"/>
                <w:lang w:val="en-US" w:eastAsia="zh-CN"/>
              </w:rPr>
              <w:t>23</w:t>
            </w:r>
            <w:r>
              <w:rPr>
                <w:rFonts w:hint="eastAsia" w:ascii="Times New Roman" w:hAnsi="Times New Roman" w:eastAsia="宋体" w:cs="Times New Roman"/>
                <w:bCs/>
                <w:color w:val="auto"/>
                <w:sz w:val="24"/>
                <w:u w:val="none"/>
              </w:rPr>
              <w:t>），</w:t>
            </w:r>
            <w:r>
              <w:rPr>
                <w:rFonts w:hint="eastAsia" w:cs="Times New Roman"/>
                <w:bCs/>
                <w:color w:val="auto"/>
                <w:sz w:val="24"/>
                <w:u w:val="none"/>
                <w:lang w:val="en-US" w:eastAsia="zh-CN"/>
              </w:rPr>
              <w:t>本项目为避免意外而污染土壤和地下水，要求对厂房进行不同程度的分区防渗处理，不同</w:t>
            </w:r>
            <w:r>
              <w:rPr>
                <w:rFonts w:hint="eastAsia" w:cs="Times New Roman"/>
                <w:bCs/>
                <w:color w:val="auto"/>
                <w:sz w:val="24"/>
                <w:highlight w:val="none"/>
                <w:u w:val="none"/>
                <w:lang w:val="en-US" w:eastAsia="zh-CN"/>
              </w:rPr>
              <w:t>区域应执行如下分区防渗要求。</w:t>
            </w:r>
          </w:p>
          <w:p w14:paraId="3B168FC8">
            <w:pPr>
              <w:pStyle w:val="20"/>
              <w:keepNext w:val="0"/>
              <w:keepLines w:val="0"/>
              <w:pageBreakBefore w:val="0"/>
              <w:widowControl w:val="0"/>
              <w:kinsoku/>
              <w:wordWrap/>
              <w:overflowPunct/>
              <w:topLinePunct w:val="0"/>
              <w:autoSpaceDE/>
              <w:autoSpaceDN/>
              <w:bidi w:val="0"/>
              <w:adjustRightInd/>
              <w:snapToGrid/>
              <w:spacing w:before="0" w:beforeAutospacing="0" w:after="0" w:line="500" w:lineRule="exact"/>
              <w:ind w:left="0" w:leftChars="0" w:right="0"/>
              <w:jc w:val="center"/>
              <w:textAlignment w:val="auto"/>
              <w:rPr>
                <w:rFonts w:hint="default" w:ascii="Times New Roman" w:hAnsi="Times New Roman" w:eastAsia="黑体" w:cs="Times New Roman"/>
                <w:b w:val="0"/>
                <w:bCs w:val="0"/>
                <w:kern w:val="0"/>
                <w:sz w:val="24"/>
                <w:szCs w:val="24"/>
                <w:u w:val="none"/>
                <w:lang w:val="en-US" w:eastAsia="zh-CN" w:bidi="ar-SA"/>
              </w:rPr>
            </w:pPr>
            <w:r>
              <w:rPr>
                <w:rFonts w:hint="eastAsia" w:ascii="Times New Roman" w:hAnsi="Times New Roman" w:eastAsia="黑体" w:cs="Times New Roman"/>
                <w:b w:val="0"/>
                <w:bCs w:val="0"/>
                <w:kern w:val="0"/>
                <w:sz w:val="24"/>
                <w:szCs w:val="24"/>
                <w:highlight w:val="none"/>
                <w:u w:val="none"/>
                <w:lang w:val="en-US" w:eastAsia="zh-CN" w:bidi="ar-SA"/>
              </w:rPr>
              <w:t>4-</w:t>
            </w:r>
            <w:r>
              <w:rPr>
                <w:rFonts w:hint="eastAsia" w:eastAsia="黑体" w:cs="Times New Roman"/>
                <w:b w:val="0"/>
                <w:bCs w:val="0"/>
                <w:kern w:val="0"/>
                <w:sz w:val="24"/>
                <w:szCs w:val="24"/>
                <w:highlight w:val="none"/>
                <w:u w:val="none"/>
                <w:lang w:val="en-US" w:eastAsia="zh-CN" w:bidi="ar-SA"/>
              </w:rPr>
              <w:t>16</w:t>
            </w:r>
            <w:r>
              <w:rPr>
                <w:rFonts w:hint="eastAsia" w:ascii="Times New Roman" w:hAnsi="Times New Roman" w:eastAsia="黑体" w:cs="Times New Roman"/>
                <w:b w:val="0"/>
                <w:bCs w:val="0"/>
                <w:kern w:val="0"/>
                <w:sz w:val="24"/>
                <w:szCs w:val="24"/>
                <w:highlight w:val="none"/>
                <w:u w:val="none"/>
                <w:lang w:val="en-US" w:eastAsia="zh-CN" w:bidi="ar-SA"/>
              </w:rPr>
              <w:t xml:space="preserve"> 本项目厂</w:t>
            </w:r>
            <w:r>
              <w:rPr>
                <w:rFonts w:hint="eastAsia" w:ascii="Times New Roman" w:hAnsi="Times New Roman" w:eastAsia="黑体" w:cs="Times New Roman"/>
                <w:b w:val="0"/>
                <w:bCs w:val="0"/>
                <w:kern w:val="0"/>
                <w:sz w:val="24"/>
                <w:szCs w:val="24"/>
                <w:u w:val="none"/>
                <w:lang w:val="en-US" w:eastAsia="zh-CN" w:bidi="ar-SA"/>
              </w:rPr>
              <w:t>区地下水污染防渗分区一览表</w:t>
            </w:r>
          </w:p>
          <w:tbl>
            <w:tblPr>
              <w:tblStyle w:val="22"/>
              <w:tblW w:w="7797" w:type="dxa"/>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88"/>
              <w:gridCol w:w="1080"/>
              <w:gridCol w:w="1608"/>
              <w:gridCol w:w="1036"/>
              <w:gridCol w:w="2456"/>
            </w:tblGrid>
            <w:tr w14:paraId="149623D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29" w:type="dxa"/>
                  <w:tcBorders>
                    <w:tl2br w:val="nil"/>
                    <w:tr2bl w:val="nil"/>
                  </w:tcBorders>
                  <w:noWrap w:val="0"/>
                  <w:vAlign w:val="center"/>
                </w:tcPr>
                <w:p w14:paraId="67EDE43B">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b/>
                      <w:bCs/>
                      <w:color w:val="auto"/>
                      <w:sz w:val="24"/>
                      <w:szCs w:val="22"/>
                      <w:u w:val="none"/>
                      <w:vertAlign w:val="baseline"/>
                      <w:lang w:val="en-US" w:eastAsia="zh-CN"/>
                    </w:rPr>
                  </w:pPr>
                  <w:r>
                    <w:rPr>
                      <w:rFonts w:hint="eastAsia" w:ascii="Times New Roman" w:hAnsi="Times New Roman" w:eastAsia="宋体" w:cs="Times New Roman"/>
                      <w:b/>
                      <w:bCs/>
                      <w:color w:val="auto"/>
                      <w:kern w:val="0"/>
                      <w:sz w:val="21"/>
                      <w:szCs w:val="21"/>
                      <w:u w:val="none"/>
                      <w:lang w:val="en-US" w:eastAsia="zh-CN" w:bidi="ar-SA"/>
                    </w:rPr>
                    <w:t>序号</w:t>
                  </w:r>
                </w:p>
              </w:tc>
              <w:tc>
                <w:tcPr>
                  <w:tcW w:w="1088" w:type="dxa"/>
                  <w:tcBorders>
                    <w:tl2br w:val="nil"/>
                    <w:tr2bl w:val="nil"/>
                  </w:tcBorders>
                  <w:noWrap w:val="0"/>
                  <w:vAlign w:val="center"/>
                </w:tcPr>
                <w:p w14:paraId="6A86AC10">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名称</w:t>
                  </w:r>
                </w:p>
              </w:tc>
              <w:tc>
                <w:tcPr>
                  <w:tcW w:w="1080" w:type="dxa"/>
                  <w:tcBorders>
                    <w:tl2br w:val="nil"/>
                    <w:tr2bl w:val="nil"/>
                  </w:tcBorders>
                  <w:noWrap w:val="0"/>
                  <w:vAlign w:val="center"/>
                </w:tcPr>
                <w:p w14:paraId="58A2AD52">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b/>
                      <w:bCs/>
                      <w:color w:val="auto"/>
                      <w:sz w:val="24"/>
                      <w:szCs w:val="22"/>
                      <w:u w:val="none"/>
                      <w:vertAlign w:val="baseline"/>
                      <w:lang w:val="en-US" w:eastAsia="zh-CN"/>
                    </w:rPr>
                  </w:pPr>
                  <w:r>
                    <w:rPr>
                      <w:rFonts w:hint="eastAsia" w:ascii="Times New Roman" w:hAnsi="Times New Roman" w:eastAsia="宋体" w:cs="Times New Roman"/>
                      <w:b/>
                      <w:bCs/>
                      <w:color w:val="auto"/>
                      <w:kern w:val="0"/>
                      <w:sz w:val="21"/>
                      <w:szCs w:val="21"/>
                      <w:u w:val="none"/>
                      <w:lang w:val="en-US" w:eastAsia="zh-CN" w:bidi="ar-SA"/>
                    </w:rPr>
                    <w:t>污染控制难易程度</w:t>
                  </w:r>
                </w:p>
              </w:tc>
              <w:tc>
                <w:tcPr>
                  <w:tcW w:w="1608" w:type="dxa"/>
                  <w:tcBorders>
                    <w:tl2br w:val="nil"/>
                    <w:tr2bl w:val="nil"/>
                  </w:tcBorders>
                  <w:noWrap w:val="0"/>
                  <w:vAlign w:val="center"/>
                </w:tcPr>
                <w:p w14:paraId="710B12FB">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污染物</w:t>
                  </w:r>
                </w:p>
                <w:p w14:paraId="2CE9CEC9">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种类</w:t>
                  </w:r>
                </w:p>
              </w:tc>
              <w:tc>
                <w:tcPr>
                  <w:tcW w:w="1036" w:type="dxa"/>
                  <w:tcBorders>
                    <w:tl2br w:val="nil"/>
                    <w:tr2bl w:val="nil"/>
                  </w:tcBorders>
                  <w:noWrap w:val="0"/>
                  <w:vAlign w:val="center"/>
                </w:tcPr>
                <w:p w14:paraId="1B4C9CDC">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防渗</w:t>
                  </w:r>
                </w:p>
                <w:p w14:paraId="4BA5380A">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分区</w:t>
                  </w:r>
                </w:p>
              </w:tc>
              <w:tc>
                <w:tcPr>
                  <w:tcW w:w="2456" w:type="dxa"/>
                  <w:tcBorders>
                    <w:tl2br w:val="nil"/>
                    <w:tr2bl w:val="nil"/>
                  </w:tcBorders>
                  <w:noWrap w:val="0"/>
                  <w:vAlign w:val="center"/>
                </w:tcPr>
                <w:p w14:paraId="2B06684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u w:val="none"/>
                      <w:lang w:val="en-US" w:eastAsia="zh-CN" w:bidi="ar-SA"/>
                    </w:rPr>
                  </w:pPr>
                  <w:r>
                    <w:rPr>
                      <w:rFonts w:hint="eastAsia" w:ascii="Times New Roman" w:hAnsi="Times New Roman" w:eastAsia="宋体" w:cs="Times New Roman"/>
                      <w:b/>
                      <w:bCs/>
                      <w:color w:val="auto"/>
                      <w:kern w:val="0"/>
                      <w:sz w:val="21"/>
                      <w:szCs w:val="21"/>
                      <w:u w:val="none"/>
                      <w:lang w:val="en-US" w:eastAsia="zh-CN" w:bidi="ar-SA"/>
                    </w:rPr>
                    <w:t>防渗技术要求</w:t>
                  </w:r>
                </w:p>
              </w:tc>
            </w:tr>
            <w:tr w14:paraId="2C4C3B9F">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29" w:type="dxa"/>
                  <w:tcBorders>
                    <w:tl2br w:val="nil"/>
                    <w:tr2bl w:val="nil"/>
                  </w:tcBorders>
                  <w:noWrap w:val="0"/>
                  <w:vAlign w:val="center"/>
                </w:tcPr>
                <w:p w14:paraId="437D1C4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4"/>
                      <w:szCs w:val="22"/>
                      <w:u w:val="none"/>
                      <w:vertAlign w:val="baseline"/>
                      <w:lang w:val="en-US" w:eastAsia="zh-CN"/>
                    </w:rPr>
                  </w:pPr>
                  <w:r>
                    <w:rPr>
                      <w:rFonts w:hint="eastAsia"/>
                      <w:color w:val="auto"/>
                      <w:sz w:val="24"/>
                      <w:szCs w:val="22"/>
                      <w:u w:val="none"/>
                      <w:vertAlign w:val="baseline"/>
                      <w:lang w:val="en-US" w:eastAsia="zh-CN"/>
                    </w:rPr>
                    <w:t>1</w:t>
                  </w:r>
                </w:p>
              </w:tc>
              <w:tc>
                <w:tcPr>
                  <w:tcW w:w="1088" w:type="dxa"/>
                  <w:tcBorders>
                    <w:tl2br w:val="nil"/>
                    <w:tr2bl w:val="nil"/>
                  </w:tcBorders>
                  <w:noWrap w:val="0"/>
                  <w:vAlign w:val="center"/>
                </w:tcPr>
                <w:p w14:paraId="0F04D7C5">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color w:val="000000"/>
                      <w:sz w:val="21"/>
                      <w:szCs w:val="21"/>
                      <w:u w:val="none"/>
                      <w:lang w:val="en-US" w:eastAsia="zh-CN"/>
                    </w:rPr>
                  </w:pPr>
                  <w:r>
                    <w:rPr>
                      <w:rFonts w:hint="eastAsia"/>
                      <w:color w:val="000000"/>
                      <w:sz w:val="21"/>
                      <w:szCs w:val="21"/>
                      <w:highlight w:val="none"/>
                      <w:u w:val="none"/>
                      <w:lang w:val="en-US" w:eastAsia="zh-CN"/>
                    </w:rPr>
                    <w:t>隔油池和化粪池</w:t>
                  </w:r>
                </w:p>
              </w:tc>
              <w:tc>
                <w:tcPr>
                  <w:tcW w:w="1080" w:type="dxa"/>
                  <w:tcBorders>
                    <w:tl2br w:val="nil"/>
                    <w:tr2bl w:val="nil"/>
                  </w:tcBorders>
                  <w:noWrap w:val="0"/>
                  <w:vAlign w:val="center"/>
                </w:tcPr>
                <w:p w14:paraId="4D589BAC">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一般</w:t>
                  </w:r>
                </w:p>
              </w:tc>
              <w:tc>
                <w:tcPr>
                  <w:tcW w:w="1608" w:type="dxa"/>
                  <w:vMerge w:val="restart"/>
                  <w:tcBorders>
                    <w:tl2br w:val="nil"/>
                    <w:tr2bl w:val="nil"/>
                  </w:tcBorders>
                  <w:noWrap w:val="0"/>
                  <w:vAlign w:val="center"/>
                </w:tcPr>
                <w:p w14:paraId="183BB1E4">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eastAsia="宋体"/>
                      <w:color w:val="auto"/>
                      <w:sz w:val="24"/>
                      <w:szCs w:val="22"/>
                      <w:u w:val="none"/>
                      <w:vertAlign w:val="baseline"/>
                      <w:lang w:val="en-US" w:eastAsia="zh-CN"/>
                    </w:rPr>
                  </w:pPr>
                  <w:r>
                    <w:rPr>
                      <w:rFonts w:hint="eastAsia"/>
                      <w:color w:val="auto"/>
                      <w:sz w:val="21"/>
                      <w:szCs w:val="21"/>
                      <w:u w:val="none"/>
                      <w:vertAlign w:val="baseline"/>
                      <w:lang w:val="en-US" w:eastAsia="zh-CN"/>
                    </w:rPr>
                    <w:t>需要进行防渗处置，避免发生泄漏污染土壤和地下水</w:t>
                  </w:r>
                </w:p>
              </w:tc>
              <w:tc>
                <w:tcPr>
                  <w:tcW w:w="1036" w:type="dxa"/>
                  <w:vMerge w:val="restart"/>
                  <w:tcBorders>
                    <w:tl2br w:val="nil"/>
                    <w:tr2bl w:val="nil"/>
                  </w:tcBorders>
                  <w:noWrap w:val="0"/>
                  <w:vAlign w:val="center"/>
                </w:tcPr>
                <w:p w14:paraId="313F3541">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color w:val="auto"/>
                      <w:sz w:val="21"/>
                      <w:szCs w:val="21"/>
                      <w:u w:val="none"/>
                      <w:vertAlign w:val="baseline"/>
                      <w:lang w:val="en-US" w:eastAsia="zh-CN"/>
                    </w:rPr>
                  </w:pPr>
                  <w:r>
                    <w:rPr>
                      <w:rFonts w:hint="eastAsia"/>
                      <w:color w:val="auto"/>
                      <w:sz w:val="21"/>
                      <w:szCs w:val="21"/>
                      <w:u w:val="none"/>
                      <w:vertAlign w:val="baseline"/>
                      <w:lang w:val="en-US" w:eastAsia="zh-CN"/>
                    </w:rPr>
                    <w:t>中等防</w:t>
                  </w:r>
                </w:p>
                <w:p w14:paraId="17757956">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eastAsia="宋体"/>
                      <w:color w:val="auto"/>
                      <w:sz w:val="24"/>
                      <w:szCs w:val="22"/>
                      <w:u w:val="none"/>
                      <w:vertAlign w:val="baseline"/>
                      <w:lang w:val="en-US" w:eastAsia="zh-CN"/>
                    </w:rPr>
                  </w:pPr>
                  <w:r>
                    <w:rPr>
                      <w:rFonts w:hint="eastAsia"/>
                      <w:color w:val="auto"/>
                      <w:sz w:val="21"/>
                      <w:szCs w:val="21"/>
                      <w:u w:val="none"/>
                      <w:vertAlign w:val="baseline"/>
                      <w:lang w:val="en-US" w:eastAsia="zh-CN"/>
                    </w:rPr>
                    <w:t>渗区</w:t>
                  </w:r>
                </w:p>
              </w:tc>
              <w:tc>
                <w:tcPr>
                  <w:tcW w:w="2456" w:type="dxa"/>
                  <w:vMerge w:val="restart"/>
                  <w:tcBorders>
                    <w:tl2br w:val="nil"/>
                    <w:tr2bl w:val="nil"/>
                  </w:tcBorders>
                  <w:noWrap w:val="0"/>
                  <w:vAlign w:val="center"/>
                </w:tcPr>
                <w:p w14:paraId="40D69A12">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采取等效黏土防渗层Mb≥</w:t>
                  </w:r>
                  <w:r>
                    <w:rPr>
                      <w:rFonts w:hint="eastAsia" w:cs="Times New Roman"/>
                      <w:color w:val="auto"/>
                      <w:kern w:val="0"/>
                      <w:sz w:val="21"/>
                      <w:szCs w:val="21"/>
                      <w:u w:val="none"/>
                      <w:lang w:val="en-US" w:eastAsia="zh-CN" w:bidi="ar-SA"/>
                    </w:rPr>
                    <w:t>1.5</w:t>
                  </w:r>
                  <w:r>
                    <w:rPr>
                      <w:rFonts w:hint="eastAsia" w:ascii="Times New Roman" w:hAnsi="Times New Roman" w:eastAsia="宋体" w:cs="Times New Roman"/>
                      <w:color w:val="auto"/>
                      <w:kern w:val="0"/>
                      <w:sz w:val="21"/>
                      <w:szCs w:val="21"/>
                      <w:u w:val="none"/>
                      <w:lang w:val="en-US" w:eastAsia="zh-CN" w:bidi="ar-SA"/>
                    </w:rPr>
                    <w:t>m，K≤1×10</w:t>
                  </w:r>
                  <w:r>
                    <w:rPr>
                      <w:rFonts w:hint="eastAsia" w:ascii="Times New Roman" w:hAnsi="Times New Roman" w:eastAsia="宋体" w:cs="Times New Roman"/>
                      <w:color w:val="auto"/>
                      <w:kern w:val="0"/>
                      <w:sz w:val="21"/>
                      <w:szCs w:val="21"/>
                      <w:u w:val="none"/>
                      <w:vertAlign w:val="superscript"/>
                      <w:lang w:val="en-US" w:eastAsia="zh-CN" w:bidi="ar-SA"/>
                    </w:rPr>
                    <w:t>-7</w:t>
                  </w:r>
                  <w:r>
                    <w:rPr>
                      <w:rFonts w:hint="eastAsia" w:ascii="Times New Roman" w:hAnsi="Times New Roman" w:eastAsia="宋体" w:cs="Times New Roman"/>
                      <w:color w:val="auto"/>
                      <w:kern w:val="0"/>
                      <w:sz w:val="21"/>
                      <w:szCs w:val="21"/>
                      <w:u w:val="none"/>
                      <w:lang w:val="en-US" w:eastAsia="zh-CN" w:bidi="ar-SA"/>
                    </w:rPr>
                    <w:t>cm/s 进行设计）</w:t>
                  </w:r>
                </w:p>
              </w:tc>
            </w:tr>
            <w:tr w14:paraId="135D6DBD">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29" w:type="dxa"/>
                  <w:tcBorders>
                    <w:tl2br w:val="nil"/>
                    <w:tr2bl w:val="nil"/>
                  </w:tcBorders>
                  <w:noWrap w:val="0"/>
                  <w:vAlign w:val="center"/>
                </w:tcPr>
                <w:p w14:paraId="67ACF74C">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4"/>
                      <w:szCs w:val="22"/>
                      <w:u w:val="none"/>
                      <w:vertAlign w:val="baseline"/>
                      <w:lang w:val="en-US" w:eastAsia="zh-CN"/>
                    </w:rPr>
                  </w:pPr>
                  <w:r>
                    <w:rPr>
                      <w:rFonts w:hint="eastAsia"/>
                      <w:color w:val="auto"/>
                      <w:sz w:val="24"/>
                      <w:szCs w:val="22"/>
                      <w:u w:val="none"/>
                      <w:vertAlign w:val="baseline"/>
                      <w:lang w:val="en-US" w:eastAsia="zh-CN"/>
                    </w:rPr>
                    <w:t>2</w:t>
                  </w:r>
                </w:p>
              </w:tc>
              <w:tc>
                <w:tcPr>
                  <w:tcW w:w="1088" w:type="dxa"/>
                  <w:tcBorders>
                    <w:tl2br w:val="nil"/>
                    <w:tr2bl w:val="nil"/>
                  </w:tcBorders>
                  <w:noWrap w:val="0"/>
                  <w:vAlign w:val="center"/>
                </w:tcPr>
                <w:p w14:paraId="0C738B5E">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000000"/>
                      <w:sz w:val="21"/>
                      <w:szCs w:val="21"/>
                      <w:u w:val="none"/>
                      <w:lang w:val="en-US" w:eastAsia="zh-CN"/>
                    </w:rPr>
                  </w:pPr>
                  <w:r>
                    <w:rPr>
                      <w:rFonts w:hint="eastAsia"/>
                      <w:color w:val="000000"/>
                      <w:sz w:val="21"/>
                      <w:szCs w:val="21"/>
                      <w:u w:val="none"/>
                      <w:lang w:val="en-US" w:eastAsia="zh-CN"/>
                    </w:rPr>
                    <w:t>污水管线</w:t>
                  </w:r>
                </w:p>
              </w:tc>
              <w:tc>
                <w:tcPr>
                  <w:tcW w:w="1080" w:type="dxa"/>
                  <w:tcBorders>
                    <w:tl2br w:val="nil"/>
                    <w:tr2bl w:val="nil"/>
                  </w:tcBorders>
                  <w:noWrap w:val="0"/>
                  <w:vAlign w:val="center"/>
                </w:tcPr>
                <w:p w14:paraId="728A5F06">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一般</w:t>
                  </w:r>
                </w:p>
              </w:tc>
              <w:tc>
                <w:tcPr>
                  <w:tcW w:w="1608" w:type="dxa"/>
                  <w:vMerge w:val="continue"/>
                  <w:tcBorders>
                    <w:tl2br w:val="nil"/>
                    <w:tr2bl w:val="nil"/>
                  </w:tcBorders>
                  <w:noWrap w:val="0"/>
                  <w:vAlign w:val="center"/>
                </w:tcPr>
                <w:p w14:paraId="77B510DD">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both"/>
                    <w:textAlignment w:val="auto"/>
                    <w:rPr>
                      <w:color w:val="auto"/>
                      <w:sz w:val="24"/>
                      <w:szCs w:val="22"/>
                      <w:u w:val="none"/>
                      <w:vertAlign w:val="baseline"/>
                    </w:rPr>
                  </w:pPr>
                </w:p>
              </w:tc>
              <w:tc>
                <w:tcPr>
                  <w:tcW w:w="1036" w:type="dxa"/>
                  <w:vMerge w:val="continue"/>
                  <w:tcBorders>
                    <w:tl2br w:val="nil"/>
                    <w:tr2bl w:val="nil"/>
                  </w:tcBorders>
                  <w:noWrap w:val="0"/>
                  <w:vAlign w:val="center"/>
                </w:tcPr>
                <w:p w14:paraId="7DFB12E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color w:val="auto"/>
                      <w:sz w:val="24"/>
                      <w:szCs w:val="22"/>
                      <w:u w:val="none"/>
                      <w:vertAlign w:val="baseline"/>
                    </w:rPr>
                  </w:pPr>
                </w:p>
              </w:tc>
              <w:tc>
                <w:tcPr>
                  <w:tcW w:w="2456" w:type="dxa"/>
                  <w:vMerge w:val="continue"/>
                  <w:tcBorders>
                    <w:tl2br w:val="nil"/>
                    <w:tr2bl w:val="nil"/>
                  </w:tcBorders>
                  <w:noWrap w:val="0"/>
                  <w:vAlign w:val="center"/>
                </w:tcPr>
                <w:p w14:paraId="547DFAEC">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p>
              </w:tc>
            </w:tr>
            <w:tr w14:paraId="2DE2B7FC">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29" w:type="dxa"/>
                  <w:tcBorders>
                    <w:tl2br w:val="nil"/>
                    <w:tr2bl w:val="nil"/>
                  </w:tcBorders>
                  <w:noWrap w:val="0"/>
                  <w:vAlign w:val="center"/>
                </w:tcPr>
                <w:p w14:paraId="0FAE736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4"/>
                      <w:szCs w:val="22"/>
                      <w:u w:val="none"/>
                      <w:vertAlign w:val="baseline"/>
                      <w:lang w:val="en-US" w:eastAsia="zh-CN"/>
                    </w:rPr>
                  </w:pPr>
                  <w:r>
                    <w:rPr>
                      <w:rFonts w:hint="eastAsia"/>
                      <w:color w:val="auto"/>
                      <w:sz w:val="24"/>
                      <w:szCs w:val="22"/>
                      <w:u w:val="none"/>
                      <w:vertAlign w:val="baseline"/>
                      <w:lang w:val="en-US" w:eastAsia="zh-CN"/>
                    </w:rPr>
                    <w:t>3</w:t>
                  </w:r>
                </w:p>
              </w:tc>
              <w:tc>
                <w:tcPr>
                  <w:tcW w:w="1088" w:type="dxa"/>
                  <w:tcBorders>
                    <w:tl2br w:val="nil"/>
                    <w:tr2bl w:val="nil"/>
                  </w:tcBorders>
                  <w:noWrap w:val="0"/>
                  <w:vAlign w:val="center"/>
                </w:tcPr>
                <w:p w14:paraId="6EAFCA2B">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color w:val="000000"/>
                      <w:sz w:val="21"/>
                      <w:szCs w:val="21"/>
                      <w:u w:val="none"/>
                      <w:lang w:val="en-US" w:eastAsia="zh-CN"/>
                    </w:rPr>
                  </w:pPr>
                  <w:r>
                    <w:rPr>
                      <w:rFonts w:hint="eastAsia" w:cs="Times New Roman"/>
                      <w:color w:val="auto"/>
                      <w:kern w:val="0"/>
                      <w:sz w:val="21"/>
                      <w:szCs w:val="21"/>
                      <w:u w:val="none"/>
                      <w:lang w:val="en-US" w:eastAsia="zh-CN" w:bidi="ar-SA"/>
                    </w:rPr>
                    <w:t>危废间</w:t>
                  </w:r>
                </w:p>
              </w:tc>
              <w:tc>
                <w:tcPr>
                  <w:tcW w:w="1080" w:type="dxa"/>
                  <w:tcBorders>
                    <w:tl2br w:val="nil"/>
                    <w:tr2bl w:val="nil"/>
                  </w:tcBorders>
                  <w:noWrap w:val="0"/>
                  <w:vAlign w:val="center"/>
                </w:tcPr>
                <w:p w14:paraId="55F1094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一般</w:t>
                  </w:r>
                </w:p>
              </w:tc>
              <w:tc>
                <w:tcPr>
                  <w:tcW w:w="1608" w:type="dxa"/>
                  <w:vMerge w:val="continue"/>
                  <w:tcBorders>
                    <w:tl2br w:val="nil"/>
                    <w:tr2bl w:val="nil"/>
                  </w:tcBorders>
                  <w:noWrap w:val="0"/>
                  <w:vAlign w:val="center"/>
                </w:tcPr>
                <w:p w14:paraId="0AF05D47">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both"/>
                    <w:textAlignment w:val="auto"/>
                    <w:rPr>
                      <w:color w:val="auto"/>
                      <w:sz w:val="24"/>
                      <w:szCs w:val="22"/>
                      <w:u w:val="none"/>
                      <w:vertAlign w:val="baseline"/>
                    </w:rPr>
                  </w:pPr>
                </w:p>
              </w:tc>
              <w:tc>
                <w:tcPr>
                  <w:tcW w:w="1036" w:type="dxa"/>
                  <w:tcBorders>
                    <w:tl2br w:val="nil"/>
                    <w:tr2bl w:val="nil"/>
                  </w:tcBorders>
                  <w:noWrap w:val="0"/>
                  <w:vAlign w:val="center"/>
                </w:tcPr>
                <w:p w14:paraId="2D9BA8F2">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color w:val="auto"/>
                      <w:sz w:val="21"/>
                      <w:szCs w:val="21"/>
                      <w:u w:val="none"/>
                      <w:vertAlign w:val="baseline"/>
                      <w:lang w:val="en-US" w:eastAsia="zh-CN"/>
                    </w:rPr>
                  </w:pPr>
                  <w:r>
                    <w:rPr>
                      <w:rFonts w:hint="eastAsia"/>
                      <w:color w:val="auto"/>
                      <w:sz w:val="21"/>
                      <w:szCs w:val="21"/>
                      <w:u w:val="none"/>
                      <w:vertAlign w:val="baseline"/>
                      <w:lang w:val="en-US" w:eastAsia="zh-CN"/>
                    </w:rPr>
                    <w:t>重点防</w:t>
                  </w:r>
                </w:p>
                <w:p w14:paraId="13009F1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color w:val="auto"/>
                      <w:sz w:val="24"/>
                      <w:szCs w:val="22"/>
                      <w:u w:val="none"/>
                      <w:vertAlign w:val="baseline"/>
                    </w:rPr>
                  </w:pPr>
                  <w:r>
                    <w:rPr>
                      <w:rFonts w:hint="eastAsia"/>
                      <w:color w:val="auto"/>
                      <w:sz w:val="21"/>
                      <w:szCs w:val="21"/>
                      <w:u w:val="none"/>
                      <w:vertAlign w:val="baseline"/>
                      <w:lang w:val="en-US" w:eastAsia="zh-CN"/>
                    </w:rPr>
                    <w:t>渗区</w:t>
                  </w:r>
                </w:p>
              </w:tc>
              <w:tc>
                <w:tcPr>
                  <w:tcW w:w="2456" w:type="dxa"/>
                  <w:tcBorders>
                    <w:tl2br w:val="nil"/>
                    <w:tr2bl w:val="nil"/>
                  </w:tcBorders>
                  <w:noWrap w:val="0"/>
                  <w:vAlign w:val="center"/>
                </w:tcPr>
                <w:p w14:paraId="67707DDB">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采取</w:t>
                  </w:r>
                  <w:r>
                    <w:rPr>
                      <w:color w:val="000000"/>
                      <w:sz w:val="21"/>
                      <w:szCs w:val="21"/>
                      <w:u w:val="none"/>
                    </w:rPr>
                    <w:t>等效黏土防渗层Mb≥6.0m</w:t>
                  </w:r>
                  <w:r>
                    <w:rPr>
                      <w:rFonts w:hint="eastAsia"/>
                      <w:color w:val="000000"/>
                      <w:sz w:val="21"/>
                      <w:szCs w:val="21"/>
                      <w:u w:val="none"/>
                    </w:rPr>
                    <w:t>、</w:t>
                  </w:r>
                  <w:r>
                    <w:rPr>
                      <w:rFonts w:hint="eastAsia"/>
                      <w:color w:val="000000"/>
                      <w:kern w:val="0"/>
                      <w:sz w:val="21"/>
                      <w:szCs w:val="21"/>
                      <w:u w:val="none"/>
                      <w:lang w:val="zh-CN"/>
                    </w:rPr>
                    <w:t>K</w:t>
                  </w:r>
                  <w:r>
                    <w:rPr>
                      <w:color w:val="000000"/>
                      <w:kern w:val="0"/>
                      <w:sz w:val="21"/>
                      <w:szCs w:val="21"/>
                      <w:u w:val="none"/>
                      <w:lang w:val="zh-CN"/>
                    </w:rPr>
                    <w:t>≤</w:t>
                  </w:r>
                  <w:r>
                    <w:rPr>
                      <w:color w:val="000000"/>
                      <w:sz w:val="21"/>
                      <w:szCs w:val="21"/>
                      <w:u w:val="none"/>
                    </w:rPr>
                    <w:t>1×10</w:t>
                  </w:r>
                  <w:r>
                    <w:rPr>
                      <w:color w:val="000000"/>
                      <w:sz w:val="21"/>
                      <w:szCs w:val="21"/>
                      <w:u w:val="none"/>
                      <w:vertAlign w:val="superscript"/>
                    </w:rPr>
                    <w:t>-7</w:t>
                  </w:r>
                  <w:r>
                    <w:rPr>
                      <w:color w:val="000000"/>
                      <w:kern w:val="0"/>
                      <w:sz w:val="21"/>
                      <w:szCs w:val="21"/>
                      <w:u w:val="none"/>
                      <w:lang w:val="zh-CN"/>
                    </w:rPr>
                    <w:t>cm/s</w:t>
                  </w:r>
                  <w:r>
                    <w:rPr>
                      <w:rFonts w:hint="eastAsia" w:ascii="Times New Roman" w:hAnsi="Times New Roman" w:eastAsia="宋体" w:cs="Times New Roman"/>
                      <w:color w:val="auto"/>
                      <w:kern w:val="0"/>
                      <w:sz w:val="21"/>
                      <w:szCs w:val="21"/>
                      <w:u w:val="none"/>
                      <w:lang w:val="en-US" w:eastAsia="zh-CN" w:bidi="ar-SA"/>
                    </w:rPr>
                    <w:t xml:space="preserve"> 进行设计）</w:t>
                  </w:r>
                </w:p>
              </w:tc>
            </w:tr>
            <w:tr w14:paraId="64A4B79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29" w:type="dxa"/>
                  <w:tcBorders>
                    <w:tl2br w:val="nil"/>
                    <w:tr2bl w:val="nil"/>
                  </w:tcBorders>
                  <w:noWrap w:val="0"/>
                  <w:vAlign w:val="center"/>
                </w:tcPr>
                <w:p w14:paraId="438F5BC9">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4"/>
                      <w:szCs w:val="22"/>
                      <w:u w:val="none"/>
                      <w:vertAlign w:val="baseline"/>
                      <w:lang w:val="en-US" w:eastAsia="zh-CN"/>
                    </w:rPr>
                  </w:pPr>
                  <w:r>
                    <w:rPr>
                      <w:rFonts w:hint="eastAsia"/>
                      <w:color w:val="auto"/>
                      <w:sz w:val="24"/>
                      <w:szCs w:val="22"/>
                      <w:u w:val="none"/>
                      <w:vertAlign w:val="baseline"/>
                      <w:lang w:val="en-US" w:eastAsia="zh-CN"/>
                    </w:rPr>
                    <w:t>4</w:t>
                  </w:r>
                </w:p>
              </w:tc>
              <w:tc>
                <w:tcPr>
                  <w:tcW w:w="1088" w:type="dxa"/>
                  <w:tcBorders>
                    <w:tl2br w:val="nil"/>
                    <w:tr2bl w:val="nil"/>
                  </w:tcBorders>
                  <w:noWrap w:val="0"/>
                  <w:vAlign w:val="center"/>
                </w:tcPr>
                <w:p w14:paraId="41B6508A">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厂房内其他区域</w:t>
                  </w:r>
                </w:p>
              </w:tc>
              <w:tc>
                <w:tcPr>
                  <w:tcW w:w="1080" w:type="dxa"/>
                  <w:tcBorders>
                    <w:tl2br w:val="nil"/>
                    <w:tr2bl w:val="nil"/>
                  </w:tcBorders>
                  <w:noWrap w:val="0"/>
                  <w:vAlign w:val="center"/>
                </w:tcPr>
                <w:p w14:paraId="1789E391">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易</w:t>
                  </w:r>
                </w:p>
              </w:tc>
              <w:tc>
                <w:tcPr>
                  <w:tcW w:w="1608" w:type="dxa"/>
                  <w:tcBorders>
                    <w:tl2br w:val="nil"/>
                    <w:tr2bl w:val="nil"/>
                  </w:tcBorders>
                  <w:noWrap w:val="0"/>
                  <w:vAlign w:val="center"/>
                </w:tcPr>
                <w:p w14:paraId="0FC17EA8">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eastAsia="宋体"/>
                      <w:color w:val="auto"/>
                      <w:sz w:val="24"/>
                      <w:szCs w:val="22"/>
                      <w:u w:val="none"/>
                      <w:vertAlign w:val="baseline"/>
                      <w:lang w:val="en-US" w:eastAsia="zh-CN"/>
                    </w:rPr>
                  </w:pPr>
                  <w:r>
                    <w:rPr>
                      <w:rFonts w:hint="eastAsia"/>
                      <w:color w:val="auto"/>
                      <w:sz w:val="24"/>
                      <w:szCs w:val="22"/>
                      <w:u w:val="none"/>
                      <w:vertAlign w:val="baseline"/>
                      <w:lang w:val="en-US" w:eastAsia="zh-CN"/>
                    </w:rPr>
                    <w:t>/</w:t>
                  </w:r>
                </w:p>
              </w:tc>
              <w:tc>
                <w:tcPr>
                  <w:tcW w:w="1036" w:type="dxa"/>
                  <w:tcBorders>
                    <w:tl2br w:val="nil"/>
                    <w:tr2bl w:val="nil"/>
                  </w:tcBorders>
                  <w:noWrap w:val="0"/>
                  <w:vAlign w:val="center"/>
                </w:tcPr>
                <w:p w14:paraId="06993F74">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eastAsia"/>
                      <w:color w:val="auto"/>
                      <w:sz w:val="21"/>
                      <w:szCs w:val="21"/>
                      <w:u w:val="none"/>
                      <w:vertAlign w:val="baseline"/>
                      <w:lang w:val="en-US" w:eastAsia="zh-CN"/>
                    </w:rPr>
                  </w:pPr>
                  <w:r>
                    <w:rPr>
                      <w:rFonts w:hint="eastAsia"/>
                      <w:color w:val="auto"/>
                      <w:sz w:val="21"/>
                      <w:szCs w:val="21"/>
                      <w:u w:val="none"/>
                      <w:vertAlign w:val="baseline"/>
                      <w:lang w:val="en-US" w:eastAsia="zh-CN"/>
                    </w:rPr>
                    <w:t>简单防</w:t>
                  </w:r>
                </w:p>
                <w:p w14:paraId="641A8D5F">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eastAsia="宋体"/>
                      <w:color w:val="auto"/>
                      <w:sz w:val="24"/>
                      <w:szCs w:val="22"/>
                      <w:u w:val="none"/>
                      <w:vertAlign w:val="baseline"/>
                      <w:lang w:val="en-US" w:eastAsia="zh-CN"/>
                    </w:rPr>
                  </w:pPr>
                  <w:r>
                    <w:rPr>
                      <w:rFonts w:hint="eastAsia"/>
                      <w:color w:val="auto"/>
                      <w:sz w:val="21"/>
                      <w:szCs w:val="21"/>
                      <w:u w:val="none"/>
                      <w:vertAlign w:val="baseline"/>
                      <w:lang w:val="en-US" w:eastAsia="zh-CN"/>
                    </w:rPr>
                    <w:t>渗区</w:t>
                  </w:r>
                </w:p>
              </w:tc>
              <w:tc>
                <w:tcPr>
                  <w:tcW w:w="2456" w:type="dxa"/>
                  <w:tcBorders>
                    <w:tl2br w:val="nil"/>
                    <w:tr2bl w:val="nil"/>
                  </w:tcBorders>
                  <w:noWrap w:val="0"/>
                  <w:vAlign w:val="center"/>
                </w:tcPr>
                <w:p w14:paraId="00206990">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地面硬化</w:t>
                  </w:r>
                </w:p>
              </w:tc>
            </w:tr>
          </w:tbl>
          <w:p w14:paraId="47118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Times New Roman" w:hAnsi="Times New Roman" w:eastAsia="宋体" w:cs="Times New Roman"/>
                <w:b w:val="0"/>
                <w:bCs/>
                <w:color w:val="auto"/>
                <w:sz w:val="24"/>
                <w:u w:val="none"/>
              </w:rPr>
            </w:pPr>
            <w:r>
              <w:rPr>
                <w:rFonts w:hint="eastAsia" w:cs="Times New Roman"/>
                <w:b w:val="0"/>
                <w:bCs/>
                <w:color w:val="auto"/>
                <w:sz w:val="24"/>
                <w:u w:val="none"/>
                <w:lang w:val="en-US" w:eastAsia="zh-CN"/>
              </w:rPr>
              <w:t>5.3</w:t>
            </w:r>
            <w:r>
              <w:rPr>
                <w:rFonts w:hint="eastAsia" w:ascii="Times New Roman" w:hAnsi="Times New Roman" w:eastAsia="宋体" w:cs="Times New Roman"/>
                <w:b w:val="0"/>
                <w:bCs/>
                <w:color w:val="auto"/>
                <w:sz w:val="24"/>
                <w:u w:val="none"/>
              </w:rPr>
              <w:t>污染防控措施</w:t>
            </w:r>
          </w:p>
          <w:p w14:paraId="212A4157">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color w:val="000000"/>
                <w:kern w:val="0"/>
                <w:sz w:val="24"/>
                <w:u w:val="none"/>
                <w:lang w:val="zh-CN"/>
              </w:rPr>
            </w:pPr>
            <w:r>
              <w:rPr>
                <w:rFonts w:hint="eastAsia"/>
                <w:color w:val="000000"/>
                <w:kern w:val="0"/>
                <w:sz w:val="24"/>
                <w:u w:val="none"/>
                <w:lang w:val="zh-CN"/>
              </w:rPr>
              <w:t>本项目沉淀池防渗层损坏或污水</w:t>
            </w:r>
            <w:r>
              <w:rPr>
                <w:color w:val="000000"/>
                <w:kern w:val="0"/>
                <w:sz w:val="24"/>
                <w:u w:val="none"/>
                <w:lang w:val="zh-CN"/>
              </w:rPr>
              <w:t>管道</w:t>
            </w:r>
            <w:r>
              <w:rPr>
                <w:rFonts w:hint="eastAsia"/>
                <w:color w:val="000000"/>
                <w:kern w:val="0"/>
                <w:sz w:val="24"/>
                <w:u w:val="none"/>
                <w:lang w:val="en-US" w:eastAsia="zh-CN"/>
              </w:rPr>
              <w:t>出现破裂</w:t>
            </w:r>
            <w:r>
              <w:rPr>
                <w:color w:val="000000"/>
                <w:kern w:val="0"/>
                <w:sz w:val="24"/>
                <w:u w:val="none"/>
                <w:lang w:val="zh-CN"/>
              </w:rPr>
              <w:t>，便会造成废水泄露，在此情况下，废水外排进入环境，可能对自然水体、土壤的环境质量造成不良影响。另外，废水通过渗透进入地下水环境，可能会污染厂区和周边区域地下水。因此，</w:t>
            </w:r>
            <w:r>
              <w:rPr>
                <w:rFonts w:hint="eastAsia"/>
                <w:color w:val="000000"/>
                <w:kern w:val="0"/>
                <w:sz w:val="24"/>
                <w:u w:val="none"/>
                <w:lang w:val="zh-CN"/>
              </w:rPr>
              <w:t>项目</w:t>
            </w:r>
            <w:r>
              <w:rPr>
                <w:color w:val="000000"/>
                <w:kern w:val="0"/>
                <w:sz w:val="24"/>
                <w:u w:val="none"/>
                <w:lang w:val="zh-CN"/>
              </w:rPr>
              <w:t>应重点做好事故防范和应急措施，杜绝污水处理系统事故</w:t>
            </w:r>
            <w:r>
              <w:rPr>
                <w:rFonts w:hint="eastAsia"/>
                <w:color w:val="000000"/>
                <w:kern w:val="0"/>
                <w:sz w:val="24"/>
                <w:u w:val="none"/>
                <w:lang w:val="zh-CN"/>
              </w:rPr>
              <w:t>发生</w:t>
            </w:r>
            <w:r>
              <w:rPr>
                <w:color w:val="000000"/>
                <w:kern w:val="0"/>
                <w:sz w:val="24"/>
                <w:u w:val="none"/>
                <w:lang w:val="zh-CN"/>
              </w:rPr>
              <w:t>。</w:t>
            </w:r>
          </w:p>
          <w:p w14:paraId="16C0705B">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color w:val="000000"/>
                <w:kern w:val="0"/>
                <w:sz w:val="24"/>
                <w:u w:val="none"/>
                <w:lang w:val="zh-CN"/>
              </w:rPr>
            </w:pPr>
            <w:r>
              <w:rPr>
                <w:color w:val="000000"/>
                <w:kern w:val="0"/>
                <w:sz w:val="24"/>
                <w:u w:val="none"/>
                <w:lang w:val="zh-CN"/>
              </w:rPr>
              <w:t>根据项目可能泄漏至地面区域污染物的性质和生产单元的</w:t>
            </w:r>
            <w:r>
              <w:rPr>
                <w:rFonts w:hint="eastAsia"/>
                <w:color w:val="000000"/>
                <w:kern w:val="0"/>
                <w:sz w:val="24"/>
                <w:u w:val="none"/>
                <w:lang w:val="zh-CN"/>
              </w:rPr>
              <w:t>构筑</w:t>
            </w:r>
            <w:r>
              <w:rPr>
                <w:color w:val="000000"/>
                <w:kern w:val="0"/>
                <w:sz w:val="24"/>
                <w:u w:val="none"/>
                <w:lang w:val="zh-CN"/>
              </w:rPr>
              <w:t>方式</w:t>
            </w:r>
            <w:r>
              <w:rPr>
                <w:rFonts w:hint="eastAsia"/>
                <w:color w:val="000000"/>
                <w:kern w:val="0"/>
                <w:sz w:val="24"/>
                <w:u w:val="none"/>
                <w:lang w:val="zh-CN"/>
              </w:rPr>
              <w:t>，</w:t>
            </w:r>
            <w:r>
              <w:rPr>
                <w:rFonts w:hint="eastAsia"/>
                <w:bCs/>
                <w:color w:val="000000"/>
                <w:kern w:val="0"/>
                <w:sz w:val="24"/>
                <w:u w:val="none"/>
                <w:lang w:val="zh-CN"/>
              </w:rPr>
              <w:t>本项目</w:t>
            </w:r>
            <w:r>
              <w:rPr>
                <w:color w:val="000000"/>
                <w:kern w:val="0"/>
                <w:sz w:val="24"/>
                <w:u w:val="none"/>
                <w:lang w:val="zh-CN"/>
              </w:rPr>
              <w:t>采取分区防渗的措施：</w:t>
            </w:r>
          </w:p>
          <w:p w14:paraId="34BE6C76">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color w:val="000000"/>
                <w:kern w:val="0"/>
                <w:sz w:val="24"/>
                <w:u w:val="none"/>
                <w:lang w:val="zh-CN"/>
              </w:rPr>
            </w:pPr>
            <w:r>
              <w:rPr>
                <w:rFonts w:hint="eastAsia"/>
                <w:color w:val="000000"/>
                <w:kern w:val="0"/>
                <w:sz w:val="24"/>
                <w:u w:val="none"/>
                <w:lang w:val="en-US" w:eastAsia="zh-CN"/>
              </w:rPr>
              <w:t>①</w:t>
            </w:r>
            <w:r>
              <w:rPr>
                <w:rFonts w:hint="eastAsia"/>
                <w:color w:val="000000"/>
                <w:kern w:val="0"/>
                <w:sz w:val="24"/>
                <w:u w:val="none"/>
                <w:lang w:val="zh-CN"/>
              </w:rPr>
              <w:t>建设</w:t>
            </w:r>
            <w:r>
              <w:rPr>
                <w:rFonts w:hint="eastAsia"/>
                <w:color w:val="000000"/>
                <w:sz w:val="24"/>
                <w:u w:val="none"/>
                <w:lang w:val="en-US" w:eastAsia="zh-CN"/>
              </w:rPr>
              <w:t>项目中储存污水的</w:t>
            </w:r>
            <w:r>
              <w:rPr>
                <w:rFonts w:hint="eastAsia"/>
                <w:color w:val="000000"/>
                <w:sz w:val="24"/>
                <w:highlight w:val="none"/>
                <w:u w:val="none"/>
                <w:lang w:val="en-US" w:eastAsia="zh-CN"/>
              </w:rPr>
              <w:t>沉淀池和污水池以及污水管线</w:t>
            </w:r>
            <w:r>
              <w:rPr>
                <w:color w:val="000000"/>
                <w:kern w:val="0"/>
                <w:sz w:val="24"/>
                <w:u w:val="none"/>
                <w:lang w:val="zh-CN"/>
              </w:rPr>
              <w:t>为</w:t>
            </w:r>
            <w:r>
              <w:rPr>
                <w:rFonts w:hint="eastAsia"/>
                <w:color w:val="000000"/>
                <w:kern w:val="0"/>
                <w:sz w:val="24"/>
                <w:u w:val="none"/>
                <w:lang w:val="en-US" w:eastAsia="zh-CN"/>
              </w:rPr>
              <w:t>中等</w:t>
            </w:r>
            <w:r>
              <w:rPr>
                <w:color w:val="000000"/>
                <w:kern w:val="0"/>
                <w:sz w:val="24"/>
                <w:u w:val="none"/>
                <w:lang w:val="zh-CN"/>
              </w:rPr>
              <w:t>防渗区，采取严格防渗处理，</w:t>
            </w:r>
            <w:r>
              <w:rPr>
                <w:color w:val="000000"/>
                <w:sz w:val="24"/>
                <w:u w:val="none"/>
              </w:rPr>
              <w:t>等效黏土防渗层Mb≥</w:t>
            </w:r>
            <w:r>
              <w:rPr>
                <w:rFonts w:hint="eastAsia"/>
                <w:color w:val="000000"/>
                <w:sz w:val="24"/>
                <w:u w:val="none"/>
              </w:rPr>
              <w:t>1.5</w:t>
            </w:r>
            <w:r>
              <w:rPr>
                <w:color w:val="000000"/>
                <w:sz w:val="24"/>
                <w:u w:val="none"/>
              </w:rPr>
              <w:t>m</w:t>
            </w:r>
            <w:r>
              <w:rPr>
                <w:rFonts w:hint="eastAsia"/>
                <w:color w:val="000000"/>
                <w:sz w:val="24"/>
                <w:u w:val="none"/>
              </w:rPr>
              <w:t>、</w:t>
            </w:r>
            <w:r>
              <w:rPr>
                <w:rFonts w:hint="eastAsia"/>
                <w:color w:val="000000"/>
                <w:kern w:val="0"/>
                <w:sz w:val="24"/>
                <w:u w:val="none"/>
                <w:lang w:val="zh-CN"/>
              </w:rPr>
              <w:t>K</w:t>
            </w:r>
            <w:r>
              <w:rPr>
                <w:color w:val="000000"/>
                <w:kern w:val="0"/>
                <w:sz w:val="24"/>
                <w:u w:val="none"/>
                <w:lang w:val="zh-CN"/>
              </w:rPr>
              <w:t>≤</w:t>
            </w:r>
            <w:r>
              <w:rPr>
                <w:color w:val="000000"/>
                <w:sz w:val="24"/>
                <w:u w:val="none"/>
              </w:rPr>
              <w:t>1×10</w:t>
            </w:r>
            <w:r>
              <w:rPr>
                <w:color w:val="000000"/>
                <w:sz w:val="24"/>
                <w:u w:val="none"/>
                <w:vertAlign w:val="superscript"/>
              </w:rPr>
              <w:t>-7</w:t>
            </w:r>
            <w:r>
              <w:rPr>
                <w:color w:val="000000"/>
                <w:kern w:val="0"/>
                <w:sz w:val="24"/>
                <w:u w:val="none"/>
                <w:lang w:val="zh-CN"/>
              </w:rPr>
              <w:t>cm/s；</w:t>
            </w:r>
          </w:p>
          <w:p w14:paraId="57F668F6">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color w:val="000000"/>
                <w:kern w:val="0"/>
                <w:sz w:val="24"/>
                <w:u w:val="none"/>
                <w:lang w:val="zh-CN"/>
              </w:rPr>
            </w:pPr>
            <w:r>
              <w:rPr>
                <w:rFonts w:hint="eastAsia"/>
                <w:color w:val="000000"/>
                <w:kern w:val="0"/>
                <w:sz w:val="24"/>
                <w:u w:val="none"/>
                <w:lang w:val="en-US" w:eastAsia="zh-CN"/>
              </w:rPr>
              <w:t>②</w:t>
            </w:r>
            <w:r>
              <w:rPr>
                <w:rFonts w:hint="eastAsia"/>
                <w:color w:val="000000"/>
                <w:kern w:val="0"/>
                <w:sz w:val="24"/>
                <w:u w:val="none"/>
                <w:lang w:val="zh-CN"/>
              </w:rPr>
              <w:t>其他区域</w:t>
            </w:r>
            <w:r>
              <w:rPr>
                <w:color w:val="000000"/>
                <w:kern w:val="0"/>
                <w:sz w:val="24"/>
                <w:u w:val="none"/>
                <w:lang w:val="zh-CN"/>
              </w:rPr>
              <w:t>为简单防渗区，进行地面混凝土硬化即可。</w:t>
            </w:r>
          </w:p>
          <w:p w14:paraId="306CF7FF">
            <w:pPr>
              <w:keepNext w:val="0"/>
              <w:keepLines w:val="0"/>
              <w:pageBreakBefore w:val="0"/>
              <w:widowControl w:val="0"/>
              <w:kinsoku/>
              <w:wordWrap w:val="0"/>
              <w:overflowPunct/>
              <w:topLinePunct w:val="0"/>
              <w:autoSpaceDE w:val="0"/>
              <w:autoSpaceDN w:val="0"/>
              <w:bidi w:val="0"/>
              <w:adjustRightInd/>
              <w:snapToGrid/>
              <w:spacing w:line="500" w:lineRule="exact"/>
              <w:ind w:firstLine="480" w:firstLineChars="200"/>
              <w:textAlignment w:val="auto"/>
              <w:rPr>
                <w:color w:val="000000"/>
                <w:kern w:val="0"/>
                <w:sz w:val="24"/>
                <w:u w:val="none"/>
                <w:lang w:val="zh-CN"/>
              </w:rPr>
            </w:pPr>
            <w:r>
              <w:rPr>
                <w:rFonts w:hint="eastAsia"/>
                <w:color w:val="000000"/>
                <w:kern w:val="0"/>
                <w:sz w:val="24"/>
                <w:u w:val="none"/>
                <w:lang w:val="en-US" w:eastAsia="zh-CN"/>
              </w:rPr>
              <w:t>③危废间</w:t>
            </w:r>
            <w:r>
              <w:rPr>
                <w:rFonts w:hint="eastAsia"/>
                <w:color w:val="000000"/>
                <w:kern w:val="0"/>
                <w:sz w:val="24"/>
                <w:u w:val="none"/>
                <w:lang w:val="zh-CN"/>
              </w:rPr>
              <w:t>区域</w:t>
            </w:r>
            <w:r>
              <w:rPr>
                <w:color w:val="000000"/>
                <w:kern w:val="0"/>
                <w:sz w:val="24"/>
                <w:u w:val="none"/>
                <w:lang w:val="zh-CN"/>
              </w:rPr>
              <w:t>为</w:t>
            </w:r>
            <w:r>
              <w:rPr>
                <w:rFonts w:hint="eastAsia"/>
                <w:color w:val="000000"/>
                <w:kern w:val="0"/>
                <w:sz w:val="24"/>
                <w:u w:val="none"/>
                <w:lang w:val="en-US" w:eastAsia="zh-CN"/>
              </w:rPr>
              <w:t>重点</w:t>
            </w:r>
            <w:r>
              <w:rPr>
                <w:color w:val="000000"/>
                <w:kern w:val="0"/>
                <w:sz w:val="24"/>
                <w:u w:val="none"/>
                <w:lang w:val="zh-CN"/>
              </w:rPr>
              <w:t>防渗区，</w:t>
            </w:r>
            <w:r>
              <w:rPr>
                <w:rFonts w:hint="eastAsia" w:ascii="Times New Roman" w:hAnsi="Times New Roman" w:eastAsia="宋体" w:cs="Times New Roman"/>
                <w:color w:val="auto"/>
                <w:kern w:val="0"/>
                <w:sz w:val="24"/>
                <w:szCs w:val="24"/>
                <w:u w:val="none"/>
                <w:lang w:val="en-US" w:eastAsia="zh-CN" w:bidi="ar-SA"/>
              </w:rPr>
              <w:t>采取</w:t>
            </w:r>
            <w:r>
              <w:rPr>
                <w:color w:val="000000"/>
                <w:sz w:val="24"/>
                <w:szCs w:val="24"/>
                <w:u w:val="none"/>
              </w:rPr>
              <w:t>等效黏土防渗层Mb≥6.0m</w:t>
            </w:r>
            <w:r>
              <w:rPr>
                <w:rFonts w:hint="eastAsia"/>
                <w:color w:val="000000"/>
                <w:sz w:val="24"/>
                <w:szCs w:val="24"/>
                <w:u w:val="none"/>
              </w:rPr>
              <w:t>、</w:t>
            </w:r>
            <w:r>
              <w:rPr>
                <w:rFonts w:hint="eastAsia"/>
                <w:color w:val="000000"/>
                <w:kern w:val="0"/>
                <w:sz w:val="24"/>
                <w:szCs w:val="24"/>
                <w:u w:val="none"/>
                <w:lang w:val="zh-CN"/>
              </w:rPr>
              <w:t>K</w:t>
            </w:r>
            <w:r>
              <w:rPr>
                <w:color w:val="000000"/>
                <w:kern w:val="0"/>
                <w:sz w:val="24"/>
                <w:szCs w:val="24"/>
                <w:u w:val="none"/>
                <w:lang w:val="zh-CN"/>
              </w:rPr>
              <w:t>≤</w:t>
            </w:r>
            <w:r>
              <w:rPr>
                <w:color w:val="000000"/>
                <w:sz w:val="24"/>
                <w:szCs w:val="24"/>
                <w:u w:val="none"/>
              </w:rPr>
              <w:t>1×10</w:t>
            </w:r>
            <w:r>
              <w:rPr>
                <w:color w:val="000000"/>
                <w:sz w:val="24"/>
                <w:szCs w:val="24"/>
                <w:u w:val="none"/>
                <w:vertAlign w:val="superscript"/>
              </w:rPr>
              <w:t>-7</w:t>
            </w:r>
            <w:r>
              <w:rPr>
                <w:color w:val="000000"/>
                <w:kern w:val="0"/>
                <w:sz w:val="24"/>
                <w:szCs w:val="24"/>
                <w:u w:val="none"/>
                <w:lang w:val="zh-CN"/>
              </w:rPr>
              <w:t>cm/s</w:t>
            </w:r>
            <w:r>
              <w:rPr>
                <w:rFonts w:hint="eastAsia" w:ascii="Times New Roman" w:hAnsi="Times New Roman" w:eastAsia="宋体" w:cs="Times New Roman"/>
                <w:color w:val="auto"/>
                <w:kern w:val="0"/>
                <w:sz w:val="24"/>
                <w:szCs w:val="24"/>
                <w:u w:val="none"/>
                <w:lang w:val="en-US" w:eastAsia="zh-CN" w:bidi="ar-SA"/>
              </w:rPr>
              <w:t>进行设计</w:t>
            </w:r>
            <w:r>
              <w:rPr>
                <w:color w:val="000000"/>
                <w:kern w:val="0"/>
                <w:sz w:val="24"/>
                <w:u w:val="none"/>
                <w:lang w:val="zh-CN"/>
              </w:rPr>
              <w:t>。</w:t>
            </w:r>
          </w:p>
          <w:p w14:paraId="506D04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Times New Roman" w:hAnsi="Times New Roman" w:eastAsia="宋体" w:cs="Times New Roman"/>
                <w:bCs/>
                <w:color w:val="auto"/>
                <w:sz w:val="24"/>
                <w:u w:val="none"/>
              </w:rPr>
            </w:pPr>
            <w:r>
              <w:rPr>
                <w:rFonts w:hint="eastAsia" w:ascii="Times New Roman" w:hAnsi="Times New Roman" w:eastAsia="宋体" w:cs="Times New Roman"/>
                <w:bCs/>
                <w:color w:val="auto"/>
                <w:sz w:val="24"/>
                <w:u w:val="none"/>
              </w:rPr>
              <w:t>土壤污染防治贯彻“以防为主，治理为辅，防治结合”的理念，坚持源头控制、防止渗漏、污染监测和应急处理的主动防渗措施与被动防渗措施相结合的原则；治理措施（包括补救措施和修复计划）按照从简单到复杂，遵循技术实用可靠、经济合理、效果明显和目标相符的原则。针对项目可能发生的土壤污染，土壤污染防治措施采取“源头控制措施和分区防控措施”相结合。</w:t>
            </w:r>
          </w:p>
          <w:p w14:paraId="77D45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default" w:ascii="Times New Roman" w:hAnsi="Times New Roman" w:eastAsia="宋体" w:cs="Times New Roman"/>
                <w:bCs/>
                <w:color w:val="auto"/>
                <w:sz w:val="24"/>
                <w:u w:val="none"/>
                <w:lang w:val="en-US" w:eastAsia="zh-CN"/>
              </w:rPr>
            </w:pPr>
            <w:r>
              <w:rPr>
                <w:rFonts w:hint="eastAsia" w:ascii="Times New Roman" w:hAnsi="Times New Roman" w:eastAsia="宋体" w:cs="Times New Roman"/>
                <w:bCs/>
                <w:color w:val="auto"/>
                <w:sz w:val="24"/>
                <w:u w:val="none"/>
              </w:rPr>
              <w:t>（1）源头控制措施：项目应选择先进、成熟、可靠的工艺技术和较清洁的原辅材料，采用清洁生产审核等手段对生产全过程进行控制，并对产生的各类废物进行合理回用和治理，</w:t>
            </w:r>
            <w:r>
              <w:rPr>
                <w:rFonts w:hint="eastAsia" w:ascii="Times New Roman" w:hAnsi="Times New Roman" w:eastAsia="宋体" w:cs="Times New Roman"/>
                <w:bCs/>
                <w:color w:val="auto"/>
                <w:sz w:val="24"/>
                <w:u w:val="none"/>
                <w:lang w:val="en-US" w:eastAsia="zh-CN"/>
              </w:rPr>
              <w:t>尽</w:t>
            </w:r>
            <w:r>
              <w:rPr>
                <w:rFonts w:hint="eastAsia" w:ascii="Times New Roman" w:hAnsi="Times New Roman" w:eastAsia="宋体" w:cs="Times New Roman"/>
                <w:bCs/>
                <w:color w:val="auto"/>
                <w:sz w:val="24"/>
                <w:u w:val="none"/>
              </w:rPr>
              <w:t>可能从源头上减少污染物产生和排放，降低生产过程和末端治理成本。严格按照国家相关规范要求，对工艺、设备、仓库等采取相应措施，防止和降低污染物跑冒滴漏，将污染物泄漏环境风险事故降到最低程度。防渗工程设计使用年限不应低于设备、管线及建、构筑物的设计使用年限。</w:t>
            </w:r>
            <w:r>
              <w:rPr>
                <w:rFonts w:hint="eastAsia" w:ascii="Times New Roman" w:hAnsi="Times New Roman" w:eastAsia="宋体" w:cs="Times New Roman"/>
                <w:bCs/>
                <w:color w:val="auto"/>
                <w:sz w:val="24"/>
                <w:u w:val="none"/>
                <w:lang w:val="en-US" w:eastAsia="zh-CN"/>
              </w:rPr>
              <w:t>并在储存区配备足够吸附材料、灭火器等应急物资防止其泄漏事故发生。</w:t>
            </w:r>
          </w:p>
          <w:p w14:paraId="21F2D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cs="Times New Roman"/>
                <w:bCs/>
                <w:color w:val="auto"/>
                <w:sz w:val="24"/>
                <w:u w:val="none"/>
                <w:lang w:val="en-US" w:eastAsia="zh-CN"/>
              </w:rPr>
            </w:pPr>
            <w:r>
              <w:rPr>
                <w:rFonts w:hint="eastAsia" w:ascii="Times New Roman" w:hAnsi="Times New Roman" w:eastAsia="宋体" w:cs="Times New Roman"/>
                <w:bCs/>
                <w:color w:val="auto"/>
                <w:sz w:val="24"/>
                <w:u w:val="none"/>
              </w:rPr>
              <w:t>（2）分区防护</w:t>
            </w:r>
            <w:r>
              <w:rPr>
                <w:rFonts w:hint="eastAsia" w:ascii="Times New Roman" w:hAnsi="Times New Roman" w:eastAsia="宋体" w:cs="Times New Roman"/>
                <w:bCs/>
                <w:color w:val="auto"/>
                <w:sz w:val="24"/>
                <w:u w:val="none"/>
                <w:lang w:eastAsia="zh-CN"/>
              </w:rPr>
              <w:t>：</w:t>
            </w:r>
            <w:r>
              <w:rPr>
                <w:rFonts w:hint="eastAsia" w:ascii="Times New Roman" w:hAnsi="Times New Roman" w:eastAsia="宋体" w:cs="Times New Roman"/>
                <w:bCs/>
                <w:color w:val="auto"/>
                <w:sz w:val="24"/>
                <w:u w:val="none"/>
              </w:rPr>
              <w:t>根据本项目建设特点，本次环评参照《环境影响评价技术导则地下水环境》（HJ610-2016），对本项目进行</w:t>
            </w:r>
            <w:r>
              <w:rPr>
                <w:rFonts w:hint="eastAsia" w:cs="Times New Roman"/>
                <w:bCs/>
                <w:color w:val="auto"/>
                <w:sz w:val="24"/>
                <w:u w:val="none"/>
                <w:lang w:val="en-US" w:eastAsia="zh-CN"/>
              </w:rPr>
              <w:t>分区防渗。</w:t>
            </w:r>
          </w:p>
          <w:p w14:paraId="1314AC2A">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textAlignment w:val="auto"/>
              <w:rPr>
                <w:snapToGrid w:val="0"/>
                <w:color w:val="000000"/>
                <w:kern w:val="0"/>
                <w:sz w:val="24"/>
                <w:u w:val="none"/>
                <w:lang w:val="zh-CN"/>
              </w:rPr>
            </w:pPr>
            <w:r>
              <w:rPr>
                <w:rFonts w:hint="eastAsia" w:cs="Times New Roman"/>
                <w:b w:val="0"/>
                <w:bCs w:val="0"/>
                <w:color w:val="auto"/>
                <w:sz w:val="24"/>
                <w:u w:val="none"/>
                <w:lang w:val="en-US" w:eastAsia="zh-CN"/>
              </w:rPr>
              <w:t>在采取防渗措施前提下，本项目运营期基本不会对土壤和地下水造成污染</w:t>
            </w:r>
            <w:r>
              <w:rPr>
                <w:rFonts w:hint="eastAsia" w:cs="Times New Roman"/>
                <w:b w:val="0"/>
                <w:bCs w:val="0"/>
                <w:color w:val="auto"/>
                <w:sz w:val="24"/>
                <w:u w:val="none"/>
                <w:lang w:eastAsia="zh-CN"/>
              </w:rPr>
              <w:t>，</w:t>
            </w:r>
            <w:r>
              <w:rPr>
                <w:rFonts w:hint="eastAsia" w:cs="Times New Roman"/>
                <w:b w:val="0"/>
                <w:bCs w:val="0"/>
                <w:color w:val="auto"/>
                <w:sz w:val="24"/>
                <w:u w:val="none"/>
                <w:lang w:val="en-US" w:eastAsia="zh-CN"/>
              </w:rPr>
              <w:t>因此本项目对土壤和地下水环境影响在可接受范围之内。</w:t>
            </w:r>
          </w:p>
          <w:p w14:paraId="369D32F0">
            <w:pPr>
              <w:keepNext w:val="0"/>
              <w:keepLines w:val="0"/>
              <w:pageBreakBefore w:val="0"/>
              <w:widowControl w:val="0"/>
              <w:kinsoku/>
              <w:wordWrap/>
              <w:overflowPunct/>
              <w:topLinePunct w:val="0"/>
              <w:bidi w:val="0"/>
              <w:snapToGrid w:val="0"/>
              <w:spacing w:line="500" w:lineRule="exact"/>
              <w:ind w:firstLine="482" w:firstLineChars="200"/>
              <w:textAlignment w:val="auto"/>
              <w:rPr>
                <w:rFonts w:hint="default" w:eastAsia="宋体"/>
                <w:b/>
                <w:snapToGrid w:val="0"/>
                <w:color w:val="000000"/>
                <w:sz w:val="24"/>
                <w:u w:val="none"/>
                <w:lang w:val="en-US" w:eastAsia="zh-CN"/>
              </w:rPr>
            </w:pPr>
            <w:r>
              <w:rPr>
                <w:b/>
                <w:snapToGrid w:val="0"/>
                <w:color w:val="000000"/>
                <w:sz w:val="24"/>
                <w:u w:val="none"/>
              </w:rPr>
              <w:t>6</w:t>
            </w:r>
            <w:r>
              <w:rPr>
                <w:rFonts w:hAnsi="宋体"/>
                <w:b/>
                <w:snapToGrid w:val="0"/>
                <w:color w:val="000000"/>
                <w:sz w:val="24"/>
                <w:u w:val="none"/>
              </w:rPr>
              <w:t>、环境风险</w:t>
            </w:r>
            <w:r>
              <w:rPr>
                <w:rFonts w:hint="eastAsia" w:hAnsi="宋体"/>
                <w:b/>
                <w:snapToGrid w:val="0"/>
                <w:color w:val="000000"/>
                <w:sz w:val="24"/>
                <w:u w:val="none"/>
                <w:lang w:val="en-US" w:eastAsia="zh-CN"/>
              </w:rPr>
              <w:t>评价分析</w:t>
            </w:r>
          </w:p>
          <w:p w14:paraId="16D36C9F">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b w:val="0"/>
                <w:bCs/>
                <w:color w:val="000000"/>
                <w:kern w:val="0"/>
                <w:sz w:val="24"/>
                <w:u w:val="none"/>
              </w:rPr>
            </w:pPr>
            <w:r>
              <w:rPr>
                <w:b w:val="0"/>
                <w:bCs/>
                <w:color w:val="000000"/>
                <w:kern w:val="0"/>
                <w:sz w:val="24"/>
                <w:u w:val="none"/>
              </w:rPr>
              <w:t>6.1</w:t>
            </w:r>
            <w:r>
              <w:rPr>
                <w:rFonts w:hAnsi="宋体"/>
                <w:b w:val="0"/>
                <w:bCs/>
                <w:color w:val="000000"/>
                <w:kern w:val="0"/>
                <w:sz w:val="24"/>
                <w:u w:val="none"/>
              </w:rPr>
              <w:t>风险物质调查</w:t>
            </w:r>
          </w:p>
          <w:p w14:paraId="5372A399">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color w:val="000000"/>
                <w:kern w:val="0"/>
                <w:sz w:val="24"/>
                <w:u w:val="none"/>
              </w:rPr>
            </w:pPr>
            <w:r>
              <w:rPr>
                <w:rFonts w:hint="eastAsia"/>
                <w:color w:val="000000"/>
                <w:kern w:val="0"/>
                <w:sz w:val="24"/>
                <w:u w:val="none"/>
              </w:rPr>
              <w:t>（1）风险物质</w:t>
            </w:r>
            <w:r>
              <w:rPr>
                <w:color w:val="000000"/>
                <w:kern w:val="0"/>
                <w:sz w:val="24"/>
                <w:u w:val="none"/>
              </w:rPr>
              <w:t>及分布</w:t>
            </w:r>
          </w:p>
          <w:p w14:paraId="289F1A19">
            <w:pPr>
              <w:pStyle w:val="10"/>
              <w:keepNext w:val="0"/>
              <w:keepLines w:val="0"/>
              <w:pageBreakBefore w:val="0"/>
              <w:widowControl w:val="0"/>
              <w:kinsoku/>
              <w:wordWrap/>
              <w:overflowPunct/>
              <w:topLinePunct w:val="0"/>
              <w:bidi w:val="0"/>
              <w:snapToGrid w:val="0"/>
              <w:spacing w:after="0" w:line="500" w:lineRule="exact"/>
              <w:ind w:right="339" w:firstLine="480" w:firstLineChars="200"/>
              <w:jc w:val="both"/>
              <w:textAlignment w:val="auto"/>
              <w:rPr>
                <w:rFonts w:hint="default" w:ascii="Times New Roman" w:hAnsi="Times New Roman" w:eastAsia="宋体" w:cs="Times New Roman"/>
                <w:b w:val="0"/>
                <w:color w:val="auto"/>
                <w:kern w:val="2"/>
                <w:sz w:val="24"/>
                <w:szCs w:val="32"/>
                <w:u w:val="none"/>
                <w:lang w:val="en-US" w:eastAsia="zh-CN" w:bidi="ar-SA"/>
              </w:rPr>
            </w:pPr>
            <w:r>
              <w:rPr>
                <w:bCs/>
                <w:color w:val="000000"/>
                <w:kern w:val="0"/>
                <w:sz w:val="24"/>
                <w:u w:val="none"/>
              </w:rPr>
              <w:t>根据《建设项目环境风险评价技术导则》（HJ 169-2018）附录B，项目涉及的危险物质主要为</w:t>
            </w:r>
            <w:r>
              <w:rPr>
                <w:rFonts w:hint="eastAsia"/>
                <w:bCs/>
                <w:color w:val="000000"/>
                <w:kern w:val="0"/>
                <w:sz w:val="24"/>
                <w:u w:val="none"/>
                <w:lang w:val="en-US" w:eastAsia="zh-CN"/>
              </w:rPr>
              <w:t>天然气，天然气主要成分是甲烷</w:t>
            </w:r>
            <w:r>
              <w:rPr>
                <w:color w:val="000000"/>
                <w:kern w:val="0"/>
                <w:sz w:val="24"/>
                <w:u w:val="none"/>
                <w:lang w:val="zh-CN"/>
              </w:rPr>
              <w:t>。</w:t>
            </w:r>
            <w:r>
              <w:rPr>
                <w:rFonts w:hint="eastAsia" w:ascii="Times New Roman" w:hAnsi="Times New Roman" w:eastAsia="宋体" w:cs="Times New Roman"/>
                <w:b w:val="0"/>
                <w:color w:val="auto"/>
                <w:kern w:val="2"/>
                <w:sz w:val="24"/>
                <w:szCs w:val="32"/>
                <w:u w:val="none"/>
                <w:lang w:val="en-US" w:eastAsia="zh-CN" w:bidi="ar-SA"/>
              </w:rPr>
              <w:t>甲烷折纯量计算过程为：输送管道直径0.</w:t>
            </w:r>
            <w:r>
              <w:rPr>
                <w:rFonts w:hint="eastAsia" w:cs="Times New Roman"/>
                <w:b w:val="0"/>
                <w:color w:val="auto"/>
                <w:kern w:val="2"/>
                <w:sz w:val="24"/>
                <w:szCs w:val="32"/>
                <w:u w:val="none"/>
                <w:lang w:val="en-US" w:eastAsia="zh-CN" w:bidi="ar-SA"/>
              </w:rPr>
              <w:t>8</w:t>
            </w:r>
            <w:r>
              <w:rPr>
                <w:rFonts w:hint="eastAsia" w:ascii="Times New Roman" w:hAnsi="Times New Roman" w:eastAsia="宋体" w:cs="Times New Roman"/>
                <w:b w:val="0"/>
                <w:color w:val="auto"/>
                <w:kern w:val="2"/>
                <w:sz w:val="24"/>
                <w:szCs w:val="32"/>
                <w:u w:val="none"/>
                <w:lang w:val="en-US" w:eastAsia="zh-CN" w:bidi="ar-SA"/>
              </w:rPr>
              <w:t>m，长度</w:t>
            </w:r>
            <w:r>
              <w:rPr>
                <w:rFonts w:hint="eastAsia" w:cs="Times New Roman"/>
                <w:b w:val="0"/>
                <w:color w:val="auto"/>
                <w:kern w:val="2"/>
                <w:sz w:val="24"/>
                <w:szCs w:val="32"/>
                <w:u w:val="none"/>
                <w:lang w:val="en-US" w:eastAsia="zh-CN" w:bidi="ar-SA"/>
              </w:rPr>
              <w:t>约</w:t>
            </w:r>
            <w:r>
              <w:rPr>
                <w:rFonts w:hint="eastAsia" w:ascii="Times New Roman" w:hAnsi="Times New Roman" w:eastAsia="宋体" w:cs="Times New Roman"/>
                <w:b w:val="0"/>
                <w:color w:val="auto"/>
                <w:kern w:val="2"/>
                <w:sz w:val="24"/>
                <w:szCs w:val="32"/>
                <w:u w:val="none"/>
                <w:lang w:val="en-US" w:eastAsia="zh-CN" w:bidi="ar-SA"/>
              </w:rPr>
              <w:t>为3</w:t>
            </w:r>
            <w:r>
              <w:rPr>
                <w:rFonts w:hint="eastAsia" w:cs="Times New Roman"/>
                <w:b w:val="0"/>
                <w:color w:val="auto"/>
                <w:kern w:val="2"/>
                <w:sz w:val="24"/>
                <w:szCs w:val="32"/>
                <w:u w:val="none"/>
                <w:lang w:val="en-US" w:eastAsia="zh-CN" w:bidi="ar-SA"/>
              </w:rPr>
              <w:t>00</w:t>
            </w:r>
            <w:r>
              <w:rPr>
                <w:rFonts w:hint="eastAsia" w:ascii="Times New Roman" w:hAnsi="Times New Roman" w:eastAsia="宋体" w:cs="Times New Roman"/>
                <w:b w:val="0"/>
                <w:color w:val="auto"/>
                <w:kern w:val="2"/>
                <w:sz w:val="24"/>
                <w:szCs w:val="32"/>
                <w:u w:val="none"/>
                <w:lang w:val="en-US" w:eastAsia="zh-CN" w:bidi="ar-SA"/>
              </w:rPr>
              <w:t>米，</w:t>
            </w:r>
            <w:r>
              <w:rPr>
                <w:rFonts w:hint="eastAsia" w:cs="Times New Roman"/>
                <w:b w:val="0"/>
                <w:color w:val="auto"/>
                <w:kern w:val="2"/>
                <w:sz w:val="24"/>
                <w:szCs w:val="32"/>
                <w:u w:val="none"/>
                <w:lang w:val="en-US" w:eastAsia="zh-CN" w:bidi="ar-SA"/>
              </w:rPr>
              <w:t>天然气中甲烷占比在90%，</w:t>
            </w:r>
            <w:r>
              <w:rPr>
                <w:rFonts w:hint="eastAsia" w:ascii="Times New Roman" w:hAnsi="Times New Roman" w:eastAsia="宋体" w:cs="Times New Roman"/>
                <w:b w:val="0"/>
                <w:color w:val="auto"/>
                <w:kern w:val="2"/>
                <w:sz w:val="24"/>
                <w:szCs w:val="32"/>
                <w:u w:val="none"/>
                <w:lang w:val="en-US" w:eastAsia="zh-CN" w:bidi="ar-SA"/>
              </w:rPr>
              <w:t>则管道内</w:t>
            </w:r>
            <w:r>
              <w:rPr>
                <w:rFonts w:hint="eastAsia" w:cs="Times New Roman"/>
                <w:b w:val="0"/>
                <w:color w:val="auto"/>
                <w:kern w:val="2"/>
                <w:sz w:val="24"/>
                <w:szCs w:val="32"/>
                <w:u w:val="none"/>
                <w:lang w:val="en-US" w:eastAsia="zh-CN" w:bidi="ar-SA"/>
              </w:rPr>
              <w:t>折纯天然气</w:t>
            </w:r>
            <w:r>
              <w:rPr>
                <w:rFonts w:hint="eastAsia" w:ascii="Times New Roman" w:hAnsi="Times New Roman" w:eastAsia="宋体" w:cs="Times New Roman"/>
                <w:b w:val="0"/>
                <w:color w:val="auto"/>
                <w:kern w:val="2"/>
                <w:sz w:val="24"/>
                <w:szCs w:val="32"/>
                <w:u w:val="none"/>
                <w:lang w:val="en-US" w:eastAsia="zh-CN" w:bidi="ar-SA"/>
              </w:rPr>
              <w:t>存量为135.6m</w:t>
            </w:r>
            <w:r>
              <w:rPr>
                <w:rFonts w:hint="eastAsia" w:ascii="Times New Roman" w:hAnsi="Times New Roman" w:eastAsia="宋体" w:cs="Times New Roman"/>
                <w:b w:val="0"/>
                <w:color w:val="auto"/>
                <w:kern w:val="2"/>
                <w:sz w:val="24"/>
                <w:szCs w:val="32"/>
                <w:u w:val="none"/>
                <w:vertAlign w:val="superscript"/>
                <w:lang w:val="en-US" w:eastAsia="zh-CN" w:bidi="ar-SA"/>
              </w:rPr>
              <w:t>3</w:t>
            </w:r>
            <w:r>
              <w:rPr>
                <w:rFonts w:hint="eastAsia" w:ascii="Times New Roman" w:hAnsi="Times New Roman" w:eastAsia="宋体" w:cs="Times New Roman"/>
                <w:b w:val="0"/>
                <w:color w:val="auto"/>
                <w:kern w:val="2"/>
                <w:sz w:val="24"/>
                <w:szCs w:val="32"/>
                <w:u w:val="none"/>
                <w:lang w:val="en-US" w:eastAsia="zh-CN" w:bidi="ar-SA"/>
              </w:rPr>
              <w:t>，1m</w:t>
            </w:r>
            <w:r>
              <w:rPr>
                <w:rFonts w:hint="eastAsia" w:ascii="Times New Roman" w:hAnsi="Times New Roman" w:eastAsia="宋体" w:cs="Times New Roman"/>
                <w:b w:val="0"/>
                <w:color w:val="auto"/>
                <w:kern w:val="2"/>
                <w:sz w:val="24"/>
                <w:szCs w:val="32"/>
                <w:u w:val="none"/>
                <w:vertAlign w:val="superscript"/>
                <w:lang w:val="en-US" w:eastAsia="zh-CN" w:bidi="ar-SA"/>
              </w:rPr>
              <w:t>3</w:t>
            </w:r>
            <w:r>
              <w:rPr>
                <w:rFonts w:hint="eastAsia" w:ascii="Times New Roman" w:hAnsi="Times New Roman" w:eastAsia="宋体" w:cs="Times New Roman"/>
                <w:b w:val="0"/>
                <w:color w:val="auto"/>
                <w:kern w:val="2"/>
                <w:sz w:val="24"/>
                <w:szCs w:val="32"/>
                <w:u w:val="none"/>
                <w:lang w:val="en-US" w:eastAsia="zh-CN" w:bidi="ar-SA"/>
              </w:rPr>
              <w:t>甲烷约为0.7kg，则折纯甲烷量</w:t>
            </w:r>
            <w:r>
              <w:rPr>
                <w:rFonts w:hint="eastAsia" w:cs="Times New Roman"/>
                <w:b w:val="0"/>
                <w:color w:val="auto"/>
                <w:kern w:val="2"/>
                <w:sz w:val="24"/>
                <w:szCs w:val="32"/>
                <w:u w:val="none"/>
                <w:lang w:val="en-US" w:eastAsia="zh-CN" w:bidi="ar-SA"/>
              </w:rPr>
              <w:t>约</w:t>
            </w:r>
            <w:r>
              <w:rPr>
                <w:rFonts w:hint="eastAsia" w:ascii="Times New Roman" w:hAnsi="Times New Roman" w:eastAsia="宋体" w:cs="Times New Roman"/>
                <w:b w:val="0"/>
                <w:color w:val="auto"/>
                <w:kern w:val="2"/>
                <w:sz w:val="24"/>
                <w:szCs w:val="32"/>
                <w:u w:val="none"/>
                <w:lang w:val="en-US" w:eastAsia="zh-CN" w:bidi="ar-SA"/>
              </w:rPr>
              <w:t>为</w:t>
            </w:r>
            <w:r>
              <w:rPr>
                <w:rFonts w:hint="eastAsia" w:cs="Times New Roman"/>
                <w:b w:val="0"/>
                <w:color w:val="auto"/>
                <w:kern w:val="2"/>
                <w:sz w:val="24"/>
                <w:szCs w:val="32"/>
                <w:u w:val="none"/>
                <w:lang w:val="en-US" w:eastAsia="zh-CN" w:bidi="ar-SA"/>
              </w:rPr>
              <w:t>0.0949</w:t>
            </w:r>
            <w:r>
              <w:rPr>
                <w:rFonts w:hint="eastAsia" w:ascii="Times New Roman" w:hAnsi="Times New Roman" w:eastAsia="宋体" w:cs="Times New Roman"/>
                <w:b w:val="0"/>
                <w:color w:val="auto"/>
                <w:kern w:val="2"/>
                <w:sz w:val="24"/>
                <w:szCs w:val="32"/>
                <w:u w:val="none"/>
                <w:lang w:val="en-US" w:eastAsia="zh-CN" w:bidi="ar-SA"/>
              </w:rPr>
              <w:t>t。</w:t>
            </w:r>
          </w:p>
          <w:p w14:paraId="2090789D">
            <w:pPr>
              <w:keepNext w:val="0"/>
              <w:keepLines w:val="0"/>
              <w:pageBreakBefore w:val="0"/>
              <w:widowControl w:val="0"/>
              <w:kinsoku/>
              <w:wordWrap/>
              <w:overflowPunct/>
              <w:topLinePunct w:val="0"/>
              <w:bidi w:val="0"/>
              <w:adjustRightInd w:val="0"/>
              <w:snapToGrid w:val="0"/>
              <w:spacing w:line="500" w:lineRule="exact"/>
              <w:jc w:val="center"/>
              <w:textAlignment w:val="auto"/>
              <w:rPr>
                <w:rFonts w:eastAsia="黑体"/>
                <w:color w:val="000000"/>
                <w:sz w:val="24"/>
                <w:u w:val="none"/>
              </w:rPr>
            </w:pPr>
            <w:r>
              <w:rPr>
                <w:rFonts w:hint="eastAsia" w:eastAsia="黑体"/>
                <w:color w:val="000000"/>
                <w:sz w:val="24"/>
                <w:u w:val="none"/>
              </w:rPr>
              <w:t>表4-</w:t>
            </w:r>
            <w:r>
              <w:rPr>
                <w:rFonts w:hint="eastAsia" w:eastAsia="黑体"/>
                <w:color w:val="000000"/>
                <w:sz w:val="24"/>
                <w:u w:val="none"/>
                <w:lang w:val="en-US" w:eastAsia="zh-CN"/>
              </w:rPr>
              <w:t>17</w:t>
            </w:r>
            <w:r>
              <w:rPr>
                <w:rFonts w:hint="eastAsia" w:eastAsia="黑体"/>
                <w:color w:val="000000"/>
                <w:sz w:val="24"/>
                <w:u w:val="none"/>
              </w:rPr>
              <w:t xml:space="preserve"> 项目涉及危险物质物数量及分布</w:t>
            </w:r>
            <w:r>
              <w:rPr>
                <w:rFonts w:eastAsia="黑体"/>
                <w:color w:val="000000"/>
                <w:sz w:val="24"/>
                <w:u w:val="none"/>
              </w:rPr>
              <w:t>情况</w:t>
            </w:r>
            <w:r>
              <w:rPr>
                <w:rFonts w:hint="eastAsia" w:eastAsia="黑体"/>
                <w:color w:val="000000"/>
                <w:sz w:val="24"/>
                <w:u w:val="none"/>
              </w:rPr>
              <w:t>一览表</w:t>
            </w:r>
          </w:p>
          <w:tbl>
            <w:tblPr>
              <w:tblStyle w:val="21"/>
              <w:tblW w:w="78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542"/>
              <w:gridCol w:w="2553"/>
              <w:gridCol w:w="2804"/>
            </w:tblGrid>
            <w:tr w14:paraId="347BCE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7" w:hRule="atLeast"/>
                <w:jc w:val="center"/>
              </w:trPr>
              <w:tc>
                <w:tcPr>
                  <w:tcW w:w="2542" w:type="dxa"/>
                  <w:tcBorders>
                    <w:tl2br w:val="nil"/>
                    <w:tr2bl w:val="nil"/>
                  </w:tcBorders>
                  <w:noWrap w:val="0"/>
                  <w:vAlign w:val="center"/>
                </w:tcPr>
                <w:p w14:paraId="5510F480">
                  <w:pPr>
                    <w:adjustRightInd w:val="0"/>
                    <w:snapToGrid w:val="0"/>
                    <w:jc w:val="center"/>
                    <w:rPr>
                      <w:bCs/>
                      <w:color w:val="000000"/>
                      <w:kern w:val="0"/>
                      <w:szCs w:val="21"/>
                      <w:u w:val="none"/>
                    </w:rPr>
                  </w:pPr>
                  <w:r>
                    <w:rPr>
                      <w:bCs/>
                      <w:color w:val="000000"/>
                      <w:kern w:val="0"/>
                      <w:szCs w:val="21"/>
                      <w:u w:val="none"/>
                    </w:rPr>
                    <w:t>危险物质</w:t>
                  </w:r>
                </w:p>
              </w:tc>
              <w:tc>
                <w:tcPr>
                  <w:tcW w:w="2553" w:type="dxa"/>
                  <w:tcBorders>
                    <w:tl2br w:val="nil"/>
                    <w:tr2bl w:val="nil"/>
                  </w:tcBorders>
                  <w:noWrap w:val="0"/>
                  <w:vAlign w:val="center"/>
                </w:tcPr>
                <w:p w14:paraId="0CB650C1">
                  <w:pPr>
                    <w:adjustRightInd w:val="0"/>
                    <w:snapToGrid w:val="0"/>
                    <w:jc w:val="center"/>
                    <w:rPr>
                      <w:bCs/>
                      <w:color w:val="000000"/>
                      <w:kern w:val="0"/>
                      <w:szCs w:val="21"/>
                      <w:u w:val="none"/>
                    </w:rPr>
                  </w:pPr>
                  <w:r>
                    <w:rPr>
                      <w:rFonts w:hint="eastAsia" w:ascii="Times New Roman" w:hAnsi="Times New Roman" w:eastAsia="宋体" w:cs="Times New Roman"/>
                      <w:b w:val="0"/>
                      <w:bCs w:val="0"/>
                      <w:color w:val="auto"/>
                      <w:kern w:val="2"/>
                      <w:sz w:val="21"/>
                      <w:szCs w:val="21"/>
                      <w:u w:val="none"/>
                      <w:lang w:val="en-US" w:eastAsia="zh-CN" w:bidi="ar-SA"/>
                    </w:rPr>
                    <w:t>最大存储量(t)</w:t>
                  </w:r>
                </w:p>
              </w:tc>
              <w:tc>
                <w:tcPr>
                  <w:tcW w:w="2804" w:type="dxa"/>
                  <w:tcBorders>
                    <w:tl2br w:val="nil"/>
                    <w:tr2bl w:val="nil"/>
                  </w:tcBorders>
                  <w:noWrap w:val="0"/>
                  <w:vAlign w:val="center"/>
                </w:tcPr>
                <w:p w14:paraId="53D741C7">
                  <w:pPr>
                    <w:adjustRightInd w:val="0"/>
                    <w:snapToGrid w:val="0"/>
                    <w:jc w:val="center"/>
                    <w:rPr>
                      <w:bCs/>
                      <w:color w:val="000000"/>
                      <w:kern w:val="0"/>
                      <w:szCs w:val="21"/>
                      <w:u w:val="none"/>
                    </w:rPr>
                  </w:pPr>
                  <w:r>
                    <w:rPr>
                      <w:rFonts w:hint="eastAsia"/>
                      <w:bCs/>
                      <w:color w:val="000000"/>
                      <w:kern w:val="0"/>
                      <w:szCs w:val="21"/>
                      <w:u w:val="none"/>
                      <w:lang w:val="en-US" w:eastAsia="zh-CN"/>
                    </w:rPr>
                    <w:t>输送</w:t>
                  </w:r>
                  <w:r>
                    <w:rPr>
                      <w:bCs/>
                      <w:color w:val="000000"/>
                      <w:kern w:val="0"/>
                      <w:szCs w:val="21"/>
                      <w:u w:val="none"/>
                    </w:rPr>
                    <w:t>分布情况</w:t>
                  </w:r>
                </w:p>
              </w:tc>
            </w:tr>
            <w:tr w14:paraId="6D268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542" w:type="dxa"/>
                  <w:tcBorders>
                    <w:tl2br w:val="nil"/>
                    <w:tr2bl w:val="nil"/>
                  </w:tcBorders>
                  <w:noWrap w:val="0"/>
                  <w:vAlign w:val="center"/>
                </w:tcPr>
                <w:p w14:paraId="6437AF1A">
                  <w:pPr>
                    <w:adjustRightInd w:val="0"/>
                    <w:snapToGrid w:val="0"/>
                    <w:jc w:val="center"/>
                    <w:rPr>
                      <w:rFonts w:hint="default" w:eastAsia="宋体"/>
                      <w:bCs/>
                      <w:color w:val="000000"/>
                      <w:kern w:val="0"/>
                      <w:szCs w:val="21"/>
                      <w:highlight w:val="none"/>
                      <w:u w:val="none"/>
                      <w:lang w:val="en-US" w:eastAsia="zh-CN"/>
                    </w:rPr>
                  </w:pPr>
                  <w:r>
                    <w:rPr>
                      <w:rFonts w:hint="eastAsia"/>
                      <w:bCs/>
                      <w:color w:val="000000"/>
                      <w:kern w:val="0"/>
                      <w:szCs w:val="21"/>
                      <w:highlight w:val="none"/>
                      <w:u w:val="none"/>
                      <w:lang w:val="en-US" w:eastAsia="zh-CN"/>
                    </w:rPr>
                    <w:t>天然气</w:t>
                  </w:r>
                </w:p>
              </w:tc>
              <w:tc>
                <w:tcPr>
                  <w:tcW w:w="2553" w:type="dxa"/>
                  <w:tcBorders>
                    <w:tl2br w:val="nil"/>
                    <w:tr2bl w:val="nil"/>
                  </w:tcBorders>
                  <w:noWrap w:val="0"/>
                  <w:vAlign w:val="center"/>
                </w:tcPr>
                <w:p w14:paraId="551E6930">
                  <w:pPr>
                    <w:jc w:val="center"/>
                    <w:rPr>
                      <w:rFonts w:hint="default" w:eastAsia="宋体"/>
                      <w:color w:val="000000"/>
                      <w:szCs w:val="21"/>
                      <w:highlight w:val="none"/>
                      <w:u w:val="none"/>
                      <w:lang w:val="en-US" w:eastAsia="zh-CN"/>
                    </w:rPr>
                  </w:pPr>
                  <w:r>
                    <w:rPr>
                      <w:rFonts w:hint="eastAsia"/>
                      <w:color w:val="000000"/>
                      <w:szCs w:val="21"/>
                      <w:highlight w:val="none"/>
                      <w:u w:val="none"/>
                      <w:lang w:val="en-US" w:eastAsia="zh-CN"/>
                    </w:rPr>
                    <w:t>0.0949</w:t>
                  </w:r>
                </w:p>
              </w:tc>
              <w:tc>
                <w:tcPr>
                  <w:tcW w:w="2804" w:type="dxa"/>
                  <w:tcBorders>
                    <w:tl2br w:val="nil"/>
                    <w:tr2bl w:val="nil"/>
                  </w:tcBorders>
                  <w:noWrap w:val="0"/>
                  <w:vAlign w:val="center"/>
                </w:tcPr>
                <w:p w14:paraId="1802B7CD">
                  <w:pPr>
                    <w:adjustRightInd w:val="0"/>
                    <w:snapToGrid w:val="0"/>
                    <w:jc w:val="center"/>
                    <w:rPr>
                      <w:rFonts w:hint="default" w:eastAsia="宋体"/>
                      <w:bCs/>
                      <w:color w:val="000000"/>
                      <w:kern w:val="0"/>
                      <w:szCs w:val="21"/>
                      <w:u w:val="none"/>
                      <w:lang w:val="en-US" w:eastAsia="zh-CN"/>
                    </w:rPr>
                  </w:pPr>
                  <w:r>
                    <w:rPr>
                      <w:rFonts w:hint="eastAsia"/>
                      <w:bCs/>
                      <w:color w:val="000000"/>
                      <w:kern w:val="0"/>
                      <w:szCs w:val="21"/>
                      <w:u w:val="none"/>
                      <w:lang w:val="en-US" w:eastAsia="zh-CN"/>
                    </w:rPr>
                    <w:t>管道输送</w:t>
                  </w:r>
                </w:p>
              </w:tc>
            </w:tr>
          </w:tbl>
          <w:p w14:paraId="591ED09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s="宋体"/>
                <w:bCs/>
                <w:color w:val="000000"/>
                <w:kern w:val="0"/>
                <w:sz w:val="24"/>
                <w:u w:val="none"/>
              </w:rPr>
            </w:pPr>
            <w:r>
              <w:rPr>
                <w:rFonts w:hint="eastAsia" w:cs="宋体"/>
                <w:bCs/>
                <w:color w:val="000000"/>
                <w:kern w:val="0"/>
                <w:sz w:val="24"/>
                <w:u w:val="none"/>
              </w:rPr>
              <w:t>项目涉及危险物质的性质见下表。</w:t>
            </w:r>
          </w:p>
          <w:p w14:paraId="3F90D13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cs="宋体"/>
                <w:bCs/>
                <w:color w:val="000000"/>
                <w:kern w:val="0"/>
                <w:sz w:val="24"/>
                <w:u w:val="none"/>
              </w:rPr>
            </w:pPr>
            <w:r>
              <w:rPr>
                <w:rFonts w:hint="eastAsia" w:eastAsia="黑体"/>
                <w:color w:val="000000"/>
                <w:sz w:val="24"/>
                <w:u w:val="none"/>
              </w:rPr>
              <w:t>表4-</w:t>
            </w:r>
            <w:r>
              <w:rPr>
                <w:rFonts w:hint="eastAsia" w:eastAsia="黑体"/>
                <w:color w:val="000000"/>
                <w:sz w:val="24"/>
                <w:u w:val="none"/>
                <w:lang w:val="en-US" w:eastAsia="zh-CN"/>
              </w:rPr>
              <w:t xml:space="preserve">18 </w:t>
            </w:r>
            <w:r>
              <w:rPr>
                <w:rFonts w:hint="eastAsia" w:eastAsia="黑体"/>
                <w:color w:val="000000"/>
                <w:sz w:val="24"/>
                <w:u w:val="none"/>
              </w:rPr>
              <w:t>项目涉及危险物质物化性质一览表</w:t>
            </w:r>
          </w:p>
          <w:tbl>
            <w:tblPr>
              <w:tblStyle w:val="21"/>
              <w:tblW w:w="4844"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Layout w:type="fixed"/>
              <w:tblCellMar>
                <w:top w:w="28" w:type="dxa"/>
                <w:left w:w="108" w:type="dxa"/>
                <w:bottom w:w="28" w:type="dxa"/>
                <w:right w:w="108" w:type="dxa"/>
              </w:tblCellMar>
            </w:tblPr>
            <w:tblGrid>
              <w:gridCol w:w="1748"/>
              <w:gridCol w:w="2203"/>
              <w:gridCol w:w="1710"/>
              <w:gridCol w:w="2019"/>
            </w:tblGrid>
            <w:tr w14:paraId="239A85EF">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16" w:hRule="atLeast"/>
                <w:jc w:val="center"/>
              </w:trPr>
              <w:tc>
                <w:tcPr>
                  <w:tcW w:w="5000" w:type="pct"/>
                  <w:gridSpan w:val="4"/>
                  <w:tcBorders>
                    <w:tl2br w:val="nil"/>
                    <w:tr2bl w:val="nil"/>
                  </w:tcBorders>
                  <w:noWrap w:val="0"/>
                  <w:vAlign w:val="center"/>
                </w:tcPr>
                <w:p w14:paraId="68EF2451">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化学品名称</w:t>
                  </w:r>
                </w:p>
              </w:tc>
            </w:tr>
            <w:tr w14:paraId="5ECEEEB9">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11" w:hRule="atLeast"/>
                <w:jc w:val="center"/>
              </w:trPr>
              <w:tc>
                <w:tcPr>
                  <w:tcW w:w="1138" w:type="pct"/>
                  <w:tcBorders>
                    <w:tl2br w:val="nil"/>
                    <w:tr2bl w:val="nil"/>
                  </w:tcBorders>
                  <w:noWrap w:val="0"/>
                  <w:vAlign w:val="center"/>
                </w:tcPr>
                <w:p w14:paraId="25419CD5">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化学品中文名称</w:t>
                  </w:r>
                </w:p>
              </w:tc>
              <w:tc>
                <w:tcPr>
                  <w:tcW w:w="3861" w:type="pct"/>
                  <w:gridSpan w:val="3"/>
                  <w:tcBorders>
                    <w:tl2br w:val="nil"/>
                    <w:tr2bl w:val="nil"/>
                  </w:tcBorders>
                  <w:noWrap w:val="0"/>
                  <w:vAlign w:val="center"/>
                </w:tcPr>
                <w:p w14:paraId="24F7551B">
                  <w:pPr>
                    <w:keepNext w:val="0"/>
                    <w:keepLines w:val="0"/>
                    <w:pageBreakBefore w:val="0"/>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甲烷</w:t>
                  </w:r>
                </w:p>
              </w:tc>
            </w:tr>
            <w:tr w14:paraId="4D1CD738">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11" w:hRule="atLeast"/>
                <w:jc w:val="center"/>
              </w:trPr>
              <w:tc>
                <w:tcPr>
                  <w:tcW w:w="1138" w:type="pct"/>
                  <w:tcBorders>
                    <w:tl2br w:val="nil"/>
                    <w:tr2bl w:val="nil"/>
                  </w:tcBorders>
                  <w:noWrap w:val="0"/>
                  <w:vAlign w:val="center"/>
                </w:tcPr>
                <w:p w14:paraId="4E61A948">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CAS</w:t>
                  </w:r>
                </w:p>
              </w:tc>
              <w:tc>
                <w:tcPr>
                  <w:tcW w:w="3861" w:type="pct"/>
                  <w:gridSpan w:val="3"/>
                  <w:tcBorders>
                    <w:tl2br w:val="nil"/>
                    <w:tr2bl w:val="nil"/>
                  </w:tcBorders>
                  <w:noWrap w:val="0"/>
                  <w:vAlign w:val="center"/>
                </w:tcPr>
                <w:p w14:paraId="72120C7F">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lang w:val="en-US" w:eastAsia="zh-CN"/>
                    </w:rPr>
                  </w:pPr>
                  <w:r>
                    <w:rPr>
                      <w:rFonts w:hint="default" w:ascii="Times New Roman" w:hAnsi="Times New Roman" w:cs="Times New Roman"/>
                      <w:sz w:val="21"/>
                      <w:szCs w:val="21"/>
                    </w:rPr>
                    <w:t>8006-14-2</w:t>
                  </w:r>
                </w:p>
              </w:tc>
            </w:tr>
            <w:tr w14:paraId="54D1EC2D">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58" w:hRule="atLeast"/>
                <w:jc w:val="center"/>
              </w:trPr>
              <w:tc>
                <w:tcPr>
                  <w:tcW w:w="5000" w:type="pct"/>
                  <w:gridSpan w:val="4"/>
                  <w:tcBorders>
                    <w:tl2br w:val="nil"/>
                    <w:tr2bl w:val="nil"/>
                  </w:tcBorders>
                  <w:noWrap w:val="0"/>
                  <w:vAlign w:val="center"/>
                </w:tcPr>
                <w:p w14:paraId="7C07B39E">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危险性概述</w:t>
                  </w:r>
                </w:p>
              </w:tc>
            </w:tr>
            <w:tr w14:paraId="116117B2">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541" w:hRule="atLeast"/>
                <w:jc w:val="center"/>
              </w:trPr>
              <w:tc>
                <w:tcPr>
                  <w:tcW w:w="1138" w:type="pct"/>
                  <w:tcBorders>
                    <w:tl2br w:val="nil"/>
                    <w:tr2bl w:val="nil"/>
                  </w:tcBorders>
                  <w:noWrap w:val="0"/>
                  <w:vAlign w:val="center"/>
                </w:tcPr>
                <w:p w14:paraId="1196F345">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危险性类别</w:t>
                  </w:r>
                </w:p>
              </w:tc>
              <w:tc>
                <w:tcPr>
                  <w:tcW w:w="1434" w:type="pct"/>
                  <w:tcBorders>
                    <w:tl2br w:val="nil"/>
                    <w:tr2bl w:val="nil"/>
                  </w:tcBorders>
                  <w:noWrap w:val="0"/>
                  <w:vAlign w:val="center"/>
                </w:tcPr>
                <w:p w14:paraId="5F8583FE">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可燃</w:t>
                  </w:r>
                  <w:r>
                    <w:rPr>
                      <w:rFonts w:hint="default" w:ascii="Times New Roman" w:hAnsi="Times New Roman" w:cs="Times New Roman"/>
                      <w:color w:val="000000"/>
                      <w:sz w:val="21"/>
                      <w:szCs w:val="21"/>
                      <w:u w:val="none"/>
                    </w:rPr>
                    <w:t>液体</w:t>
                  </w:r>
                </w:p>
              </w:tc>
              <w:tc>
                <w:tcPr>
                  <w:tcW w:w="1113" w:type="pct"/>
                  <w:tcBorders>
                    <w:tl2br w:val="nil"/>
                    <w:tr2bl w:val="nil"/>
                  </w:tcBorders>
                  <w:noWrap w:val="0"/>
                  <w:vAlign w:val="center"/>
                </w:tcPr>
                <w:p w14:paraId="3F484120">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燃爆危险</w:t>
                  </w:r>
                </w:p>
              </w:tc>
              <w:tc>
                <w:tcPr>
                  <w:tcW w:w="1314" w:type="pct"/>
                  <w:tcBorders>
                    <w:tl2br w:val="nil"/>
                    <w:tr2bl w:val="nil"/>
                  </w:tcBorders>
                  <w:noWrap w:val="0"/>
                  <w:vAlign w:val="center"/>
                </w:tcPr>
                <w:p w14:paraId="5A71C0F2">
                  <w:pPr>
                    <w:keepNext w:val="0"/>
                    <w:keepLines w:val="0"/>
                    <w:pageBreakBefore w:val="0"/>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sz w:val="21"/>
                      <w:szCs w:val="21"/>
                    </w:rPr>
                    <w:t>易燃，遇热源或明火有燃烧爆炸危险。</w:t>
                  </w:r>
                </w:p>
              </w:tc>
            </w:tr>
            <w:tr w14:paraId="7387F002">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90" w:hRule="atLeast"/>
                <w:jc w:val="center"/>
              </w:trPr>
              <w:tc>
                <w:tcPr>
                  <w:tcW w:w="1138" w:type="pct"/>
                  <w:tcBorders>
                    <w:tl2br w:val="nil"/>
                    <w:tr2bl w:val="nil"/>
                  </w:tcBorders>
                  <w:noWrap w:val="0"/>
                  <w:vAlign w:val="center"/>
                </w:tcPr>
                <w:p w14:paraId="4C866EDD">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侵入途径</w:t>
                  </w:r>
                </w:p>
              </w:tc>
              <w:tc>
                <w:tcPr>
                  <w:tcW w:w="1434" w:type="pct"/>
                  <w:tcBorders>
                    <w:tl2br w:val="nil"/>
                    <w:tr2bl w:val="nil"/>
                  </w:tcBorders>
                  <w:noWrap w:val="0"/>
                  <w:vAlign w:val="center"/>
                </w:tcPr>
                <w:p w14:paraId="30AFD2BF">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皮肤、消化道、</w:t>
                  </w:r>
                </w:p>
                <w:p w14:paraId="5C8AE238">
                  <w:pPr>
                    <w:keepNext w:val="0"/>
                    <w:keepLines w:val="0"/>
                    <w:pageBreakBefore w:val="0"/>
                    <w:widowControl/>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rPr>
                    <w:t>呼吸道等</w:t>
                  </w:r>
                </w:p>
              </w:tc>
              <w:tc>
                <w:tcPr>
                  <w:tcW w:w="1113" w:type="pct"/>
                  <w:tcBorders>
                    <w:tl2br w:val="nil"/>
                    <w:tr2bl w:val="nil"/>
                  </w:tcBorders>
                  <w:noWrap w:val="0"/>
                  <w:vAlign w:val="center"/>
                </w:tcPr>
                <w:p w14:paraId="7C4667B8">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cs="Times New Roman"/>
                      <w:color w:val="000000"/>
                      <w:kern w:val="0"/>
                      <w:sz w:val="21"/>
                      <w:szCs w:val="21"/>
                      <w:u w:val="none"/>
                    </w:rPr>
                    <w:t>有害燃烧产物</w:t>
                  </w:r>
                </w:p>
              </w:tc>
              <w:tc>
                <w:tcPr>
                  <w:tcW w:w="1314" w:type="pct"/>
                  <w:tcBorders>
                    <w:tl2br w:val="nil"/>
                    <w:tr2bl w:val="nil"/>
                  </w:tcBorders>
                  <w:noWrap w:val="0"/>
                  <w:vAlign w:val="center"/>
                </w:tcPr>
                <w:p w14:paraId="544B522B">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CO、CO</w:t>
                  </w:r>
                  <w:r>
                    <w:rPr>
                      <w:rFonts w:hint="default" w:ascii="Times New Roman" w:hAnsi="Times New Roman" w:cs="Times New Roman"/>
                      <w:color w:val="000000"/>
                      <w:kern w:val="0"/>
                      <w:sz w:val="21"/>
                      <w:szCs w:val="21"/>
                      <w:u w:val="none"/>
                      <w:vertAlign w:val="subscript"/>
                    </w:rPr>
                    <w:t>2</w:t>
                  </w:r>
                </w:p>
              </w:tc>
            </w:tr>
            <w:tr w14:paraId="73488DD5">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44" w:hRule="atLeast"/>
                <w:jc w:val="center"/>
              </w:trPr>
              <w:tc>
                <w:tcPr>
                  <w:tcW w:w="1138" w:type="pct"/>
                  <w:tcBorders>
                    <w:tl2br w:val="nil"/>
                    <w:tr2bl w:val="nil"/>
                  </w:tcBorders>
                  <w:noWrap w:val="0"/>
                  <w:vAlign w:val="center"/>
                </w:tcPr>
                <w:p w14:paraId="7993F14B">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健康危害</w:t>
                  </w:r>
                </w:p>
              </w:tc>
              <w:tc>
                <w:tcPr>
                  <w:tcW w:w="3861" w:type="pct"/>
                  <w:gridSpan w:val="3"/>
                  <w:tcBorders>
                    <w:tl2br w:val="nil"/>
                    <w:tr2bl w:val="nil"/>
                  </w:tcBorders>
                  <w:noWrap w:val="0"/>
                  <w:vAlign w:val="center"/>
                </w:tcPr>
                <w:p w14:paraId="5B2AD1FE">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eastAsia="宋体" w:cs="Times New Roman"/>
                      <w:bCs/>
                      <w:color w:val="auto"/>
                      <w:kern w:val="0"/>
                      <w:sz w:val="21"/>
                      <w:szCs w:val="21"/>
                      <w:u w:val="none"/>
                      <w:lang w:val="en-US" w:eastAsia="zh-CN"/>
                    </w:rPr>
                    <w:t>浓度高时，使空气中氧含量明显降低，使人窒息。</w:t>
                  </w:r>
                </w:p>
              </w:tc>
            </w:tr>
            <w:tr w14:paraId="140BDB8C">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90" w:hRule="atLeast"/>
                <w:jc w:val="center"/>
              </w:trPr>
              <w:tc>
                <w:tcPr>
                  <w:tcW w:w="1138" w:type="pct"/>
                  <w:tcBorders>
                    <w:tl2br w:val="nil"/>
                    <w:tr2bl w:val="nil"/>
                  </w:tcBorders>
                  <w:noWrap w:val="0"/>
                  <w:vAlign w:val="center"/>
                </w:tcPr>
                <w:p w14:paraId="6B34921C">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危险特性</w:t>
                  </w:r>
                </w:p>
              </w:tc>
              <w:tc>
                <w:tcPr>
                  <w:tcW w:w="3861" w:type="pct"/>
                  <w:gridSpan w:val="3"/>
                  <w:tcBorders>
                    <w:tl2br w:val="nil"/>
                    <w:tr2bl w:val="nil"/>
                  </w:tcBorders>
                  <w:noWrap w:val="0"/>
                  <w:vAlign w:val="center"/>
                </w:tcPr>
                <w:p w14:paraId="1CEBEE74">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eastAsia="宋体" w:cs="Times New Roman"/>
                      <w:bCs/>
                      <w:color w:val="auto"/>
                      <w:kern w:val="0"/>
                      <w:sz w:val="21"/>
                      <w:szCs w:val="21"/>
                      <w:u w:val="none"/>
                      <w:lang w:val="en-US" w:eastAsia="zh-CN"/>
                    </w:rPr>
                    <w:t>易燃、与空气混合能形成爆炸性混合物，遇见明火和热源有燃烧爆炸的危险</w:t>
                  </w:r>
                </w:p>
              </w:tc>
            </w:tr>
            <w:tr w14:paraId="06FBAC06">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219" w:hRule="atLeast"/>
                <w:jc w:val="center"/>
              </w:trPr>
              <w:tc>
                <w:tcPr>
                  <w:tcW w:w="5000" w:type="pct"/>
                  <w:gridSpan w:val="4"/>
                  <w:tcBorders>
                    <w:tl2br w:val="nil"/>
                    <w:tr2bl w:val="nil"/>
                  </w:tcBorders>
                  <w:noWrap w:val="0"/>
                  <w:vAlign w:val="center"/>
                </w:tcPr>
                <w:p w14:paraId="75C50622">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理化性质</w:t>
                  </w:r>
                </w:p>
              </w:tc>
            </w:tr>
            <w:tr w14:paraId="758BD900">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66" w:hRule="atLeast"/>
                <w:jc w:val="center"/>
              </w:trPr>
              <w:tc>
                <w:tcPr>
                  <w:tcW w:w="1138" w:type="pct"/>
                  <w:tcBorders>
                    <w:tl2br w:val="nil"/>
                    <w:tr2bl w:val="nil"/>
                  </w:tcBorders>
                  <w:noWrap w:val="0"/>
                  <w:vAlign w:val="center"/>
                </w:tcPr>
                <w:p w14:paraId="55C7AB31">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闪</w:t>
                  </w:r>
                  <w:r>
                    <w:rPr>
                      <w:rFonts w:hint="default" w:ascii="Times New Roman" w:hAnsi="Times New Roman" w:cs="Times New Roman"/>
                      <w:color w:val="000000"/>
                      <w:sz w:val="21"/>
                      <w:szCs w:val="21"/>
                      <w:u w:val="none"/>
                    </w:rPr>
                    <w:t>点（℃）</w:t>
                  </w:r>
                </w:p>
              </w:tc>
              <w:tc>
                <w:tcPr>
                  <w:tcW w:w="1434" w:type="pct"/>
                  <w:tcBorders>
                    <w:tl2br w:val="nil"/>
                    <w:tr2bl w:val="nil"/>
                  </w:tcBorders>
                  <w:noWrap w:val="0"/>
                  <w:vAlign w:val="center"/>
                </w:tcPr>
                <w:p w14:paraId="40CD3D48">
                  <w:pPr>
                    <w:keepNext w:val="0"/>
                    <w:keepLines w:val="0"/>
                    <w:pageBreakBefore w:val="0"/>
                    <w:widowControl/>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-188</w:t>
                  </w:r>
                  <w:r>
                    <w:rPr>
                      <w:rFonts w:hint="default" w:ascii="Times New Roman" w:hAnsi="Times New Roman" w:cs="Times New Roman"/>
                      <w:color w:val="000000"/>
                      <w:sz w:val="21"/>
                      <w:szCs w:val="21"/>
                      <w:u w:val="none"/>
                    </w:rPr>
                    <w:t>℃</w:t>
                  </w:r>
                  <w:r>
                    <w:rPr>
                      <w:rFonts w:hint="default" w:ascii="Times New Roman" w:hAnsi="Times New Roman" w:cs="Times New Roman"/>
                      <w:color w:val="000000"/>
                      <w:sz w:val="21"/>
                      <w:szCs w:val="21"/>
                      <w:u w:val="none"/>
                      <w:lang w:val="en-US" w:eastAsia="zh-CN"/>
                    </w:rPr>
                    <w:t>左右</w:t>
                  </w:r>
                </w:p>
              </w:tc>
              <w:tc>
                <w:tcPr>
                  <w:tcW w:w="1113" w:type="pct"/>
                  <w:tcBorders>
                    <w:tl2br w:val="nil"/>
                    <w:tr2bl w:val="nil"/>
                  </w:tcBorders>
                  <w:noWrap w:val="0"/>
                  <w:vAlign w:val="center"/>
                </w:tcPr>
                <w:p w14:paraId="24D8620B">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相对密度（水=1）</w:t>
                  </w:r>
                </w:p>
              </w:tc>
              <w:tc>
                <w:tcPr>
                  <w:tcW w:w="1314" w:type="pct"/>
                  <w:tcBorders>
                    <w:tl2br w:val="nil"/>
                    <w:tr2bl w:val="nil"/>
                  </w:tcBorders>
                  <w:noWrap w:val="0"/>
                  <w:vAlign w:val="center"/>
                </w:tcPr>
                <w:p w14:paraId="4FD79285">
                  <w:pPr>
                    <w:keepNext w:val="0"/>
                    <w:keepLines w:val="0"/>
                    <w:pageBreakBefore w:val="0"/>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0.42</w:t>
                  </w:r>
                </w:p>
              </w:tc>
            </w:tr>
            <w:tr w14:paraId="629D7B54">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50" w:hRule="atLeast"/>
                <w:jc w:val="center"/>
              </w:trPr>
              <w:tc>
                <w:tcPr>
                  <w:tcW w:w="1138" w:type="pct"/>
                  <w:tcBorders>
                    <w:tl2br w:val="nil"/>
                    <w:tr2bl w:val="nil"/>
                  </w:tcBorders>
                  <w:noWrap w:val="0"/>
                  <w:vAlign w:val="center"/>
                </w:tcPr>
                <w:p w14:paraId="33DF3117">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沸点（℃）</w:t>
                  </w:r>
                </w:p>
              </w:tc>
              <w:tc>
                <w:tcPr>
                  <w:tcW w:w="1434" w:type="pct"/>
                  <w:tcBorders>
                    <w:tl2br w:val="nil"/>
                    <w:tr2bl w:val="nil"/>
                  </w:tcBorders>
                  <w:noWrap w:val="0"/>
                  <w:vAlign w:val="center"/>
                </w:tcPr>
                <w:p w14:paraId="12763948">
                  <w:pPr>
                    <w:keepNext w:val="0"/>
                    <w:keepLines w:val="0"/>
                    <w:pageBreakBefore w:val="0"/>
                    <w:widowControl/>
                    <w:kinsoku/>
                    <w:wordWrap/>
                    <w:overflowPunct/>
                    <w:topLinePunct w:val="0"/>
                    <w:bidi w:val="0"/>
                    <w:snapToGrid w:val="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-161.5</w:t>
                  </w:r>
                  <w:r>
                    <w:rPr>
                      <w:rFonts w:hint="default" w:ascii="Times New Roman" w:hAnsi="Times New Roman" w:cs="Times New Roman"/>
                      <w:color w:val="000000"/>
                      <w:sz w:val="21"/>
                      <w:szCs w:val="21"/>
                      <w:u w:val="none"/>
                    </w:rPr>
                    <w:t>℃</w:t>
                  </w:r>
                  <w:r>
                    <w:rPr>
                      <w:rFonts w:hint="default" w:ascii="Times New Roman" w:hAnsi="Times New Roman" w:cs="Times New Roman"/>
                      <w:color w:val="000000"/>
                      <w:sz w:val="21"/>
                      <w:szCs w:val="21"/>
                      <w:u w:val="none"/>
                      <w:lang w:val="en-US" w:eastAsia="zh-CN"/>
                    </w:rPr>
                    <w:t>左右</w:t>
                  </w:r>
                </w:p>
              </w:tc>
              <w:tc>
                <w:tcPr>
                  <w:tcW w:w="1113" w:type="pct"/>
                  <w:tcBorders>
                    <w:tl2br w:val="nil"/>
                    <w:tr2bl w:val="nil"/>
                  </w:tcBorders>
                  <w:noWrap w:val="0"/>
                  <w:vAlign w:val="center"/>
                </w:tcPr>
                <w:p w14:paraId="01303C4F">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外观及外形</w:t>
                  </w:r>
                </w:p>
              </w:tc>
              <w:tc>
                <w:tcPr>
                  <w:tcW w:w="1314" w:type="pct"/>
                  <w:tcBorders>
                    <w:tl2br w:val="nil"/>
                    <w:tr2bl w:val="nil"/>
                  </w:tcBorders>
                  <w:noWrap w:val="0"/>
                  <w:vAlign w:val="center"/>
                </w:tcPr>
                <w:p w14:paraId="7EA1F2AD">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sz w:val="21"/>
                      <w:szCs w:val="21"/>
                    </w:rPr>
                    <w:t>无色</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无臭</w:t>
                  </w:r>
                  <w:r>
                    <w:rPr>
                      <w:rFonts w:hint="default" w:ascii="Times New Roman" w:hAnsi="Times New Roman" w:cs="Times New Roman"/>
                      <w:sz w:val="21"/>
                      <w:szCs w:val="21"/>
                    </w:rPr>
                    <w:t>气体</w:t>
                  </w:r>
                </w:p>
              </w:tc>
            </w:tr>
            <w:tr w14:paraId="295C063D">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23" w:hRule="atLeast"/>
                <w:jc w:val="center"/>
              </w:trPr>
              <w:tc>
                <w:tcPr>
                  <w:tcW w:w="5000" w:type="pct"/>
                  <w:gridSpan w:val="4"/>
                  <w:tcBorders>
                    <w:tl2br w:val="nil"/>
                    <w:tr2bl w:val="nil"/>
                  </w:tcBorders>
                  <w:noWrap w:val="0"/>
                  <w:vAlign w:val="center"/>
                </w:tcPr>
                <w:p w14:paraId="3E1FC62B">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稳定性及化学活性</w:t>
                  </w:r>
                </w:p>
              </w:tc>
            </w:tr>
            <w:tr w14:paraId="58C7963E">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300" w:hRule="atLeast"/>
                <w:jc w:val="center"/>
              </w:trPr>
              <w:tc>
                <w:tcPr>
                  <w:tcW w:w="1138" w:type="pct"/>
                  <w:tcBorders>
                    <w:tl2br w:val="nil"/>
                    <w:tr2bl w:val="nil"/>
                  </w:tcBorders>
                  <w:noWrap w:val="0"/>
                  <w:vAlign w:val="center"/>
                </w:tcPr>
                <w:p w14:paraId="2146B47F">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cs="Times New Roman"/>
                      <w:color w:val="000000"/>
                      <w:kern w:val="0"/>
                      <w:sz w:val="21"/>
                      <w:szCs w:val="21"/>
                      <w:u w:val="none"/>
                    </w:rPr>
                    <w:t>稳定性</w:t>
                  </w:r>
                </w:p>
              </w:tc>
              <w:tc>
                <w:tcPr>
                  <w:tcW w:w="1434" w:type="pct"/>
                  <w:tcBorders>
                    <w:tl2br w:val="nil"/>
                    <w:tr2bl w:val="nil"/>
                  </w:tcBorders>
                  <w:noWrap w:val="0"/>
                  <w:vAlign w:val="center"/>
                </w:tcPr>
                <w:p w14:paraId="72BC4F89">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cs="Times New Roman"/>
                      <w:color w:val="000000"/>
                      <w:kern w:val="0"/>
                      <w:sz w:val="21"/>
                      <w:szCs w:val="21"/>
                      <w:u w:val="none"/>
                    </w:rPr>
                    <w:t>稳定</w:t>
                  </w:r>
                </w:p>
              </w:tc>
              <w:tc>
                <w:tcPr>
                  <w:tcW w:w="1113" w:type="pct"/>
                  <w:tcBorders>
                    <w:tl2br w:val="nil"/>
                    <w:tr2bl w:val="nil"/>
                  </w:tcBorders>
                  <w:noWrap w:val="0"/>
                  <w:vAlign w:val="center"/>
                </w:tcPr>
                <w:p w14:paraId="29C06DCA">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避免接触的条件</w:t>
                  </w:r>
                </w:p>
              </w:tc>
              <w:tc>
                <w:tcPr>
                  <w:tcW w:w="1314" w:type="pct"/>
                  <w:tcBorders>
                    <w:tl2br w:val="nil"/>
                    <w:tr2bl w:val="nil"/>
                  </w:tcBorders>
                  <w:noWrap w:val="0"/>
                  <w:vAlign w:val="center"/>
                </w:tcPr>
                <w:p w14:paraId="68B8FF31">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明火、高热</w:t>
                  </w:r>
                </w:p>
              </w:tc>
            </w:tr>
            <w:tr w14:paraId="3BC8DECC">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CellMar>
                  <w:top w:w="28" w:type="dxa"/>
                  <w:left w:w="108" w:type="dxa"/>
                  <w:bottom w:w="28" w:type="dxa"/>
                  <w:right w:w="108" w:type="dxa"/>
                </w:tblCellMar>
              </w:tblPrEx>
              <w:trPr>
                <w:trHeight w:val="524" w:hRule="atLeast"/>
                <w:jc w:val="center"/>
              </w:trPr>
              <w:tc>
                <w:tcPr>
                  <w:tcW w:w="1138" w:type="pct"/>
                  <w:tcBorders>
                    <w:tl2br w:val="nil"/>
                    <w:tr2bl w:val="nil"/>
                  </w:tcBorders>
                  <w:noWrap w:val="0"/>
                  <w:vAlign w:val="center"/>
                </w:tcPr>
                <w:p w14:paraId="5D863836">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cs="Times New Roman"/>
                      <w:color w:val="000000"/>
                      <w:kern w:val="0"/>
                      <w:sz w:val="21"/>
                      <w:szCs w:val="21"/>
                      <w:u w:val="none"/>
                    </w:rPr>
                    <w:t>禁配物</w:t>
                  </w:r>
                </w:p>
              </w:tc>
              <w:tc>
                <w:tcPr>
                  <w:tcW w:w="1434" w:type="pct"/>
                  <w:tcBorders>
                    <w:tl2br w:val="nil"/>
                    <w:tr2bl w:val="nil"/>
                  </w:tcBorders>
                  <w:noWrap w:val="0"/>
                  <w:vAlign w:val="center"/>
                </w:tcPr>
                <w:p w14:paraId="5A54729B">
                  <w:pPr>
                    <w:keepNext w:val="0"/>
                    <w:keepLines w:val="0"/>
                    <w:pageBreakBefore w:val="0"/>
                    <w:widowControl/>
                    <w:kinsoku/>
                    <w:wordWrap/>
                    <w:overflowPunct/>
                    <w:topLinePunct w:val="0"/>
                    <w:bidi w:val="0"/>
                    <w:snapToGrid w:val="0"/>
                    <w:jc w:val="center"/>
                    <w:textAlignment w:val="auto"/>
                    <w:rPr>
                      <w:rFonts w:hint="default" w:ascii="Times New Roman" w:hAnsi="Times New Roman" w:cs="Times New Roman"/>
                      <w:color w:val="000000"/>
                      <w:kern w:val="0"/>
                      <w:sz w:val="21"/>
                      <w:szCs w:val="21"/>
                      <w:u w:val="none"/>
                    </w:rPr>
                  </w:pPr>
                  <w:r>
                    <w:rPr>
                      <w:rFonts w:hint="default" w:ascii="Times New Roman" w:hAnsi="Times New Roman" w:cs="Times New Roman"/>
                      <w:sz w:val="21"/>
                      <w:szCs w:val="21"/>
                    </w:rPr>
                    <w:t>硝酸、浓硫酸、高锰酸钾、重铬酸盐等强氧化剂</w:t>
                  </w:r>
                </w:p>
              </w:tc>
              <w:tc>
                <w:tcPr>
                  <w:tcW w:w="1113" w:type="pct"/>
                  <w:tcBorders>
                    <w:tl2br w:val="nil"/>
                    <w:tr2bl w:val="nil"/>
                  </w:tcBorders>
                  <w:noWrap w:val="0"/>
                  <w:vAlign w:val="center"/>
                </w:tcPr>
                <w:p w14:paraId="12388B23">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聚合危害</w:t>
                  </w:r>
                </w:p>
              </w:tc>
              <w:tc>
                <w:tcPr>
                  <w:tcW w:w="1314" w:type="pct"/>
                  <w:tcBorders>
                    <w:tl2br w:val="nil"/>
                    <w:tr2bl w:val="nil"/>
                  </w:tcBorders>
                  <w:noWrap w:val="0"/>
                  <w:vAlign w:val="center"/>
                </w:tcPr>
                <w:p w14:paraId="00CA39BB">
                  <w:pPr>
                    <w:keepNext w:val="0"/>
                    <w:keepLines w:val="0"/>
                    <w:pageBreakBefore w:val="0"/>
                    <w:kinsoku/>
                    <w:wordWrap/>
                    <w:overflowPunct/>
                    <w:topLinePunct w:val="0"/>
                    <w:bidi w:val="0"/>
                    <w:snapToGrid w:val="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rPr>
                    <w:t>不聚合</w:t>
                  </w:r>
                </w:p>
              </w:tc>
            </w:tr>
          </w:tbl>
          <w:p w14:paraId="6B0F9A4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（2）</w:t>
            </w:r>
            <w:r>
              <w:rPr>
                <w:rFonts w:hint="eastAsia"/>
                <w:color w:val="000000"/>
                <w:sz w:val="24"/>
                <w:u w:val="none"/>
              </w:rPr>
              <w:t>危险物质数量</w:t>
            </w:r>
            <w:r>
              <w:rPr>
                <w:color w:val="000000"/>
                <w:sz w:val="24"/>
                <w:u w:val="none"/>
              </w:rPr>
              <w:t>与临界量比值（</w:t>
            </w:r>
            <w:r>
              <w:rPr>
                <w:rFonts w:hint="eastAsia"/>
                <w:color w:val="000000"/>
                <w:sz w:val="24"/>
                <w:u w:val="none"/>
              </w:rPr>
              <w:t>Q</w:t>
            </w:r>
            <w:r>
              <w:rPr>
                <w:color w:val="000000"/>
                <w:sz w:val="24"/>
                <w:u w:val="none"/>
              </w:rPr>
              <w:t>）</w:t>
            </w:r>
          </w:p>
          <w:p w14:paraId="59B474F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根据《建设项目环境风险评价技术导则》（HJ169-2018）中规定，计算所涉及的每种危险物质在厂界内的最大存在总量与其在附录B中对应临界量的比值Q。在不同厂区的同一种物质，按其在厂界内的最大存在总量计算。</w:t>
            </w:r>
          </w:p>
          <w:p w14:paraId="01C95F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当只涉及一种危险物质时，计算该物质的总量与其临界量比值，即为Q；</w:t>
            </w:r>
          </w:p>
          <w:p w14:paraId="5BCCE7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当存在多种危险物质时，则按下式计算物质总量与其临界量比值（Q）：</w:t>
            </w:r>
          </w:p>
          <w:p w14:paraId="0C81A00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Q=q</w:t>
            </w:r>
            <w:r>
              <w:rPr>
                <w:color w:val="000000"/>
                <w:sz w:val="24"/>
                <w:u w:val="none"/>
                <w:vertAlign w:val="subscript"/>
              </w:rPr>
              <w:t>1</w:t>
            </w:r>
            <w:r>
              <w:rPr>
                <w:color w:val="000000"/>
                <w:sz w:val="24"/>
                <w:u w:val="none"/>
              </w:rPr>
              <w:t>/Q</w:t>
            </w:r>
            <w:r>
              <w:rPr>
                <w:color w:val="000000"/>
                <w:sz w:val="24"/>
                <w:u w:val="none"/>
                <w:vertAlign w:val="subscript"/>
              </w:rPr>
              <w:t>1</w:t>
            </w:r>
            <w:r>
              <w:rPr>
                <w:color w:val="000000"/>
                <w:sz w:val="24"/>
                <w:u w:val="none"/>
              </w:rPr>
              <w:t xml:space="preserve"> + q</w:t>
            </w:r>
            <w:r>
              <w:rPr>
                <w:color w:val="000000"/>
                <w:sz w:val="24"/>
                <w:u w:val="none"/>
                <w:vertAlign w:val="subscript"/>
              </w:rPr>
              <w:t>2</w:t>
            </w:r>
            <w:r>
              <w:rPr>
                <w:color w:val="000000"/>
                <w:sz w:val="24"/>
                <w:u w:val="none"/>
              </w:rPr>
              <w:t>/Q</w:t>
            </w:r>
            <w:r>
              <w:rPr>
                <w:color w:val="000000"/>
                <w:sz w:val="24"/>
                <w:u w:val="none"/>
                <w:vertAlign w:val="subscript"/>
              </w:rPr>
              <w:t>2</w:t>
            </w:r>
            <w:r>
              <w:rPr>
                <w:color w:val="000000"/>
                <w:sz w:val="24"/>
                <w:u w:val="none"/>
              </w:rPr>
              <w:t xml:space="preserve"> + q</w:t>
            </w:r>
            <w:r>
              <w:rPr>
                <w:color w:val="000000"/>
                <w:sz w:val="24"/>
                <w:u w:val="none"/>
                <w:vertAlign w:val="subscript"/>
              </w:rPr>
              <w:t>3</w:t>
            </w:r>
            <w:r>
              <w:rPr>
                <w:color w:val="000000"/>
                <w:sz w:val="24"/>
                <w:u w:val="none"/>
              </w:rPr>
              <w:t>/Q</w:t>
            </w:r>
            <w:r>
              <w:rPr>
                <w:color w:val="000000"/>
                <w:sz w:val="24"/>
                <w:u w:val="none"/>
                <w:vertAlign w:val="subscript"/>
              </w:rPr>
              <w:t>3</w:t>
            </w:r>
            <w:r>
              <w:rPr>
                <w:color w:val="000000"/>
                <w:sz w:val="24"/>
                <w:u w:val="none"/>
              </w:rPr>
              <w:t>+…… + qn/Qn</w:t>
            </w:r>
          </w:p>
          <w:p w14:paraId="61D0C7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若计算结果大于或等于1，则定为重大危险源。</w:t>
            </w:r>
          </w:p>
          <w:p w14:paraId="3DFEDC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式中：q</w:t>
            </w:r>
            <w:r>
              <w:rPr>
                <w:color w:val="000000"/>
                <w:sz w:val="24"/>
                <w:u w:val="none"/>
                <w:vertAlign w:val="subscript"/>
              </w:rPr>
              <w:t>1</w:t>
            </w:r>
            <w:r>
              <w:rPr>
                <w:color w:val="000000"/>
                <w:sz w:val="24"/>
                <w:u w:val="none"/>
              </w:rPr>
              <w:t>，q</w:t>
            </w:r>
            <w:r>
              <w:rPr>
                <w:color w:val="000000"/>
                <w:sz w:val="24"/>
                <w:u w:val="none"/>
                <w:vertAlign w:val="subscript"/>
              </w:rPr>
              <w:t>2</w:t>
            </w:r>
            <w:r>
              <w:rPr>
                <w:color w:val="000000"/>
                <w:sz w:val="24"/>
                <w:u w:val="none"/>
              </w:rPr>
              <w:t>，……qn－每种危险物质实际存在量（吨）；</w:t>
            </w:r>
          </w:p>
          <w:p w14:paraId="71F42EA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Q</w:t>
            </w:r>
            <w:r>
              <w:rPr>
                <w:color w:val="000000"/>
                <w:sz w:val="24"/>
                <w:u w:val="none"/>
                <w:vertAlign w:val="subscript"/>
              </w:rPr>
              <w:t>1</w:t>
            </w:r>
            <w:r>
              <w:rPr>
                <w:color w:val="000000"/>
                <w:sz w:val="24"/>
                <w:u w:val="none"/>
              </w:rPr>
              <w:t>，Q</w:t>
            </w:r>
            <w:r>
              <w:rPr>
                <w:color w:val="000000"/>
                <w:sz w:val="24"/>
                <w:u w:val="none"/>
                <w:vertAlign w:val="subscript"/>
              </w:rPr>
              <w:t>2</w:t>
            </w:r>
            <w:r>
              <w:rPr>
                <w:color w:val="000000"/>
                <w:sz w:val="24"/>
                <w:u w:val="none"/>
              </w:rPr>
              <w:t>，……Qn－与各危险物质相对应的临界量（吨）。</w:t>
            </w:r>
          </w:p>
          <w:p w14:paraId="501C9B6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当Q＜1 时，该项目环境风险潜势为</w:t>
            </w:r>
            <w:r>
              <w:rPr>
                <w:rFonts w:hint="eastAsia" w:ascii="宋体" w:hAnsi="宋体" w:cs="宋体"/>
                <w:color w:val="000000"/>
                <w:sz w:val="24"/>
                <w:u w:val="none"/>
              </w:rPr>
              <w:t>Ⅰ</w:t>
            </w:r>
            <w:r>
              <w:rPr>
                <w:color w:val="000000"/>
                <w:sz w:val="24"/>
                <w:u w:val="none"/>
              </w:rPr>
              <w:t>。</w:t>
            </w:r>
          </w:p>
          <w:p w14:paraId="3A40CD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当Q≥1 时，将Q值划分为：（1）1≤Q＜10；（2）10≤Q＜100；（3）Q≥100。</w:t>
            </w:r>
          </w:p>
          <w:p w14:paraId="729935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000000"/>
                <w:sz w:val="24"/>
                <w:u w:val="none"/>
              </w:rPr>
            </w:pPr>
            <w:r>
              <w:rPr>
                <w:color w:val="000000"/>
                <w:sz w:val="24"/>
                <w:u w:val="none"/>
              </w:rPr>
              <w:t>对照《建设项目环境风险评价技术导则》（HJ169-2018）附录B里的临界量进行Q值计算。</w:t>
            </w:r>
          </w:p>
          <w:p w14:paraId="72FD93A7">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eastAsia="黑体"/>
                <w:color w:val="000000"/>
                <w:sz w:val="24"/>
                <w:u w:val="single"/>
              </w:rPr>
            </w:pPr>
            <w:r>
              <w:rPr>
                <w:rFonts w:eastAsia="黑体"/>
                <w:color w:val="000000"/>
                <w:sz w:val="24"/>
                <w:u w:val="none"/>
              </w:rPr>
              <w:t>表</w:t>
            </w:r>
            <w:r>
              <w:rPr>
                <w:rFonts w:hint="eastAsia" w:eastAsia="黑体"/>
                <w:color w:val="000000"/>
                <w:sz w:val="24"/>
                <w:u w:val="none"/>
              </w:rPr>
              <w:t>4-</w:t>
            </w:r>
            <w:r>
              <w:rPr>
                <w:rFonts w:hint="eastAsia" w:eastAsia="黑体"/>
                <w:color w:val="000000"/>
                <w:sz w:val="24"/>
                <w:u w:val="none"/>
                <w:lang w:val="en-US" w:eastAsia="zh-CN"/>
              </w:rPr>
              <w:t>19</w:t>
            </w:r>
            <w:r>
              <w:rPr>
                <w:rFonts w:hint="eastAsia" w:eastAsia="黑体"/>
                <w:color w:val="000000"/>
                <w:sz w:val="24"/>
                <w:u w:val="none"/>
              </w:rPr>
              <w:t xml:space="preserve"> 建设项目</w:t>
            </w:r>
            <w:r>
              <w:rPr>
                <w:rFonts w:eastAsia="黑体"/>
                <w:color w:val="000000"/>
                <w:sz w:val="24"/>
                <w:u w:val="none"/>
              </w:rPr>
              <w:t>Q</w:t>
            </w:r>
            <w:r>
              <w:rPr>
                <w:rFonts w:hint="eastAsia" w:eastAsia="黑体"/>
                <w:color w:val="000000"/>
                <w:sz w:val="24"/>
                <w:u w:val="none"/>
              </w:rPr>
              <w:t>值确定表</w:t>
            </w:r>
          </w:p>
          <w:tbl>
            <w:tblPr>
              <w:tblStyle w:val="21"/>
              <w:tblW w:w="79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5"/>
              <w:gridCol w:w="1124"/>
              <w:gridCol w:w="1169"/>
              <w:gridCol w:w="1436"/>
              <w:gridCol w:w="1564"/>
              <w:gridCol w:w="1769"/>
            </w:tblGrid>
            <w:tr w14:paraId="7DCBDE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6" w:hRule="atLeast"/>
                <w:jc w:val="center"/>
              </w:trPr>
              <w:tc>
                <w:tcPr>
                  <w:tcW w:w="915" w:type="dxa"/>
                  <w:tcBorders>
                    <w:tl2br w:val="nil"/>
                    <w:tr2bl w:val="nil"/>
                  </w:tcBorders>
                  <w:noWrap w:val="0"/>
                  <w:vAlign w:val="center"/>
                </w:tcPr>
                <w:p w14:paraId="2A8010F0">
                  <w:pPr>
                    <w:jc w:val="center"/>
                    <w:rPr>
                      <w:color w:val="000000"/>
                      <w:szCs w:val="21"/>
                      <w:u w:val="none"/>
                    </w:rPr>
                  </w:pPr>
                  <w:r>
                    <w:rPr>
                      <w:color w:val="000000"/>
                      <w:szCs w:val="21"/>
                      <w:u w:val="none"/>
                    </w:rPr>
                    <w:t>序号</w:t>
                  </w:r>
                </w:p>
              </w:tc>
              <w:tc>
                <w:tcPr>
                  <w:tcW w:w="1124" w:type="dxa"/>
                  <w:tcBorders>
                    <w:tl2br w:val="nil"/>
                    <w:tr2bl w:val="nil"/>
                  </w:tcBorders>
                  <w:noWrap w:val="0"/>
                  <w:vAlign w:val="center"/>
                </w:tcPr>
                <w:p w14:paraId="464F4EA3">
                  <w:pPr>
                    <w:jc w:val="center"/>
                    <w:rPr>
                      <w:color w:val="000000"/>
                      <w:szCs w:val="21"/>
                      <w:u w:val="none"/>
                    </w:rPr>
                  </w:pPr>
                  <w:r>
                    <w:rPr>
                      <w:color w:val="000000"/>
                      <w:szCs w:val="21"/>
                      <w:u w:val="none"/>
                    </w:rPr>
                    <w:t>危险物质</w:t>
                  </w:r>
                </w:p>
                <w:p w14:paraId="384F1E35">
                  <w:pPr>
                    <w:jc w:val="center"/>
                    <w:rPr>
                      <w:color w:val="000000"/>
                      <w:szCs w:val="21"/>
                      <w:u w:val="none"/>
                    </w:rPr>
                  </w:pPr>
                  <w:r>
                    <w:rPr>
                      <w:color w:val="000000"/>
                      <w:szCs w:val="21"/>
                      <w:u w:val="none"/>
                    </w:rPr>
                    <w:t>名称</w:t>
                  </w:r>
                </w:p>
              </w:tc>
              <w:tc>
                <w:tcPr>
                  <w:tcW w:w="1169" w:type="dxa"/>
                  <w:tcBorders>
                    <w:tl2br w:val="nil"/>
                    <w:tr2bl w:val="nil"/>
                  </w:tcBorders>
                  <w:noWrap w:val="0"/>
                  <w:vAlign w:val="center"/>
                </w:tcPr>
                <w:p w14:paraId="3981C665">
                  <w:pPr>
                    <w:jc w:val="center"/>
                    <w:rPr>
                      <w:color w:val="000000"/>
                      <w:szCs w:val="21"/>
                      <w:u w:val="none"/>
                    </w:rPr>
                  </w:pPr>
                  <w:r>
                    <w:rPr>
                      <w:color w:val="000000"/>
                      <w:szCs w:val="21"/>
                      <w:u w:val="none"/>
                    </w:rPr>
                    <w:t>CAS号</w:t>
                  </w:r>
                </w:p>
              </w:tc>
              <w:tc>
                <w:tcPr>
                  <w:tcW w:w="1436" w:type="dxa"/>
                  <w:tcBorders>
                    <w:tl2br w:val="nil"/>
                    <w:tr2bl w:val="nil"/>
                  </w:tcBorders>
                  <w:noWrap w:val="0"/>
                  <w:vAlign w:val="center"/>
                </w:tcPr>
                <w:p w14:paraId="23F415A0">
                  <w:pPr>
                    <w:jc w:val="center"/>
                    <w:rPr>
                      <w:color w:val="000000"/>
                      <w:szCs w:val="21"/>
                      <w:u w:val="none"/>
                    </w:rPr>
                  </w:pPr>
                  <w:r>
                    <w:rPr>
                      <w:color w:val="000000"/>
                      <w:szCs w:val="21"/>
                      <w:u w:val="none"/>
                    </w:rPr>
                    <w:t>最大储存</w:t>
                  </w:r>
                </w:p>
                <w:p w14:paraId="2EB4F929">
                  <w:pPr>
                    <w:jc w:val="center"/>
                    <w:rPr>
                      <w:color w:val="000000"/>
                      <w:szCs w:val="21"/>
                      <w:u w:val="none"/>
                    </w:rPr>
                  </w:pPr>
                  <w:r>
                    <w:rPr>
                      <w:color w:val="000000"/>
                      <w:szCs w:val="21"/>
                      <w:u w:val="none"/>
                    </w:rPr>
                    <w:t>量qn/t</w:t>
                  </w:r>
                </w:p>
              </w:tc>
              <w:tc>
                <w:tcPr>
                  <w:tcW w:w="1564" w:type="dxa"/>
                  <w:tcBorders>
                    <w:tl2br w:val="nil"/>
                    <w:tr2bl w:val="nil"/>
                  </w:tcBorders>
                  <w:noWrap w:val="0"/>
                  <w:vAlign w:val="center"/>
                </w:tcPr>
                <w:p w14:paraId="3589560B">
                  <w:pPr>
                    <w:jc w:val="center"/>
                    <w:rPr>
                      <w:color w:val="000000"/>
                      <w:szCs w:val="21"/>
                      <w:u w:val="none"/>
                    </w:rPr>
                  </w:pPr>
                  <w:r>
                    <w:rPr>
                      <w:color w:val="000000"/>
                      <w:szCs w:val="21"/>
                      <w:u w:val="none"/>
                    </w:rPr>
                    <w:t>临界量Qn/t</w:t>
                  </w:r>
                </w:p>
              </w:tc>
              <w:tc>
                <w:tcPr>
                  <w:tcW w:w="1769" w:type="dxa"/>
                  <w:tcBorders>
                    <w:tl2br w:val="nil"/>
                    <w:tr2bl w:val="nil"/>
                  </w:tcBorders>
                  <w:noWrap w:val="0"/>
                  <w:vAlign w:val="center"/>
                </w:tcPr>
                <w:p w14:paraId="2706F76B">
                  <w:pPr>
                    <w:jc w:val="center"/>
                    <w:rPr>
                      <w:color w:val="000000"/>
                      <w:szCs w:val="21"/>
                      <w:u w:val="none"/>
                    </w:rPr>
                  </w:pPr>
                  <w:r>
                    <w:rPr>
                      <w:color w:val="000000"/>
                      <w:szCs w:val="21"/>
                      <w:u w:val="none"/>
                    </w:rPr>
                    <w:t>该种危险</w:t>
                  </w:r>
                </w:p>
                <w:p w14:paraId="4DF467B9">
                  <w:pPr>
                    <w:jc w:val="center"/>
                    <w:rPr>
                      <w:color w:val="000000"/>
                      <w:szCs w:val="21"/>
                      <w:u w:val="none"/>
                    </w:rPr>
                  </w:pPr>
                  <w:r>
                    <w:rPr>
                      <w:color w:val="000000"/>
                      <w:szCs w:val="21"/>
                      <w:u w:val="none"/>
                    </w:rPr>
                    <w:t>物质Q值</w:t>
                  </w:r>
                </w:p>
              </w:tc>
            </w:tr>
            <w:tr w14:paraId="50F236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vAlign w:val="center"/>
                </w:tcPr>
                <w:p w14:paraId="54112173">
                  <w:pPr>
                    <w:jc w:val="center"/>
                    <w:rPr>
                      <w:color w:val="000000"/>
                      <w:szCs w:val="21"/>
                      <w:u w:val="none"/>
                    </w:rPr>
                  </w:pPr>
                  <w:r>
                    <w:rPr>
                      <w:color w:val="000000"/>
                      <w:szCs w:val="21"/>
                      <w:u w:val="none"/>
                    </w:rPr>
                    <w:t>1</w:t>
                  </w:r>
                </w:p>
              </w:tc>
              <w:tc>
                <w:tcPr>
                  <w:tcW w:w="1124" w:type="dxa"/>
                  <w:tcBorders>
                    <w:tl2br w:val="nil"/>
                    <w:tr2bl w:val="nil"/>
                  </w:tcBorders>
                  <w:noWrap w:val="0"/>
                  <w:vAlign w:val="center"/>
                </w:tcPr>
                <w:p w14:paraId="7B42BBC7">
                  <w:pPr>
                    <w:jc w:val="center"/>
                    <w:rPr>
                      <w:rFonts w:hint="default" w:eastAsia="宋体"/>
                      <w:color w:val="000000"/>
                      <w:szCs w:val="21"/>
                      <w:u w:val="none"/>
                      <w:lang w:val="en-US" w:eastAsia="zh-CN"/>
                    </w:rPr>
                  </w:pPr>
                  <w:r>
                    <w:rPr>
                      <w:rFonts w:hint="eastAsia"/>
                      <w:color w:val="000000"/>
                      <w:szCs w:val="21"/>
                      <w:u w:val="none"/>
                      <w:lang w:val="en-US" w:eastAsia="zh-CN"/>
                    </w:rPr>
                    <w:t>甲烷</w:t>
                  </w:r>
                </w:p>
              </w:tc>
              <w:tc>
                <w:tcPr>
                  <w:tcW w:w="1169" w:type="dxa"/>
                  <w:tcBorders>
                    <w:tl2br w:val="nil"/>
                    <w:tr2bl w:val="nil"/>
                  </w:tcBorders>
                  <w:noWrap w:val="0"/>
                  <w:vAlign w:val="center"/>
                </w:tcPr>
                <w:p w14:paraId="7338FC1B">
                  <w:pPr>
                    <w:jc w:val="center"/>
                    <w:rPr>
                      <w:color w:val="000000"/>
                      <w:szCs w:val="21"/>
                      <w:u w:val="none"/>
                    </w:rPr>
                  </w:pPr>
                  <w:r>
                    <w:rPr>
                      <w:rFonts w:hint="default" w:ascii="Times New Roman" w:hAnsi="Times New Roman" w:cs="Times New Roman"/>
                      <w:sz w:val="21"/>
                      <w:szCs w:val="21"/>
                    </w:rPr>
                    <w:t>8006-14-2</w:t>
                  </w:r>
                </w:p>
              </w:tc>
              <w:tc>
                <w:tcPr>
                  <w:tcW w:w="1436" w:type="dxa"/>
                  <w:tcBorders>
                    <w:tl2br w:val="nil"/>
                    <w:tr2bl w:val="nil"/>
                  </w:tcBorders>
                  <w:noWrap w:val="0"/>
                  <w:vAlign w:val="center"/>
                </w:tcPr>
                <w:p w14:paraId="2AD9FC9C">
                  <w:pPr>
                    <w:jc w:val="center"/>
                    <w:rPr>
                      <w:rFonts w:hint="default" w:eastAsia="宋体"/>
                      <w:color w:val="000000"/>
                      <w:szCs w:val="21"/>
                      <w:u w:val="none"/>
                      <w:lang w:val="en-US" w:eastAsia="zh-CN"/>
                    </w:rPr>
                  </w:pPr>
                  <w:r>
                    <w:rPr>
                      <w:rFonts w:hint="eastAsia"/>
                      <w:color w:val="000000"/>
                      <w:szCs w:val="21"/>
                      <w:u w:val="none"/>
                      <w:lang w:val="en-US" w:eastAsia="zh-CN"/>
                    </w:rPr>
                    <w:t>0.0949</w:t>
                  </w:r>
                </w:p>
              </w:tc>
              <w:tc>
                <w:tcPr>
                  <w:tcW w:w="1564" w:type="dxa"/>
                  <w:tcBorders>
                    <w:tl2br w:val="nil"/>
                    <w:tr2bl w:val="nil"/>
                  </w:tcBorders>
                  <w:noWrap w:val="0"/>
                  <w:vAlign w:val="center"/>
                </w:tcPr>
                <w:p w14:paraId="5712AAEE">
                  <w:pPr>
                    <w:jc w:val="center"/>
                    <w:rPr>
                      <w:rFonts w:hint="default" w:eastAsia="宋体"/>
                      <w:color w:val="000000"/>
                      <w:szCs w:val="21"/>
                      <w:u w:val="none"/>
                      <w:lang w:val="en-US" w:eastAsia="zh-CN"/>
                    </w:rPr>
                  </w:pPr>
                  <w:r>
                    <w:rPr>
                      <w:rFonts w:hint="eastAsia"/>
                      <w:color w:val="000000"/>
                      <w:szCs w:val="21"/>
                      <w:u w:val="none"/>
                      <w:lang w:val="en-US" w:eastAsia="zh-CN"/>
                    </w:rPr>
                    <w:t>10</w:t>
                  </w:r>
                </w:p>
              </w:tc>
              <w:tc>
                <w:tcPr>
                  <w:tcW w:w="1769" w:type="dxa"/>
                  <w:tcBorders>
                    <w:tl2br w:val="nil"/>
                    <w:tr2bl w:val="nil"/>
                  </w:tcBorders>
                  <w:noWrap w:val="0"/>
                  <w:vAlign w:val="center"/>
                </w:tcPr>
                <w:p w14:paraId="2564DE94">
                  <w:pPr>
                    <w:jc w:val="center"/>
                    <w:rPr>
                      <w:rFonts w:hint="default" w:eastAsia="宋体"/>
                      <w:color w:val="000000"/>
                      <w:szCs w:val="21"/>
                      <w:u w:val="none"/>
                      <w:lang w:val="en-US" w:eastAsia="zh-CN"/>
                    </w:rPr>
                  </w:pPr>
                  <w:r>
                    <w:rPr>
                      <w:rFonts w:hint="eastAsia"/>
                      <w:color w:val="000000"/>
                      <w:szCs w:val="21"/>
                      <w:u w:val="none"/>
                      <w:lang w:val="en-US" w:eastAsia="zh-CN"/>
                    </w:rPr>
                    <w:t>0.00949</w:t>
                  </w:r>
                </w:p>
              </w:tc>
            </w:tr>
            <w:tr w14:paraId="3C7DA2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6208" w:type="dxa"/>
                  <w:gridSpan w:val="5"/>
                  <w:tcBorders>
                    <w:tl2br w:val="nil"/>
                    <w:tr2bl w:val="nil"/>
                  </w:tcBorders>
                  <w:noWrap w:val="0"/>
                  <w:vAlign w:val="center"/>
                </w:tcPr>
                <w:p w14:paraId="41A6C85A">
                  <w:pPr>
                    <w:jc w:val="center"/>
                    <w:rPr>
                      <w:color w:val="000000"/>
                      <w:szCs w:val="21"/>
                      <w:u w:val="none"/>
                    </w:rPr>
                  </w:pPr>
                  <w:r>
                    <w:rPr>
                      <w:color w:val="000000"/>
                      <w:szCs w:val="21"/>
                      <w:u w:val="none"/>
                    </w:rPr>
                    <w:t>项目Q值Σ</w:t>
                  </w:r>
                </w:p>
              </w:tc>
              <w:tc>
                <w:tcPr>
                  <w:tcW w:w="1769" w:type="dxa"/>
                  <w:tcBorders>
                    <w:tl2br w:val="nil"/>
                    <w:tr2bl w:val="nil"/>
                  </w:tcBorders>
                  <w:noWrap w:val="0"/>
                  <w:vAlign w:val="center"/>
                </w:tcPr>
                <w:p w14:paraId="183508D9">
                  <w:pPr>
                    <w:jc w:val="center"/>
                    <w:rPr>
                      <w:rFonts w:hint="default" w:eastAsia="宋体"/>
                      <w:color w:val="000000"/>
                      <w:szCs w:val="21"/>
                      <w:u w:val="none"/>
                      <w:lang w:val="en-US" w:eastAsia="zh-CN"/>
                    </w:rPr>
                  </w:pPr>
                  <w:r>
                    <w:rPr>
                      <w:rFonts w:hint="eastAsia"/>
                      <w:color w:val="000000"/>
                      <w:szCs w:val="21"/>
                      <w:u w:val="none"/>
                      <w:lang w:val="en-US" w:eastAsia="zh-CN"/>
                    </w:rPr>
                    <w:t>0.00949</w:t>
                  </w:r>
                </w:p>
              </w:tc>
            </w:tr>
          </w:tbl>
          <w:p w14:paraId="598781EC">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eastAsia"/>
                <w:color w:val="000000"/>
                <w:sz w:val="24"/>
                <w:u w:val="none"/>
              </w:rPr>
            </w:pPr>
            <w:r>
              <w:rPr>
                <w:rFonts w:hint="eastAsia"/>
                <w:color w:val="000000"/>
                <w:sz w:val="24"/>
                <w:u w:val="none"/>
              </w:rPr>
              <w:t>项目危险物质厂区储存及存在量小于临界量</w:t>
            </w:r>
            <w:r>
              <w:rPr>
                <w:color w:val="000000"/>
                <w:sz w:val="24"/>
                <w:u w:val="none"/>
              </w:rPr>
              <w:t>，</w:t>
            </w:r>
            <w:r>
              <w:rPr>
                <w:rFonts w:hint="eastAsia"/>
                <w:color w:val="000000"/>
                <w:sz w:val="24"/>
                <w:u w:val="none"/>
              </w:rPr>
              <w:t>危险物质</w:t>
            </w:r>
            <w:r>
              <w:rPr>
                <w:color w:val="000000"/>
                <w:sz w:val="24"/>
                <w:u w:val="none"/>
              </w:rPr>
              <w:t>Q</w:t>
            </w:r>
            <w:r>
              <w:rPr>
                <w:rFonts w:hint="eastAsia"/>
                <w:color w:val="000000"/>
                <w:sz w:val="24"/>
                <w:u w:val="none"/>
              </w:rPr>
              <w:t>=</w:t>
            </w:r>
            <w:r>
              <w:rPr>
                <w:rFonts w:hint="eastAsia"/>
                <w:color w:val="000000"/>
                <w:sz w:val="24"/>
                <w:u w:val="none"/>
                <w:lang w:val="en-US" w:eastAsia="zh-CN"/>
              </w:rPr>
              <w:t>0.00949</w:t>
            </w:r>
            <w:r>
              <w:rPr>
                <w:color w:val="000000"/>
                <w:sz w:val="24"/>
                <w:u w:val="none"/>
              </w:rPr>
              <w:t>＜1，</w:t>
            </w:r>
            <w:r>
              <w:rPr>
                <w:rFonts w:hint="eastAsia" w:ascii="Times New Roman" w:hAnsi="Times New Roman" w:eastAsia="宋体" w:cs="Times New Roman"/>
                <w:b w:val="0"/>
                <w:color w:val="auto"/>
                <w:kern w:val="2"/>
                <w:sz w:val="24"/>
                <w:szCs w:val="32"/>
                <w:u w:val="none"/>
                <w:lang w:val="en-US" w:eastAsia="zh-CN" w:bidi="ar-SA"/>
              </w:rPr>
              <w:t>环境风险潜势为Ⅰ级</w:t>
            </w:r>
            <w:r>
              <w:rPr>
                <w:rFonts w:hint="eastAsia" w:ascii="Times New Roman" w:hAnsi="Times New Roman" w:cs="Times New Roman"/>
                <w:b w:val="0"/>
                <w:color w:val="auto"/>
                <w:kern w:val="2"/>
                <w:sz w:val="24"/>
                <w:szCs w:val="32"/>
                <w:u w:val="none"/>
                <w:lang w:val="en-US" w:eastAsia="zh-CN" w:bidi="ar-SA"/>
              </w:rPr>
              <w:t>，</w:t>
            </w:r>
            <w:r>
              <w:rPr>
                <w:rFonts w:hint="default" w:ascii="Times New Roman" w:hAnsi="Times New Roman" w:eastAsia="宋体" w:cs="Times New Roman"/>
                <w:color w:val="auto"/>
                <w:kern w:val="2"/>
                <w:sz w:val="24"/>
                <w:szCs w:val="32"/>
                <w:u w:val="none"/>
                <w:lang w:val="en-US" w:eastAsia="zh-CN" w:bidi="ar-SA"/>
              </w:rPr>
              <w:t>进行简单分析</w:t>
            </w:r>
            <w:r>
              <w:rPr>
                <w:rFonts w:hint="eastAsia"/>
                <w:color w:val="000000"/>
                <w:sz w:val="24"/>
                <w:u w:val="none"/>
              </w:rPr>
              <w:t>。</w:t>
            </w:r>
          </w:p>
          <w:p w14:paraId="41387A38">
            <w:pPr>
              <w:keepNext w:val="0"/>
              <w:keepLines w:val="0"/>
              <w:pageBreakBefore w:val="0"/>
              <w:suppressLineNumbers w:val="0"/>
              <w:kinsoku/>
              <w:wordWrap w:val="0"/>
              <w:overflowPunct/>
              <w:topLinePunct/>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cs="Times New Roman"/>
                <w:color w:val="auto"/>
                <w:sz w:val="24"/>
              </w:rPr>
            </w:pPr>
            <w:r>
              <w:rPr>
                <w:rFonts w:hint="default" w:ascii="Times New Roman" w:hAnsi="宋体" w:cs="Times New Roman"/>
                <w:color w:val="auto"/>
                <w:sz w:val="24"/>
              </w:rPr>
              <w:t>（</w:t>
            </w:r>
            <w:r>
              <w:rPr>
                <w:rFonts w:hint="eastAsia" w:ascii="Times New Roman" w:hAnsi="宋体" w:cs="Times New Roman"/>
                <w:color w:val="auto"/>
                <w:sz w:val="24"/>
                <w:lang w:val="en-US" w:eastAsia="zh-CN"/>
              </w:rPr>
              <w:t>3</w:t>
            </w:r>
            <w:r>
              <w:rPr>
                <w:rFonts w:hint="default" w:ascii="Times New Roman" w:hAnsi="宋体" w:cs="Times New Roman"/>
                <w:color w:val="auto"/>
                <w:sz w:val="24"/>
              </w:rPr>
              <w:t>）评价工作等级划分</w:t>
            </w:r>
          </w:p>
          <w:p w14:paraId="59918C7D">
            <w:pPr>
              <w:keepNext w:val="0"/>
              <w:keepLines w:val="0"/>
              <w:pageBreakBefore w:val="0"/>
              <w:suppressLineNumbers w:val="0"/>
              <w:kinsoku/>
              <w:wordWrap w:val="0"/>
              <w:overflowPunct/>
              <w:topLinePunct/>
              <w:autoSpaceDE/>
              <w:autoSpaceDN/>
              <w:bidi w:val="0"/>
              <w:adjustRightInd/>
              <w:snapToGrid/>
              <w:spacing w:before="0" w:beforeAutospacing="0" w:after="0" w:afterAutospacing="0" w:line="500" w:lineRule="exact"/>
              <w:ind w:left="0" w:right="0" w:firstLine="482"/>
              <w:textAlignment w:val="auto"/>
              <w:rPr>
                <w:rFonts w:hint="default" w:ascii="Times New Roman" w:hAnsi="Times New Roman" w:cs="Times New Roman"/>
                <w:color w:val="auto"/>
                <w:sz w:val="24"/>
              </w:rPr>
            </w:pPr>
            <w:r>
              <w:rPr>
                <w:rFonts w:hint="default" w:ascii="Times New Roman" w:hAnsi="宋体" w:cs="Times New Roman"/>
                <w:color w:val="auto"/>
                <w:sz w:val="24"/>
              </w:rPr>
              <w:t>按照《建设项目环境风险评价技术导则》（</w:t>
            </w:r>
            <w:r>
              <w:rPr>
                <w:rFonts w:hint="default" w:ascii="Times New Roman" w:hAnsi="Times New Roman" w:cs="Times New Roman"/>
                <w:color w:val="auto"/>
                <w:sz w:val="24"/>
              </w:rPr>
              <w:t>HJ/T169-2018</w:t>
            </w:r>
            <w:r>
              <w:rPr>
                <w:rFonts w:hint="default" w:ascii="Times New Roman" w:hAnsi="宋体" w:cs="Times New Roman"/>
                <w:color w:val="auto"/>
                <w:sz w:val="24"/>
              </w:rPr>
              <w:t>）中的划分依据和原则，环境风险潜势为</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w:t>
            </w:r>
            <w:r>
              <w:rPr>
                <w:rFonts w:hint="default" w:ascii="Times New Roman" w:hAnsi="Times New Roman" w:cs="Times New Roman"/>
                <w:color w:val="auto"/>
                <w:sz w:val="24"/>
              </w:rPr>
              <w:fldChar w:fldCharType="end"/>
            </w:r>
            <w:r>
              <w:rPr>
                <w:rFonts w:hint="default" w:ascii="Times New Roman" w:hAnsi="宋体" w:cs="Times New Roman"/>
                <w:color w:val="auto"/>
                <w:sz w:val="24"/>
              </w:rPr>
              <w:t>级，进行简单分析。评价工作级别见下表。</w:t>
            </w:r>
          </w:p>
          <w:p w14:paraId="1DF62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黑体" w:cs="Times New Roman"/>
                <w:color w:val="auto"/>
                <w:kern w:val="0"/>
                <w:sz w:val="24"/>
                <w:szCs w:val="20"/>
                <w:lang w:val="en-US" w:eastAsia="zh-CN" w:bidi="zh-CN"/>
              </w:rPr>
            </w:pPr>
            <w:r>
              <w:rPr>
                <w:rFonts w:hint="eastAsia" w:ascii="Times New Roman" w:hAnsi="Times New Roman" w:eastAsia="黑体" w:cs="Times New Roman"/>
                <w:color w:val="auto"/>
                <w:kern w:val="0"/>
                <w:sz w:val="24"/>
                <w:szCs w:val="20"/>
                <w:lang w:val="en-US" w:eastAsia="zh-CN" w:bidi="zh-CN"/>
              </w:rPr>
              <w:t>表4-</w:t>
            </w:r>
            <w:r>
              <w:rPr>
                <w:rFonts w:hint="eastAsia" w:eastAsia="黑体" w:cs="Times New Roman"/>
                <w:color w:val="auto"/>
                <w:kern w:val="0"/>
                <w:sz w:val="24"/>
                <w:szCs w:val="20"/>
                <w:lang w:val="en-US" w:eastAsia="zh-CN" w:bidi="zh-CN"/>
              </w:rPr>
              <w:t>20</w:t>
            </w:r>
            <w:r>
              <w:rPr>
                <w:rFonts w:hint="eastAsia" w:ascii="Times New Roman" w:hAnsi="Times New Roman" w:eastAsia="黑体" w:cs="Times New Roman"/>
                <w:color w:val="auto"/>
                <w:kern w:val="0"/>
                <w:sz w:val="24"/>
                <w:szCs w:val="20"/>
                <w:lang w:val="en-US" w:eastAsia="zh-CN" w:bidi="zh-CN"/>
              </w:rPr>
              <w:t xml:space="preserve"> 评价工作等级划分</w:t>
            </w:r>
          </w:p>
          <w:tbl>
            <w:tblPr>
              <w:tblStyle w:val="21"/>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600"/>
              <w:gridCol w:w="1599"/>
              <w:gridCol w:w="1600"/>
              <w:gridCol w:w="1600"/>
            </w:tblGrid>
            <w:tr w14:paraId="26DF6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6" w:hRule="atLeast"/>
                <w:jc w:val="center"/>
              </w:trPr>
              <w:tc>
                <w:tcPr>
                  <w:tcW w:w="1600" w:type="dxa"/>
                  <w:tcBorders>
                    <w:top w:val="single" w:color="auto" w:sz="4" w:space="0"/>
                    <w:left w:val="single" w:color="auto" w:sz="0" w:space="0"/>
                  </w:tcBorders>
                  <w:noWrap w:val="0"/>
                  <w:vAlign w:val="center"/>
                </w:tcPr>
                <w:p w14:paraId="01610647">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宋体" w:cs="Times New Roman"/>
                      <w:b/>
                      <w:bCs/>
                      <w:color w:val="auto"/>
                      <w:szCs w:val="21"/>
                    </w:rPr>
                    <w:t>环境风险潜势</w:t>
                  </w:r>
                </w:p>
              </w:tc>
              <w:tc>
                <w:tcPr>
                  <w:tcW w:w="1600" w:type="dxa"/>
                  <w:tcBorders>
                    <w:top w:val="single" w:color="auto" w:sz="4" w:space="0"/>
                  </w:tcBorders>
                  <w:noWrap w:val="0"/>
                  <w:vAlign w:val="center"/>
                </w:tcPr>
                <w:p w14:paraId="23AB98A5">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4 \* ROMAN \* MERGEFORMAT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IV</w:t>
                  </w:r>
                  <w:r>
                    <w:rPr>
                      <w:rFonts w:hint="default" w:ascii="Times New Roman" w:hAnsi="Times New Roman" w:cs="Times New Roman"/>
                      <w:b/>
                      <w:bCs/>
                      <w:color w:val="auto"/>
                      <w:szCs w:val="21"/>
                    </w:rPr>
                    <w:fldChar w:fldCharType="end"/>
                  </w:r>
                  <w:r>
                    <w:rPr>
                      <w:rFonts w:hint="default" w:ascii="Times New Roman" w:hAnsi="Times New Roman" w:cs="Times New Roman"/>
                      <w:b/>
                      <w:bCs/>
                      <w:color w:val="auto"/>
                      <w:szCs w:val="21"/>
                      <w:vertAlign w:val="superscript"/>
                    </w:rPr>
                    <w:t>+</w:t>
                  </w:r>
                  <w:r>
                    <w:rPr>
                      <w:rFonts w:hint="default" w:ascii="Times New Roman" w:hAnsi="宋体" w:cs="Times New Roman"/>
                      <w:b/>
                      <w:bCs/>
                      <w:color w:val="auto"/>
                      <w:szCs w:val="21"/>
                    </w:rPr>
                    <w:t>、</w:t>
                  </w: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4 \* ROMAN \* MERGEFORMAT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IV</w:t>
                  </w:r>
                  <w:r>
                    <w:rPr>
                      <w:rFonts w:hint="default" w:ascii="Times New Roman" w:hAnsi="Times New Roman" w:cs="Times New Roman"/>
                      <w:b/>
                      <w:bCs/>
                      <w:color w:val="auto"/>
                      <w:szCs w:val="21"/>
                    </w:rPr>
                    <w:fldChar w:fldCharType="end"/>
                  </w:r>
                </w:p>
              </w:tc>
              <w:tc>
                <w:tcPr>
                  <w:tcW w:w="1599" w:type="dxa"/>
                  <w:tcBorders>
                    <w:top w:val="single" w:color="auto" w:sz="4" w:space="0"/>
                  </w:tcBorders>
                  <w:noWrap w:val="0"/>
                  <w:vAlign w:val="center"/>
                </w:tcPr>
                <w:p w14:paraId="38918079">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3 \* ROMAN \* MERGEFORMAT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III</w:t>
                  </w:r>
                  <w:r>
                    <w:rPr>
                      <w:rFonts w:hint="default" w:ascii="Times New Roman" w:hAnsi="Times New Roman" w:cs="Times New Roman"/>
                      <w:b/>
                      <w:bCs/>
                      <w:color w:val="auto"/>
                      <w:szCs w:val="21"/>
                    </w:rPr>
                    <w:fldChar w:fldCharType="end"/>
                  </w:r>
                </w:p>
              </w:tc>
              <w:tc>
                <w:tcPr>
                  <w:tcW w:w="1600" w:type="dxa"/>
                  <w:tcBorders>
                    <w:top w:val="single" w:color="auto" w:sz="4" w:space="0"/>
                  </w:tcBorders>
                  <w:noWrap w:val="0"/>
                  <w:vAlign w:val="center"/>
                </w:tcPr>
                <w:p w14:paraId="159798D4">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szCs w:val="21"/>
                    </w:rPr>
                    <w:fldChar w:fldCharType="begin"/>
                  </w:r>
                  <w:r>
                    <w:rPr>
                      <w:rStyle w:val="26"/>
                      <w:rFonts w:hint="default" w:ascii="Times New Roman" w:hAnsi="Times New Roman" w:cs="Times New Roman"/>
                      <w:b/>
                      <w:bCs/>
                      <w:color w:val="auto"/>
                    </w:rPr>
                    <w:instrText xml:space="preserve"> = 2 \* ROMAN \* MERGEFORMAT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II</w:t>
                  </w:r>
                  <w:r>
                    <w:rPr>
                      <w:rFonts w:hint="default" w:ascii="Times New Roman" w:hAnsi="Times New Roman" w:cs="Times New Roman"/>
                      <w:b/>
                      <w:bCs/>
                      <w:color w:val="auto"/>
                      <w:szCs w:val="21"/>
                    </w:rPr>
                    <w:fldChar w:fldCharType="end"/>
                  </w:r>
                </w:p>
              </w:tc>
              <w:tc>
                <w:tcPr>
                  <w:tcW w:w="1600" w:type="dxa"/>
                  <w:tcBorders>
                    <w:top w:val="single" w:color="auto" w:sz="4" w:space="0"/>
                    <w:right w:val="single" w:color="auto" w:sz="4" w:space="0"/>
                  </w:tcBorders>
                  <w:noWrap w:val="0"/>
                  <w:vAlign w:val="center"/>
                </w:tcPr>
                <w:p w14:paraId="7E34F907">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1 \* ROMAN \* MERGEFORMAT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w:t>
                  </w:r>
                  <w:r>
                    <w:rPr>
                      <w:rFonts w:hint="default" w:ascii="Times New Roman" w:hAnsi="Times New Roman" w:cs="Times New Roman"/>
                      <w:b/>
                      <w:bCs/>
                      <w:color w:val="auto"/>
                      <w:szCs w:val="21"/>
                    </w:rPr>
                    <w:fldChar w:fldCharType="end"/>
                  </w:r>
                </w:p>
              </w:tc>
            </w:tr>
            <w:tr w14:paraId="69E87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00" w:type="dxa"/>
                  <w:tcBorders>
                    <w:left w:val="single" w:color="auto" w:sz="4" w:space="0"/>
                  </w:tcBorders>
                  <w:shd w:val="clear" w:color="auto" w:fill="auto"/>
                  <w:noWrap w:val="0"/>
                  <w:vAlign w:val="center"/>
                </w:tcPr>
                <w:p w14:paraId="407AE58B">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宋体" w:cs="Times New Roman"/>
                      <w:color w:val="auto"/>
                      <w:szCs w:val="21"/>
                    </w:rPr>
                    <w:t>评价工作等级</w:t>
                  </w:r>
                </w:p>
              </w:tc>
              <w:tc>
                <w:tcPr>
                  <w:tcW w:w="1600" w:type="dxa"/>
                  <w:shd w:val="clear" w:color="auto" w:fill="auto"/>
                  <w:noWrap w:val="0"/>
                  <w:vAlign w:val="center"/>
                </w:tcPr>
                <w:p w14:paraId="60DEB53C">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宋体" w:cs="Times New Roman"/>
                      <w:color w:val="auto"/>
                      <w:szCs w:val="21"/>
                    </w:rPr>
                    <w:t>一</w:t>
                  </w:r>
                </w:p>
              </w:tc>
              <w:tc>
                <w:tcPr>
                  <w:tcW w:w="1599" w:type="dxa"/>
                  <w:shd w:val="clear" w:color="auto" w:fill="auto"/>
                  <w:noWrap w:val="0"/>
                  <w:vAlign w:val="center"/>
                </w:tcPr>
                <w:p w14:paraId="6BEA4F01">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宋体" w:cs="Times New Roman"/>
                      <w:color w:val="auto"/>
                      <w:szCs w:val="21"/>
                    </w:rPr>
                    <w:t>二</w:t>
                  </w:r>
                </w:p>
              </w:tc>
              <w:tc>
                <w:tcPr>
                  <w:tcW w:w="1600" w:type="dxa"/>
                  <w:shd w:val="clear" w:color="auto" w:fill="auto"/>
                  <w:noWrap w:val="0"/>
                  <w:vAlign w:val="center"/>
                </w:tcPr>
                <w:p w14:paraId="299E6D84">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宋体" w:cs="Times New Roman"/>
                      <w:color w:val="auto"/>
                      <w:szCs w:val="21"/>
                    </w:rPr>
                    <w:t>三</w:t>
                  </w:r>
                </w:p>
              </w:tc>
              <w:tc>
                <w:tcPr>
                  <w:tcW w:w="1600" w:type="dxa"/>
                  <w:tcBorders>
                    <w:right w:val="single" w:color="auto" w:sz="4" w:space="0"/>
                  </w:tcBorders>
                  <w:shd w:val="clear" w:color="auto" w:fill="D7D7D7"/>
                  <w:noWrap w:val="0"/>
                  <w:vAlign w:val="center"/>
                </w:tcPr>
                <w:p w14:paraId="7F0EAF9D">
                  <w:pPr>
                    <w:keepNext w:val="0"/>
                    <w:keepLines w:val="0"/>
                    <w:widowControl/>
                    <w:suppressLineNumbers w:val="0"/>
                    <w:autoSpaceDE w:val="0"/>
                    <w:autoSpaceDN w:val="0"/>
                    <w:spacing w:before="0" w:beforeAutospacing="0" w:after="0" w:afterAutospacing="0"/>
                    <w:ind w:left="0" w:right="0"/>
                    <w:jc w:val="center"/>
                    <w:textAlignment w:val="bottom"/>
                    <w:rPr>
                      <w:rFonts w:hint="default" w:ascii="Times New Roman" w:hAnsi="Times New Roman" w:cs="Times New Roman"/>
                      <w:color w:val="auto"/>
                      <w:szCs w:val="21"/>
                      <w:vertAlign w:val="superscript"/>
                    </w:rPr>
                  </w:pPr>
                  <w:r>
                    <w:rPr>
                      <w:rFonts w:hint="default" w:ascii="Times New Roman" w:hAnsi="宋体" w:cs="Times New Roman"/>
                      <w:color w:val="auto"/>
                      <w:szCs w:val="21"/>
                    </w:rPr>
                    <w:t>简单分析</w:t>
                  </w:r>
                  <w:r>
                    <w:rPr>
                      <w:rFonts w:hint="default" w:ascii="Times New Roman" w:hAnsi="Times New Roman" w:cs="Times New Roman"/>
                      <w:color w:val="auto"/>
                      <w:szCs w:val="21"/>
                      <w:vertAlign w:val="superscript"/>
                    </w:rPr>
                    <w:t>a</w:t>
                  </w:r>
                </w:p>
              </w:tc>
            </w:tr>
            <w:tr w14:paraId="4C7DD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999" w:type="dxa"/>
                  <w:gridSpan w:val="5"/>
                  <w:tcBorders>
                    <w:left w:val="single" w:color="auto" w:sz="4" w:space="0"/>
                    <w:bottom w:val="single" w:color="auto" w:sz="4" w:space="0"/>
                    <w:right w:val="single" w:color="auto" w:sz="4" w:space="0"/>
                  </w:tcBorders>
                  <w:noWrap w:val="0"/>
                  <w:vAlign w:val="center"/>
                </w:tcPr>
                <w:p w14:paraId="1BD9DD5F">
                  <w:pPr>
                    <w:keepNext w:val="0"/>
                    <w:keepLines w:val="0"/>
                    <w:widowControl/>
                    <w:suppressLineNumbers w:val="0"/>
                    <w:autoSpaceDE w:val="0"/>
                    <w:autoSpaceDN w:val="0"/>
                    <w:spacing w:before="0" w:beforeAutospacing="0" w:after="0" w:afterAutospacing="0"/>
                    <w:ind w:left="0" w:right="0"/>
                    <w:textAlignment w:val="bottom"/>
                    <w:rPr>
                      <w:rFonts w:hint="default" w:ascii="Times New Roman" w:hAnsi="Times New Roman" w:cs="Times New Roman"/>
                      <w:color w:val="auto"/>
                      <w:szCs w:val="21"/>
                    </w:rPr>
                  </w:pPr>
                  <w:r>
                    <w:rPr>
                      <w:rFonts w:hint="default" w:ascii="Times New Roman" w:hAnsi="Times New Roman" w:cs="Times New Roman"/>
                      <w:color w:val="auto"/>
                      <w:szCs w:val="21"/>
                      <w:vertAlign w:val="superscript"/>
                    </w:rPr>
                    <w:t>a</w:t>
                  </w:r>
                  <w:r>
                    <w:rPr>
                      <w:rFonts w:hint="default" w:ascii="Times New Roman" w:hAnsi="宋体" w:cs="Times New Roman"/>
                      <w:color w:val="auto"/>
                      <w:szCs w:val="21"/>
                    </w:rPr>
                    <w:t>是相对详细评价工作内容而言，在描述危险物质、环境影响途径、环境危害后果、风险防范措施等方面给出定性说明。见导则附录</w:t>
                  </w:r>
                  <w:r>
                    <w:rPr>
                      <w:rFonts w:hint="default" w:ascii="Times New Roman" w:hAnsi="Times New Roman" w:cs="Times New Roman"/>
                      <w:color w:val="auto"/>
                      <w:szCs w:val="21"/>
                    </w:rPr>
                    <w:t>A</w:t>
                  </w:r>
                </w:p>
              </w:tc>
            </w:tr>
          </w:tbl>
          <w:p w14:paraId="0C6BA34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宋体" w:eastAsia="宋体" w:cs="Times New Roman"/>
                <w:color w:val="auto"/>
                <w:sz w:val="24"/>
                <w:lang w:val="en-US" w:eastAsia="zh-CN"/>
              </w:rPr>
            </w:pPr>
            <w:r>
              <w:rPr>
                <w:rFonts w:hint="default" w:ascii="Times New Roman" w:hAnsi="宋体" w:cs="Times New Roman"/>
                <w:color w:val="auto"/>
                <w:sz w:val="24"/>
                <w:highlight w:val="none"/>
              </w:rPr>
              <w:t>由上表可知，本项目环境风险潜势</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ROMAN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I</w:t>
            </w:r>
            <w:r>
              <w:rPr>
                <w:rFonts w:hint="default" w:ascii="Times New Roman" w:hAnsi="Times New Roman" w:cs="Times New Roman"/>
                <w:color w:val="auto"/>
                <w:sz w:val="24"/>
                <w:highlight w:val="none"/>
              </w:rPr>
              <w:fldChar w:fldCharType="end"/>
            </w:r>
            <w:r>
              <w:rPr>
                <w:rFonts w:hint="default" w:ascii="Times New Roman" w:hAnsi="宋体" w:cs="Times New Roman"/>
                <w:color w:val="auto"/>
                <w:sz w:val="24"/>
                <w:highlight w:val="none"/>
              </w:rPr>
              <w:t>类，环境风险评价为简单分析。根据本项目的生产特</w:t>
            </w:r>
            <w:r>
              <w:rPr>
                <w:rFonts w:hint="default" w:ascii="Times New Roman" w:hAnsi="宋体" w:cs="Times New Roman"/>
                <w:color w:val="auto"/>
                <w:sz w:val="24"/>
              </w:rPr>
              <w:t>征，项目无重大危险源。本项目的风险主要为</w:t>
            </w:r>
            <w:r>
              <w:rPr>
                <w:rFonts w:hint="eastAsia" w:ascii="Times New Roman" w:hAnsi="宋体" w:eastAsia="宋体" w:cs="Times New Roman"/>
                <w:color w:val="auto"/>
                <w:sz w:val="24"/>
                <w:lang w:val="en-US" w:eastAsia="zh-CN"/>
              </w:rPr>
              <w:t>天然气管道进行天然气供应，若管道老化，破损，管道出现泄漏，遇明火可能发生火灾爆炸事故，严重时引起周围可燃物发生一系列火灾。</w:t>
            </w:r>
          </w:p>
          <w:p w14:paraId="7CF303BC">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rPr>
                <w:rFonts w:hint="eastAsia"/>
                <w:color w:val="000000"/>
                <w:sz w:val="24"/>
                <w:highlight w:val="none"/>
                <w:u w:val="none"/>
                <w:lang w:val="en-US" w:eastAsia="zh-CN"/>
              </w:rPr>
            </w:pPr>
            <w:r>
              <w:rPr>
                <w:rFonts w:hint="eastAsia"/>
                <w:color w:val="000000"/>
                <w:sz w:val="24"/>
                <w:highlight w:val="none"/>
                <w:u w:val="none"/>
                <w:lang w:val="en-US" w:eastAsia="zh-CN"/>
              </w:rPr>
              <w:t>6.2环境风险分析</w:t>
            </w:r>
          </w:p>
          <w:p w14:paraId="76A9B1F0">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eastAsia" w:ascii="Times New Roman" w:hAnsi="Times New Roman" w:eastAsia="宋体" w:cs="Times New Roman"/>
                <w:color w:val="000000"/>
                <w:sz w:val="24"/>
                <w:highlight w:val="none"/>
                <w:u w:val="none"/>
              </w:rPr>
            </w:pPr>
            <w:r>
              <w:rPr>
                <w:rFonts w:hint="eastAsia" w:ascii="Times New Roman" w:hAnsi="Times New Roman" w:eastAsia="宋体" w:cs="Times New Roman"/>
                <w:color w:val="000000"/>
                <w:sz w:val="24"/>
                <w:highlight w:val="none"/>
                <w:u w:val="none"/>
                <w:lang w:val="en-US" w:eastAsia="zh-CN"/>
              </w:rPr>
              <w:t>（</w:t>
            </w:r>
            <w:r>
              <w:rPr>
                <w:rFonts w:hint="default" w:ascii="Times New Roman" w:hAnsi="Times New Roman" w:eastAsia="宋体" w:cs="Times New Roman"/>
                <w:color w:val="000000"/>
                <w:sz w:val="24"/>
                <w:highlight w:val="none"/>
                <w:u w:val="none"/>
                <w:lang w:val="en-US" w:eastAsia="zh-CN"/>
              </w:rPr>
              <w:t>1</w:t>
            </w:r>
            <w:r>
              <w:rPr>
                <w:rFonts w:hint="eastAsia" w:ascii="Times New Roman" w:hAnsi="Times New Roman" w:eastAsia="宋体" w:cs="Times New Roman"/>
                <w:color w:val="000000"/>
                <w:sz w:val="24"/>
                <w:highlight w:val="none"/>
                <w:u w:val="none"/>
                <w:lang w:val="en-US" w:eastAsia="zh-CN"/>
              </w:rPr>
              <w:t>）大气环境风险影响分析</w:t>
            </w:r>
          </w:p>
          <w:p w14:paraId="0ED450E3">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u w:val="none"/>
              </w:rPr>
            </w:pPr>
            <w:r>
              <w:rPr>
                <w:rFonts w:hint="eastAsia" w:cs="Times New Roman"/>
                <w:color w:val="000000"/>
                <w:sz w:val="24"/>
                <w:highlight w:val="none"/>
                <w:u w:val="none"/>
                <w:lang w:val="en-US" w:eastAsia="zh-CN"/>
              </w:rPr>
              <w:t>天然气</w:t>
            </w:r>
            <w:r>
              <w:rPr>
                <w:rFonts w:hint="eastAsia" w:ascii="Times New Roman" w:hAnsi="Times New Roman" w:eastAsia="宋体" w:cs="Times New Roman"/>
                <w:color w:val="000000"/>
                <w:sz w:val="24"/>
                <w:highlight w:val="none"/>
                <w:u w:val="none"/>
                <w:lang w:val="en-US" w:eastAsia="zh-CN"/>
              </w:rPr>
              <w:t>具有</w:t>
            </w:r>
            <w:r>
              <w:rPr>
                <w:rFonts w:hint="eastAsia" w:cs="Times New Roman"/>
                <w:color w:val="000000"/>
                <w:sz w:val="24"/>
                <w:highlight w:val="none"/>
                <w:u w:val="none"/>
                <w:lang w:val="en-US" w:eastAsia="zh-CN"/>
              </w:rPr>
              <w:t>引发</w:t>
            </w:r>
            <w:r>
              <w:rPr>
                <w:rFonts w:hint="eastAsia" w:ascii="Times New Roman" w:hAnsi="Times New Roman" w:eastAsia="宋体" w:cs="Times New Roman"/>
                <w:color w:val="000000"/>
                <w:sz w:val="24"/>
                <w:highlight w:val="none"/>
                <w:u w:val="none"/>
                <w:lang w:val="en-US" w:eastAsia="zh-CN"/>
              </w:rPr>
              <w:t>火灾发生的危险</w:t>
            </w:r>
            <w:r>
              <w:rPr>
                <w:rFonts w:hint="eastAsia" w:cs="Times New Roman"/>
                <w:color w:val="000000"/>
                <w:sz w:val="24"/>
                <w:u w:val="none"/>
                <w:lang w:val="en-US" w:eastAsia="zh-CN"/>
              </w:rPr>
              <w:t>性</w:t>
            </w:r>
            <w:r>
              <w:rPr>
                <w:rFonts w:hint="eastAsia" w:ascii="Times New Roman" w:hAnsi="Times New Roman" w:eastAsia="宋体" w:cs="Times New Roman"/>
                <w:color w:val="000000"/>
                <w:sz w:val="24"/>
                <w:u w:val="none"/>
                <w:lang w:val="en-US" w:eastAsia="zh-CN"/>
              </w:rPr>
              <w:t>。</w:t>
            </w:r>
            <w:r>
              <w:rPr>
                <w:rFonts w:hint="eastAsia" w:cs="Times New Roman"/>
                <w:color w:val="000000"/>
                <w:sz w:val="24"/>
                <w:u w:val="none"/>
                <w:lang w:val="en-US" w:eastAsia="zh-CN"/>
              </w:rPr>
              <w:t>如果发生火灾</w:t>
            </w:r>
            <w:r>
              <w:rPr>
                <w:rFonts w:hint="eastAsia" w:ascii="Times New Roman" w:hAnsi="Times New Roman" w:eastAsia="宋体" w:cs="Times New Roman"/>
                <w:color w:val="000000"/>
                <w:sz w:val="24"/>
                <w:u w:val="none"/>
                <w:lang w:val="en-US" w:eastAsia="zh-CN"/>
              </w:rPr>
              <w:t>燃烧过程中产生的烟气中含有烟尘、</w:t>
            </w:r>
            <w:r>
              <w:rPr>
                <w:rFonts w:hint="default" w:ascii="Times New Roman" w:hAnsi="Times New Roman" w:eastAsia="宋体" w:cs="Times New Roman"/>
                <w:color w:val="000000"/>
                <w:sz w:val="24"/>
                <w:u w:val="none"/>
                <w:lang w:val="en-US" w:eastAsia="zh-CN"/>
              </w:rPr>
              <w:t>CO</w:t>
            </w:r>
            <w:r>
              <w:rPr>
                <w:rFonts w:hint="eastAsia" w:ascii="Times New Roman" w:hAnsi="Times New Roman" w:eastAsia="宋体" w:cs="Times New Roman"/>
                <w:color w:val="000000"/>
                <w:sz w:val="24"/>
                <w:u w:val="none"/>
                <w:lang w:val="en-US" w:eastAsia="zh-CN"/>
              </w:rPr>
              <w:t>、</w:t>
            </w:r>
            <w:r>
              <w:rPr>
                <w:rFonts w:hint="default" w:ascii="Times New Roman" w:hAnsi="Times New Roman" w:eastAsia="宋体" w:cs="Times New Roman"/>
                <w:color w:val="000000"/>
                <w:sz w:val="24"/>
                <w:u w:val="none"/>
                <w:lang w:val="en-US" w:eastAsia="zh-CN"/>
              </w:rPr>
              <w:t>CO</w:t>
            </w:r>
            <w:r>
              <w:rPr>
                <w:rFonts w:hint="default" w:ascii="Times New Roman" w:hAnsi="Times New Roman" w:eastAsia="宋体" w:cs="Times New Roman"/>
                <w:color w:val="000000"/>
                <w:sz w:val="24"/>
                <w:u w:val="none"/>
                <w:vertAlign w:val="subscript"/>
                <w:lang w:val="en-US" w:eastAsia="zh-CN"/>
              </w:rPr>
              <w:t>2</w:t>
            </w:r>
            <w:r>
              <w:rPr>
                <w:rFonts w:hint="eastAsia" w:ascii="Times New Roman" w:hAnsi="Times New Roman" w:eastAsia="宋体" w:cs="Times New Roman"/>
                <w:color w:val="000000"/>
                <w:sz w:val="24"/>
                <w:u w:val="none"/>
                <w:lang w:val="en-US" w:eastAsia="zh-CN"/>
              </w:rPr>
              <w:t>及其他未完全燃烧的烃类等物质，具有一定的毒性和窒息性，因此在</w:t>
            </w:r>
            <w:r>
              <w:rPr>
                <w:rFonts w:hint="eastAsia" w:cs="Times New Roman"/>
                <w:color w:val="000000"/>
                <w:sz w:val="24"/>
                <w:u w:val="none"/>
                <w:lang w:val="en-US" w:eastAsia="zh-CN"/>
              </w:rPr>
              <w:t>天然气</w:t>
            </w:r>
            <w:r>
              <w:rPr>
                <w:rFonts w:hint="eastAsia" w:ascii="Times New Roman" w:hAnsi="Times New Roman" w:eastAsia="宋体" w:cs="Times New Roman"/>
                <w:color w:val="000000"/>
                <w:sz w:val="24"/>
                <w:u w:val="none"/>
                <w:lang w:val="en-US" w:eastAsia="zh-CN"/>
              </w:rPr>
              <w:t>燃烧期间会对周边的大气环境和人群会产生一定的不利影响，将会对厂内员工及周边距离较近的居民造成人身伤害及财产损失等严重不利影响。</w:t>
            </w:r>
            <w:r>
              <w:rPr>
                <w:rFonts w:hint="eastAsia" w:cs="Times New Roman"/>
                <w:color w:val="000000"/>
                <w:sz w:val="24"/>
                <w:u w:val="none"/>
                <w:lang w:val="en-US" w:eastAsia="zh-CN"/>
              </w:rPr>
              <w:t>但厂区最大储存量较小，较好控制。</w:t>
            </w:r>
          </w:p>
          <w:p w14:paraId="5EA5B81D">
            <w:pPr>
              <w:keepNext w:val="0"/>
              <w:keepLines w:val="0"/>
              <w:pageBreakBefore w:val="0"/>
              <w:widowControl w:val="0"/>
              <w:kinsoku/>
              <w:wordWrap/>
              <w:overflowPunct/>
              <w:topLinePunct w:val="0"/>
              <w:bidi w:val="0"/>
              <w:spacing w:line="500" w:lineRule="exact"/>
              <w:ind w:firstLine="482"/>
              <w:textAlignment w:val="auto"/>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w:t>
            </w:r>
            <w:r>
              <w:rPr>
                <w:rFonts w:hint="eastAsia" w:cs="Times New Roman"/>
                <w:color w:val="000000"/>
                <w:sz w:val="24"/>
                <w:u w:val="none"/>
                <w:lang w:val="en-US" w:eastAsia="zh-CN"/>
              </w:rPr>
              <w:t>2</w:t>
            </w:r>
            <w:r>
              <w:rPr>
                <w:rFonts w:hint="eastAsia" w:ascii="Times New Roman" w:hAnsi="Times New Roman" w:eastAsia="宋体" w:cs="Times New Roman"/>
                <w:color w:val="000000"/>
                <w:sz w:val="24"/>
                <w:u w:val="none"/>
                <w:lang w:val="en-US" w:eastAsia="zh-CN"/>
              </w:rPr>
              <w:t>）</w:t>
            </w:r>
            <w:r>
              <w:rPr>
                <w:rFonts w:hint="eastAsia" w:cs="Times New Roman"/>
                <w:color w:val="000000"/>
                <w:sz w:val="24"/>
                <w:u w:val="none"/>
                <w:lang w:val="en-US" w:eastAsia="zh-CN"/>
              </w:rPr>
              <w:t>废</w:t>
            </w:r>
            <w:r>
              <w:rPr>
                <w:rFonts w:hint="eastAsia" w:ascii="Times New Roman" w:hAnsi="Times New Roman" w:eastAsia="宋体" w:cs="Times New Roman"/>
                <w:color w:val="000000"/>
                <w:sz w:val="24"/>
                <w:u w:val="none"/>
                <w:lang w:val="en-US" w:eastAsia="zh-CN"/>
              </w:rPr>
              <w:t>水</w:t>
            </w:r>
            <w:r>
              <w:rPr>
                <w:rFonts w:hint="eastAsia" w:cs="Times New Roman"/>
                <w:color w:val="000000"/>
                <w:sz w:val="24"/>
                <w:u w:val="none"/>
                <w:lang w:val="en-US" w:eastAsia="zh-CN"/>
              </w:rPr>
              <w:t>泄漏</w:t>
            </w:r>
            <w:r>
              <w:rPr>
                <w:rFonts w:hint="eastAsia" w:ascii="Times New Roman" w:hAnsi="Times New Roman" w:eastAsia="宋体" w:cs="Times New Roman"/>
                <w:color w:val="000000"/>
                <w:sz w:val="24"/>
                <w:u w:val="none"/>
                <w:lang w:val="en-US" w:eastAsia="zh-CN"/>
              </w:rPr>
              <w:t>环境风险分析</w:t>
            </w:r>
          </w:p>
          <w:p w14:paraId="0DB7D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default" w:ascii="Times New Roman" w:hAnsi="Times New Roman" w:eastAsia="宋体" w:cs="Times New Roman"/>
                <w:bCs/>
                <w:color w:val="auto"/>
                <w:sz w:val="24"/>
                <w:u w:val="none"/>
                <w:lang w:val="en-US" w:eastAsia="zh-CN"/>
              </w:rPr>
            </w:pPr>
            <w:r>
              <w:rPr>
                <w:rFonts w:hint="eastAsia" w:cs="Times New Roman"/>
                <w:bCs/>
                <w:color w:val="auto"/>
                <w:sz w:val="24"/>
                <w:u w:val="none"/>
                <w:lang w:val="en-US" w:eastAsia="zh-CN"/>
              </w:rPr>
              <w:t>本项目废水容易发生泄漏的主要有生产废水，当隔油池或污水处理设施发生破损时或防渗措施未做到位的情况下，会出现废水泄漏事件。当发现废水泄漏时应该立即将废水再收集起来或采取补漏措施来防止更多的废水发生外泄，对地表水和土壤或者周围环境造成污染影响。厂区</w:t>
            </w:r>
            <w:r>
              <w:rPr>
                <w:rFonts w:hint="eastAsia"/>
                <w:color w:val="000000"/>
                <w:sz w:val="24"/>
                <w:u w:val="none"/>
                <w:lang w:val="en-US" w:eastAsia="zh-CN"/>
              </w:rPr>
              <w:t>中储存污水的污水设施、隔油池、</w:t>
            </w:r>
            <w:r>
              <w:rPr>
                <w:rFonts w:hint="eastAsia"/>
                <w:color w:val="000000"/>
                <w:sz w:val="24"/>
                <w:highlight w:val="none"/>
                <w:u w:val="none"/>
                <w:lang w:val="en-US" w:eastAsia="zh-CN"/>
              </w:rPr>
              <w:t>沉淀池以及污水管线等区域进行了防渗处理来避免或减少废水外泄的风险。如厂区发生火灾会有大量的消防废水产生，对于这类废水首先要先集中收集避免进入附近的地表水体造成污染影响，</w:t>
            </w:r>
            <w:r>
              <w:rPr>
                <w:rFonts w:hint="eastAsia" w:ascii="Times New Roman" w:hAnsi="Times New Roman" w:eastAsia="宋体" w:cs="Times New Roman"/>
                <w:color w:val="000000"/>
                <w:sz w:val="24"/>
                <w:u w:val="none"/>
                <w:lang w:val="en-US" w:eastAsia="zh-CN"/>
              </w:rPr>
              <w:t>厂区</w:t>
            </w:r>
            <w:r>
              <w:rPr>
                <w:rFonts w:hint="eastAsia" w:cs="Times New Roman"/>
                <w:color w:val="000000"/>
                <w:sz w:val="24"/>
                <w:u w:val="none"/>
                <w:lang w:val="en-US" w:eastAsia="zh-CN"/>
              </w:rPr>
              <w:t>内</w:t>
            </w:r>
            <w:r>
              <w:rPr>
                <w:rFonts w:hint="eastAsia" w:ascii="Times New Roman" w:hAnsi="Times New Roman" w:eastAsia="宋体" w:cs="Times New Roman"/>
                <w:color w:val="000000"/>
                <w:sz w:val="24"/>
                <w:u w:val="none"/>
                <w:lang w:val="en-US" w:eastAsia="zh-CN"/>
              </w:rPr>
              <w:t>设置</w:t>
            </w:r>
            <w:r>
              <w:rPr>
                <w:rFonts w:hint="eastAsia" w:cs="Times New Roman"/>
                <w:color w:val="000000"/>
                <w:sz w:val="24"/>
                <w:u w:val="none"/>
                <w:lang w:val="en-US" w:eastAsia="zh-CN"/>
              </w:rPr>
              <w:t>临时沉淀池来代替</w:t>
            </w:r>
            <w:r>
              <w:rPr>
                <w:rFonts w:hint="eastAsia" w:ascii="Times New Roman" w:hAnsi="Times New Roman" w:eastAsia="宋体" w:cs="Times New Roman"/>
                <w:color w:val="000000"/>
                <w:sz w:val="24"/>
                <w:u w:val="none"/>
                <w:lang w:val="en-US" w:eastAsia="zh-CN"/>
              </w:rPr>
              <w:t>事故池，确保事故状态下的生产废水不外排</w:t>
            </w:r>
            <w:r>
              <w:rPr>
                <w:rFonts w:hint="eastAsia" w:cs="Times New Roman"/>
                <w:color w:val="000000"/>
                <w:sz w:val="24"/>
                <w:u w:val="none"/>
                <w:lang w:val="en-US" w:eastAsia="zh-CN"/>
              </w:rPr>
              <w:t>。</w:t>
            </w:r>
          </w:p>
          <w:p w14:paraId="27C67E1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b w:val="0"/>
                <w:bCs w:val="0"/>
                <w:color w:val="000000"/>
                <w:kern w:val="0"/>
                <w:sz w:val="24"/>
                <w:u w:val="none"/>
              </w:rPr>
            </w:pPr>
            <w:r>
              <w:rPr>
                <w:rFonts w:hint="eastAsia"/>
                <w:b w:val="0"/>
                <w:bCs w:val="0"/>
                <w:color w:val="000000"/>
                <w:kern w:val="0"/>
                <w:sz w:val="24"/>
                <w:u w:val="none"/>
              </w:rPr>
              <w:t>6.</w:t>
            </w:r>
            <w:r>
              <w:rPr>
                <w:rFonts w:hint="eastAsia"/>
                <w:b w:val="0"/>
                <w:bCs w:val="0"/>
                <w:color w:val="000000"/>
                <w:kern w:val="0"/>
                <w:sz w:val="24"/>
                <w:u w:val="none"/>
                <w:lang w:val="en-US" w:eastAsia="zh-CN"/>
              </w:rPr>
              <w:t>3</w:t>
            </w:r>
            <w:r>
              <w:rPr>
                <w:rFonts w:hint="eastAsia"/>
                <w:b w:val="0"/>
                <w:bCs w:val="0"/>
                <w:color w:val="000000"/>
                <w:kern w:val="0"/>
                <w:sz w:val="24"/>
                <w:u w:val="none"/>
              </w:rPr>
              <w:t>影响途径</w:t>
            </w:r>
          </w:p>
          <w:p w14:paraId="5E3E1C74">
            <w:pPr>
              <w:keepNext w:val="0"/>
              <w:keepLines w:val="0"/>
              <w:pageBreakBefore w:val="0"/>
              <w:widowControl w:val="0"/>
              <w:kinsoku/>
              <w:wordWrap/>
              <w:overflowPunct/>
              <w:topLinePunct w:val="0"/>
              <w:autoSpaceDE/>
              <w:autoSpaceDN/>
              <w:bidi w:val="0"/>
              <w:spacing w:line="500" w:lineRule="exact"/>
              <w:ind w:firstLine="482"/>
              <w:textAlignment w:val="auto"/>
              <w:rPr>
                <w:color w:val="000000"/>
                <w:sz w:val="24"/>
                <w:u w:val="none"/>
              </w:rPr>
            </w:pPr>
            <w:r>
              <w:rPr>
                <w:color w:val="000000"/>
                <w:sz w:val="24"/>
                <w:u w:val="none"/>
              </w:rPr>
              <w:t>本项目环境风险主要为</w:t>
            </w:r>
            <w:r>
              <w:rPr>
                <w:rFonts w:hint="eastAsia"/>
                <w:color w:val="000000"/>
                <w:sz w:val="24"/>
                <w:u w:val="none"/>
                <w:lang w:val="en-US" w:eastAsia="zh-CN"/>
              </w:rPr>
              <w:t>天然气</w:t>
            </w:r>
            <w:r>
              <w:rPr>
                <w:rFonts w:hint="eastAsia"/>
                <w:color w:val="000000"/>
                <w:sz w:val="24"/>
                <w:u w:val="none"/>
              </w:rPr>
              <w:t>泄漏引起的火灾爆炸事故，对</w:t>
            </w:r>
            <w:r>
              <w:rPr>
                <w:rFonts w:hint="eastAsia"/>
                <w:color w:val="000000"/>
                <w:sz w:val="24"/>
                <w:u w:val="none"/>
                <w:lang w:val="en-US" w:eastAsia="zh-CN"/>
              </w:rPr>
              <w:t>周围生态</w:t>
            </w:r>
            <w:r>
              <w:rPr>
                <w:rFonts w:hint="eastAsia"/>
                <w:color w:val="000000"/>
                <w:sz w:val="24"/>
                <w:u w:val="none"/>
              </w:rPr>
              <w:t>环境造成污染</w:t>
            </w:r>
            <w:r>
              <w:rPr>
                <w:color w:val="000000"/>
                <w:sz w:val="24"/>
                <w:u w:val="none"/>
              </w:rPr>
              <w:t>和</w:t>
            </w:r>
            <w:r>
              <w:rPr>
                <w:rFonts w:hint="eastAsia"/>
                <w:color w:val="000000"/>
                <w:sz w:val="24"/>
                <w:u w:val="none"/>
              </w:rPr>
              <w:t>对</w:t>
            </w:r>
            <w:r>
              <w:rPr>
                <w:rFonts w:hint="eastAsia"/>
                <w:color w:val="000000"/>
                <w:sz w:val="24"/>
                <w:u w:val="none"/>
                <w:lang w:val="en-US" w:eastAsia="zh-CN"/>
              </w:rPr>
              <w:t>人身健康</w:t>
            </w:r>
            <w:r>
              <w:rPr>
                <w:rFonts w:hint="eastAsia"/>
                <w:color w:val="000000"/>
                <w:sz w:val="24"/>
                <w:u w:val="none"/>
              </w:rPr>
              <w:t>造成</w:t>
            </w:r>
            <w:r>
              <w:rPr>
                <w:color w:val="000000"/>
                <w:sz w:val="24"/>
                <w:u w:val="none"/>
              </w:rPr>
              <w:t>伤害</w:t>
            </w:r>
            <w:r>
              <w:rPr>
                <w:rFonts w:hint="eastAsia"/>
                <w:color w:val="000000"/>
                <w:sz w:val="24"/>
                <w:u w:val="none"/>
                <w:lang w:eastAsia="zh-CN"/>
              </w:rPr>
              <w:t>，</w:t>
            </w:r>
            <w:r>
              <w:rPr>
                <w:rFonts w:hint="eastAsia"/>
                <w:color w:val="000000"/>
                <w:sz w:val="24"/>
                <w:u w:val="none"/>
                <w:lang w:val="en-US" w:eastAsia="zh-CN"/>
              </w:rPr>
              <w:t>生产废水的泄露对地下水和土壤的污染，废气非正常工况下或超标排放对大气环境的影响</w:t>
            </w:r>
            <w:r>
              <w:rPr>
                <w:color w:val="000000"/>
                <w:sz w:val="24"/>
                <w:u w:val="none"/>
              </w:rPr>
              <w:t>。</w:t>
            </w:r>
          </w:p>
          <w:p w14:paraId="37EE48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val="0"/>
                <w:bCs w:val="0"/>
                <w:color w:val="000000"/>
                <w:kern w:val="0"/>
                <w:sz w:val="24"/>
                <w:u w:val="none"/>
              </w:rPr>
            </w:pPr>
            <w:r>
              <w:rPr>
                <w:rFonts w:hint="eastAsia"/>
                <w:b w:val="0"/>
                <w:bCs w:val="0"/>
                <w:color w:val="000000"/>
                <w:kern w:val="0"/>
                <w:sz w:val="24"/>
                <w:u w:val="none"/>
              </w:rPr>
              <w:t>6.</w:t>
            </w:r>
            <w:r>
              <w:rPr>
                <w:rFonts w:hint="eastAsia"/>
                <w:b w:val="0"/>
                <w:bCs w:val="0"/>
                <w:color w:val="000000"/>
                <w:kern w:val="0"/>
                <w:sz w:val="24"/>
                <w:u w:val="none"/>
                <w:lang w:val="en-US" w:eastAsia="zh-CN"/>
              </w:rPr>
              <w:t>4</w:t>
            </w:r>
            <w:r>
              <w:rPr>
                <w:b w:val="0"/>
                <w:bCs w:val="0"/>
                <w:color w:val="000000"/>
                <w:kern w:val="0"/>
                <w:sz w:val="24"/>
                <w:u w:val="none"/>
              </w:rPr>
              <w:t>环境风险防范措施及应急要求</w:t>
            </w:r>
          </w:p>
          <w:p w14:paraId="54D20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A-</w:t>
            </w:r>
            <w:r>
              <w:rPr>
                <w:rFonts w:hint="eastAsia" w:hAnsi="宋体" w:cs="Times New Roman"/>
                <w:color w:val="auto"/>
                <w:kern w:val="2"/>
                <w:sz w:val="24"/>
                <w:szCs w:val="24"/>
                <w:lang w:val="en-US" w:eastAsia="zh-CN" w:bidi="ar-SA"/>
              </w:rPr>
              <w:t>火灾</w:t>
            </w:r>
            <w:r>
              <w:rPr>
                <w:rFonts w:hint="eastAsia" w:ascii="Times New Roman" w:hAnsi="宋体" w:eastAsia="宋体" w:cs="Times New Roman"/>
                <w:color w:val="auto"/>
                <w:kern w:val="2"/>
                <w:sz w:val="24"/>
                <w:szCs w:val="24"/>
                <w:lang w:val="en-US" w:eastAsia="zh-CN" w:bidi="ar-SA"/>
              </w:rPr>
              <w:t>环境风险防范措施</w:t>
            </w:r>
          </w:p>
          <w:p w14:paraId="0F7B7304">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宋体" w:cs="Times New Roman"/>
                <w:color w:val="auto"/>
                <w:sz w:val="24"/>
                <w:highlight w:val="none"/>
              </w:rPr>
            </w:pPr>
            <w:r>
              <w:rPr>
                <w:rFonts w:hint="eastAsia" w:ascii="Times New Roman" w:hAnsi="宋体" w:cs="Times New Roman"/>
                <w:color w:val="auto"/>
                <w:sz w:val="24"/>
                <w:highlight w:val="none"/>
              </w:rPr>
              <w:t>在</w:t>
            </w:r>
            <w:r>
              <w:rPr>
                <w:rFonts w:hint="eastAsia" w:hAnsi="宋体" w:cs="Times New Roman"/>
                <w:color w:val="auto"/>
                <w:sz w:val="24"/>
                <w:highlight w:val="none"/>
                <w:lang w:val="en-US" w:eastAsia="zh-CN"/>
              </w:rPr>
              <w:t>燃</w:t>
            </w:r>
            <w:r>
              <w:rPr>
                <w:rFonts w:hint="eastAsia" w:ascii="Times New Roman" w:hAnsi="宋体" w:cs="Times New Roman"/>
                <w:color w:val="auto"/>
                <w:sz w:val="24"/>
                <w:highlight w:val="none"/>
              </w:rPr>
              <w:t>料输送环节上尽可能地</w:t>
            </w:r>
            <w:r>
              <w:rPr>
                <w:rFonts w:hint="eastAsia" w:hAnsi="宋体" w:cs="Times New Roman"/>
                <w:color w:val="auto"/>
                <w:sz w:val="24"/>
                <w:highlight w:val="none"/>
                <w:lang w:val="en-US" w:eastAsia="zh-CN"/>
              </w:rPr>
              <w:t>提前发现风险隐患</w:t>
            </w:r>
            <w:r>
              <w:rPr>
                <w:rFonts w:hint="eastAsia" w:ascii="Times New Roman" w:hAnsi="宋体" w:cs="Times New Roman"/>
                <w:color w:val="auto"/>
                <w:sz w:val="24"/>
                <w:highlight w:val="none"/>
              </w:rPr>
              <w:t>，如</w:t>
            </w:r>
            <w:r>
              <w:rPr>
                <w:rFonts w:hint="eastAsia" w:hAnsi="宋体" w:cs="Times New Roman"/>
                <w:color w:val="auto"/>
                <w:sz w:val="24"/>
                <w:highlight w:val="none"/>
                <w:lang w:val="en-US" w:eastAsia="zh-CN"/>
              </w:rPr>
              <w:t>管道破损</w:t>
            </w:r>
            <w:r>
              <w:rPr>
                <w:rFonts w:hint="eastAsia" w:ascii="Times New Roman" w:hAnsi="宋体" w:cs="Times New Roman"/>
                <w:color w:val="auto"/>
                <w:sz w:val="24"/>
                <w:highlight w:val="none"/>
              </w:rPr>
              <w:t>，</w:t>
            </w:r>
            <w:r>
              <w:rPr>
                <w:rFonts w:hint="eastAsia" w:hAnsi="宋体" w:cs="Times New Roman"/>
                <w:color w:val="auto"/>
                <w:sz w:val="24"/>
                <w:highlight w:val="none"/>
                <w:lang w:val="en-US" w:eastAsia="zh-CN"/>
              </w:rPr>
              <w:t>员工</w:t>
            </w:r>
            <w:r>
              <w:rPr>
                <w:rFonts w:hint="eastAsia" w:ascii="Times New Roman" w:hAnsi="宋体" w:cs="Times New Roman"/>
                <w:color w:val="auto"/>
                <w:sz w:val="24"/>
                <w:highlight w:val="none"/>
              </w:rPr>
              <w:t>误操作等，加强监督管理，严格看管检查制度，避免事故的发生</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highlight w:val="none"/>
              </w:rPr>
              <w:t>最大程度减少引起火灾的可能。</w:t>
            </w:r>
          </w:p>
          <w:p w14:paraId="11EA265F">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①</w:t>
            </w:r>
            <w:r>
              <w:rPr>
                <w:rFonts w:hint="eastAsia" w:ascii="Times New Roman" w:hAnsi="宋体" w:cs="Times New Roman"/>
                <w:color w:val="auto"/>
                <w:sz w:val="24"/>
                <w:highlight w:val="none"/>
              </w:rPr>
              <w:t>同时采取设置的移动式消防器材及固定式消防设施进行灭火。小火灾时用干粉或二氧化碳灭火器，大火灾时用水幕、雾状水或常规泡沫灭火。尽可能远距离灭火或使用遥控水枪、水炮等扑救，切勿直接对泄漏口或安全阀门喷水，防止产生冻结。</w:t>
            </w:r>
          </w:p>
          <w:p w14:paraId="7827D0AC">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②</w:t>
            </w:r>
            <w:r>
              <w:rPr>
                <w:rFonts w:hint="eastAsia" w:ascii="Times New Roman" w:hAnsi="宋体" w:cs="Times New Roman"/>
                <w:color w:val="auto"/>
                <w:sz w:val="24"/>
                <w:highlight w:val="none"/>
              </w:rPr>
              <w:t>一般建筑物火灾主要采用水灭火，利用消防栓、消防车、消防水枪并配合其他消防器材进行扑救。</w:t>
            </w:r>
          </w:p>
          <w:p w14:paraId="385930EA">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③</w:t>
            </w:r>
            <w:r>
              <w:rPr>
                <w:rFonts w:hint="eastAsia" w:ascii="Times New Roman" w:hAnsi="宋体" w:cs="Times New Roman"/>
                <w:color w:val="auto"/>
                <w:sz w:val="24"/>
                <w:highlight w:val="none"/>
              </w:rPr>
              <w:t>隔离、疏散、转移遇险人员到安全区域，按消防专业的要求警戒区，并在通往事故现场的主要干道上实行交通管制，除消防及应急处理人员外，其他人员禁止进入警戒区，并迅速撤离无关人员。</w:t>
            </w:r>
          </w:p>
          <w:p w14:paraId="658C2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t>B-大气事故风险防范措施</w:t>
            </w:r>
          </w:p>
          <w:p w14:paraId="601D9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hAnsi="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highlight w:val="none"/>
                <w:lang w:val="en-US" w:eastAsia="zh-CN" w:bidi="ar-SA"/>
              </w:rPr>
              <w:t>①加强对厂区原料</w:t>
            </w:r>
            <w:r>
              <w:rPr>
                <w:rFonts w:hint="eastAsia" w:ascii="Times New Roman" w:hAnsi="宋体" w:eastAsia="宋体" w:cs="Times New Roman"/>
                <w:color w:val="auto"/>
                <w:kern w:val="2"/>
                <w:sz w:val="24"/>
                <w:szCs w:val="24"/>
                <w:lang w:val="en-US" w:eastAsia="zh-CN" w:bidi="ar-SA"/>
              </w:rPr>
              <w:t>储存过程的管理，规范操作和使用规范，降低</w:t>
            </w:r>
            <w:r>
              <w:rPr>
                <w:rFonts w:hint="eastAsia" w:hAnsi="宋体" w:cs="Times New Roman"/>
                <w:color w:val="auto"/>
                <w:kern w:val="2"/>
                <w:sz w:val="24"/>
                <w:szCs w:val="24"/>
                <w:lang w:val="en-US" w:eastAsia="zh-CN" w:bidi="ar-SA"/>
              </w:rPr>
              <w:t>原料不合格使用的</w:t>
            </w:r>
            <w:r>
              <w:rPr>
                <w:rFonts w:hint="eastAsia" w:ascii="Times New Roman" w:hAnsi="宋体" w:eastAsia="宋体" w:cs="Times New Roman"/>
                <w:color w:val="auto"/>
                <w:kern w:val="2"/>
                <w:sz w:val="24"/>
                <w:szCs w:val="24"/>
                <w:lang w:val="en-US" w:eastAsia="zh-CN" w:bidi="ar-SA"/>
              </w:rPr>
              <w:t>概率；避免阳光直射、暴晒，</w:t>
            </w:r>
            <w:r>
              <w:rPr>
                <w:rFonts w:hint="eastAsia" w:hAnsi="宋体" w:cs="Times New Roman"/>
                <w:color w:val="auto"/>
                <w:kern w:val="2"/>
                <w:sz w:val="24"/>
                <w:szCs w:val="24"/>
                <w:lang w:val="en-US" w:eastAsia="zh-CN" w:bidi="ar-SA"/>
              </w:rPr>
              <w:t>干燥状态或低温状态存放。</w:t>
            </w:r>
          </w:p>
          <w:p w14:paraId="7C0F1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②设置管理台账，入库时应检验物品质量、数量、包装等情况；入库后采取适当的防护措施，定期检查，并建立严格的入库管理制度；</w:t>
            </w:r>
          </w:p>
          <w:p w14:paraId="777E4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③设置原料的购置要求，采购的原辅材料品质必须符合</w:t>
            </w:r>
            <w:r>
              <w:rPr>
                <w:rFonts w:hint="eastAsia" w:hAnsi="宋体" w:cs="Times New Roman"/>
                <w:color w:val="auto"/>
                <w:kern w:val="2"/>
                <w:sz w:val="24"/>
                <w:szCs w:val="24"/>
                <w:lang w:val="en-US" w:eastAsia="zh-CN" w:bidi="ar-SA"/>
              </w:rPr>
              <w:t>食品</w:t>
            </w:r>
            <w:r>
              <w:rPr>
                <w:rFonts w:hint="eastAsia" w:ascii="Times New Roman" w:hAnsi="宋体" w:eastAsia="宋体" w:cs="Times New Roman"/>
                <w:color w:val="auto"/>
                <w:kern w:val="2"/>
                <w:sz w:val="24"/>
                <w:szCs w:val="24"/>
                <w:lang w:val="en-US" w:eastAsia="zh-CN" w:bidi="ar-SA"/>
              </w:rPr>
              <w:t>安全和材质证明所规定的各项要求；要求供应商提供</w:t>
            </w:r>
            <w:r>
              <w:rPr>
                <w:rFonts w:hint="eastAsia" w:hAnsi="宋体" w:cs="Times New Roman"/>
                <w:color w:val="auto"/>
                <w:kern w:val="2"/>
                <w:sz w:val="24"/>
                <w:szCs w:val="24"/>
                <w:lang w:val="en-US" w:eastAsia="zh-CN" w:bidi="ar-SA"/>
              </w:rPr>
              <w:t>食品许可</w:t>
            </w:r>
            <w:r>
              <w:rPr>
                <w:rFonts w:hint="eastAsia" w:ascii="Times New Roman" w:hAnsi="宋体" w:eastAsia="宋体" w:cs="Times New Roman"/>
                <w:color w:val="auto"/>
                <w:kern w:val="2"/>
                <w:sz w:val="24"/>
                <w:szCs w:val="24"/>
                <w:lang w:val="en-US" w:eastAsia="zh-CN" w:bidi="ar-SA"/>
              </w:rPr>
              <w:t>说明书；</w:t>
            </w:r>
          </w:p>
          <w:p w14:paraId="5A33A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hAnsi="宋体" w:cs="Times New Roman"/>
                <w:color w:val="auto"/>
                <w:kern w:val="2"/>
                <w:sz w:val="24"/>
                <w:szCs w:val="24"/>
                <w:lang w:val="en-US" w:eastAsia="zh-CN" w:bidi="ar-SA"/>
              </w:rPr>
              <w:t>④</w:t>
            </w:r>
            <w:r>
              <w:rPr>
                <w:rFonts w:hint="eastAsia" w:ascii="Times New Roman" w:hAnsi="宋体" w:eastAsia="宋体" w:cs="Times New Roman"/>
                <w:color w:val="auto"/>
                <w:kern w:val="2"/>
                <w:sz w:val="24"/>
                <w:szCs w:val="24"/>
                <w:lang w:val="en-US" w:eastAsia="zh-CN" w:bidi="ar-SA"/>
              </w:rPr>
              <w:t>配备必要的火灾应急救援器材、设备，对消防措施定期检查。若发生火灾，迅速转移人员，并用一切可能的消防器材全力灭火，及时拨打火灾报警电话。严禁火源进入</w:t>
            </w:r>
            <w:r>
              <w:rPr>
                <w:rFonts w:hint="eastAsia" w:hAnsi="宋体" w:cs="Times New Roman"/>
                <w:color w:val="auto"/>
                <w:kern w:val="2"/>
                <w:sz w:val="24"/>
                <w:szCs w:val="24"/>
                <w:lang w:val="en-US" w:eastAsia="zh-CN" w:bidi="ar-SA"/>
              </w:rPr>
              <w:t>锅炉区域</w:t>
            </w:r>
            <w:r>
              <w:rPr>
                <w:rFonts w:hint="eastAsia" w:ascii="Times New Roman" w:hAnsi="宋体" w:eastAsia="宋体" w:cs="Times New Roman"/>
                <w:color w:val="auto"/>
                <w:kern w:val="2"/>
                <w:sz w:val="24"/>
                <w:szCs w:val="24"/>
                <w:lang w:val="en-US" w:eastAsia="zh-CN" w:bidi="ar-SA"/>
              </w:rPr>
              <w:t>，对明火严格控制，明火发生源为火柴、打火机等，维修用火控制，对设备维修检查，需进行维修焊接，应经安全部门确认、准许，并有记录在案。</w:t>
            </w:r>
          </w:p>
          <w:p w14:paraId="7D1D5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另外如果废气处理设施发生故障的，会造成工艺废气直排入环境中，造成大气污染。一旦造成废气事故排放时，就可能对车间的工人、周围居民、其他厂工人、大气环境产生影响。建设单位必须严加管理，杜绝事故排放的事故发生。建设单位应认真做好设备的保养，定期维护、保修工作，使处理设施达到预期效果。为确保不发生事故性废气排放，建议建设单位采取一定的事故性防范保护措施：</w:t>
            </w:r>
          </w:p>
          <w:p w14:paraId="515C8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①生产车间应做到相对密闭状态，加强对各生产设备的维修及保养，设置设备管理人员，提高管理人员素质，并设置生产车间事故应急措施及管理制度，确保设备长期处于良好状态。日常环保工作中加大废气处理的力度和加强环保设施管理工作，按时对</w:t>
            </w:r>
            <w:r>
              <w:rPr>
                <w:rFonts w:hint="eastAsia" w:hAnsi="宋体" w:cs="Times New Roman"/>
                <w:color w:val="auto"/>
                <w:kern w:val="2"/>
                <w:sz w:val="24"/>
                <w:szCs w:val="24"/>
                <w:lang w:val="en-US" w:eastAsia="zh-CN" w:bidi="ar-SA"/>
              </w:rPr>
              <w:t>油烟净化器</w:t>
            </w:r>
            <w:r>
              <w:rPr>
                <w:rFonts w:hint="eastAsia" w:ascii="Times New Roman" w:hAnsi="宋体" w:eastAsia="宋体" w:cs="Times New Roman"/>
                <w:color w:val="auto"/>
                <w:kern w:val="2"/>
                <w:sz w:val="24"/>
                <w:szCs w:val="24"/>
                <w:lang w:val="en-US" w:eastAsia="zh-CN" w:bidi="ar-SA"/>
              </w:rPr>
              <w:t>处理装置进行维护保养，保证废气处理设施能有效运转。严禁出现风机失效、废气未收集无组织排放的工况。一旦出现事故性排放应及时停止生产操作，待修复后再进行生产；</w:t>
            </w:r>
          </w:p>
          <w:p w14:paraId="16388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②现场</w:t>
            </w:r>
            <w:r>
              <w:rPr>
                <w:rFonts w:hint="eastAsia" w:hAnsi="宋体" w:cs="Times New Roman"/>
                <w:color w:val="auto"/>
                <w:kern w:val="2"/>
                <w:sz w:val="24"/>
                <w:szCs w:val="24"/>
                <w:lang w:val="en-US" w:eastAsia="zh-CN" w:bidi="ar-SA"/>
              </w:rPr>
              <w:t>工作</w:t>
            </w:r>
            <w:r>
              <w:rPr>
                <w:rFonts w:hint="eastAsia" w:ascii="Times New Roman" w:hAnsi="宋体" w:eastAsia="宋体" w:cs="Times New Roman"/>
                <w:color w:val="auto"/>
                <w:kern w:val="2"/>
                <w:sz w:val="24"/>
                <w:szCs w:val="24"/>
                <w:lang w:val="en-US" w:eastAsia="zh-CN" w:bidi="ar-SA"/>
              </w:rPr>
              <w:t>人员定时记录废气处理状况，如对废气处理设施的抽风机等设备进行点检工作，并派专人巡视，遇不良工作状况立即停止生产，维修正常后再开始作业，杜绝事故性废气直排，并及时呈报单位主管</w:t>
            </w:r>
            <w:r>
              <w:rPr>
                <w:rFonts w:hint="eastAsia" w:hAnsi="宋体" w:cs="Times New Roman"/>
                <w:color w:val="auto"/>
                <w:kern w:val="2"/>
                <w:sz w:val="24"/>
                <w:szCs w:val="24"/>
                <w:lang w:val="en-US" w:eastAsia="zh-CN" w:bidi="ar-SA"/>
              </w:rPr>
              <w:t>。</w:t>
            </w:r>
          </w:p>
          <w:p w14:paraId="6E18B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宋体" w:cs="Times New Roman"/>
                <w:b w:val="0"/>
                <w:bCs w:val="0"/>
                <w:color w:val="auto"/>
                <w:sz w:val="24"/>
              </w:rPr>
            </w:pPr>
            <w:r>
              <w:rPr>
                <w:rFonts w:hint="eastAsia" w:hAnsi="宋体" w:cs="Times New Roman"/>
                <w:color w:val="auto"/>
                <w:sz w:val="24"/>
                <w:lang w:val="en-US" w:eastAsia="zh-CN"/>
              </w:rPr>
              <w:t>6.5</w:t>
            </w:r>
            <w:r>
              <w:rPr>
                <w:rFonts w:hint="default" w:ascii="Times New Roman" w:hAnsi="宋体" w:cs="Times New Roman"/>
                <w:b w:val="0"/>
                <w:bCs w:val="0"/>
                <w:color w:val="auto"/>
                <w:sz w:val="24"/>
              </w:rPr>
              <w:t>环境风险评价结论</w:t>
            </w:r>
          </w:p>
          <w:p w14:paraId="50BB1CA8">
            <w:pPr>
              <w:keepNext w:val="0"/>
              <w:keepLines w:val="0"/>
              <w:pageBreakBefore w:val="0"/>
              <w:widowControl w:val="0"/>
              <w:kinsoku/>
              <w:wordWrap/>
              <w:overflowPunct/>
              <w:topLinePunct w:val="0"/>
              <w:bidi w:val="0"/>
              <w:spacing w:line="500" w:lineRule="exact"/>
              <w:ind w:firstLine="480" w:firstLineChars="200"/>
              <w:textAlignment w:val="auto"/>
              <w:rPr>
                <w:color w:val="000000"/>
                <w:sz w:val="24"/>
                <w:u w:val="none"/>
              </w:rPr>
            </w:pPr>
            <w:r>
              <w:rPr>
                <w:rFonts w:hint="default" w:ascii="Times New Roman" w:hAnsi="宋体" w:cs="Times New Roman"/>
                <w:color w:val="auto"/>
                <w:sz w:val="24"/>
              </w:rPr>
              <w:t>在采取加强管理和本环评报告建议的各类有针对性的措施的前提下，该项目采取的风险防范措施可有效避免风险事故对周围环境产生不利影响，则该项目环境风险度在可接受范围内</w:t>
            </w:r>
            <w:r>
              <w:rPr>
                <w:rFonts w:hint="default" w:ascii="Times New Roman" w:hAnsi="宋体" w:cs="Times New Roman"/>
                <w:color w:val="auto"/>
                <w:spacing w:val="8"/>
                <w:sz w:val="24"/>
              </w:rPr>
              <w:t>。</w:t>
            </w:r>
          </w:p>
          <w:p w14:paraId="6033D421">
            <w:pPr>
              <w:keepNext w:val="0"/>
              <w:keepLines w:val="0"/>
              <w:pageBreakBefore w:val="0"/>
              <w:widowControl w:val="0"/>
              <w:kinsoku/>
              <w:wordWrap/>
              <w:overflowPunct/>
              <w:topLinePunct w:val="0"/>
              <w:bidi w:val="0"/>
              <w:spacing w:line="500" w:lineRule="exact"/>
              <w:ind w:firstLine="482" w:firstLineChars="200"/>
              <w:textAlignment w:val="auto"/>
              <w:rPr>
                <w:b/>
                <w:sz w:val="24"/>
                <w:szCs w:val="24"/>
                <w:u w:val="none"/>
              </w:rPr>
            </w:pPr>
            <w:r>
              <w:rPr>
                <w:rFonts w:hint="eastAsia"/>
                <w:b/>
                <w:sz w:val="24"/>
                <w:szCs w:val="24"/>
                <w:highlight w:val="none"/>
                <w:u w:val="none"/>
                <w:lang w:val="en-US" w:eastAsia="zh-CN"/>
              </w:rPr>
              <w:t>7</w:t>
            </w:r>
            <w:r>
              <w:rPr>
                <w:b/>
                <w:sz w:val="24"/>
                <w:szCs w:val="24"/>
                <w:highlight w:val="none"/>
                <w:u w:val="none"/>
              </w:rPr>
              <w:t>、</w:t>
            </w:r>
            <w:r>
              <w:rPr>
                <w:b/>
                <w:sz w:val="24"/>
                <w:szCs w:val="24"/>
                <w:u w:val="none"/>
              </w:rPr>
              <w:t>环境监测</w:t>
            </w:r>
          </w:p>
          <w:p w14:paraId="2E11DDA2">
            <w:pPr>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0" w:firstLineChars="200"/>
              <w:textAlignment w:val="auto"/>
              <w:rPr>
                <w:rFonts w:hint="default"/>
                <w:color w:val="auto"/>
                <w:sz w:val="24"/>
                <w:szCs w:val="24"/>
              </w:rPr>
            </w:pPr>
            <w:r>
              <w:rPr>
                <w:rFonts w:hint="default"/>
                <w:color w:val="auto"/>
                <w:sz w:val="24"/>
                <w:szCs w:val="24"/>
              </w:rPr>
              <w:t>环境监测是工业污染防治的依据和环境管理的基础，加强污染监控工作是了解和掌握企业排污特征，实施</w:t>
            </w:r>
            <w:r>
              <w:rPr>
                <w:rFonts w:hint="eastAsia"/>
                <w:color w:val="auto"/>
                <w:sz w:val="24"/>
                <w:szCs w:val="24"/>
              </w:rPr>
              <w:t>“</w:t>
            </w:r>
            <w:r>
              <w:rPr>
                <w:rFonts w:hint="default"/>
                <w:color w:val="auto"/>
                <w:sz w:val="24"/>
                <w:szCs w:val="24"/>
              </w:rPr>
              <w:t>生产全过程污染控制</w:t>
            </w:r>
            <w:r>
              <w:rPr>
                <w:rFonts w:hint="eastAsia"/>
                <w:color w:val="auto"/>
                <w:sz w:val="24"/>
                <w:szCs w:val="24"/>
              </w:rPr>
              <w:t>”</w:t>
            </w:r>
            <w:r>
              <w:rPr>
                <w:rFonts w:hint="default"/>
                <w:color w:val="auto"/>
                <w:sz w:val="24"/>
                <w:szCs w:val="24"/>
              </w:rPr>
              <w:t>的重要措施，是为环境管理提供科学依据的基础性工作，是执行环保法规、评价环境质量、判断环保治理措施运行效果的重要手段。</w:t>
            </w:r>
          </w:p>
          <w:p w14:paraId="5C91A836">
            <w:pPr>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0" w:firstLineChars="200"/>
              <w:textAlignment w:val="auto"/>
              <w:rPr>
                <w:rFonts w:hint="eastAsia"/>
                <w:color w:val="auto"/>
                <w:sz w:val="24"/>
                <w:szCs w:val="24"/>
              </w:rPr>
            </w:pPr>
            <w:r>
              <w:rPr>
                <w:rFonts w:hint="default"/>
                <w:color w:val="auto"/>
                <w:sz w:val="24"/>
                <w:szCs w:val="24"/>
              </w:rPr>
              <w:t>本项目</w:t>
            </w:r>
            <w:r>
              <w:rPr>
                <w:rFonts w:hint="eastAsia"/>
                <w:color w:val="auto"/>
                <w:sz w:val="24"/>
                <w:szCs w:val="24"/>
              </w:rPr>
              <w:t>营运</w:t>
            </w:r>
            <w:r>
              <w:rPr>
                <w:rFonts w:hint="default"/>
                <w:color w:val="auto"/>
                <w:sz w:val="24"/>
                <w:szCs w:val="24"/>
              </w:rPr>
              <w:t>过程中，应对厂区及其周围环境（空气、噪声等）进行定期监测，以便及时了解本项目对周围环境的污染状况，掌握其变化规律，为环境管理控制污染和保护环境提供依据。</w:t>
            </w:r>
          </w:p>
          <w:p w14:paraId="3243F696">
            <w:pPr>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0" w:firstLineChars="200"/>
              <w:textAlignment w:val="auto"/>
              <w:rPr>
                <w:rFonts w:hint="eastAsia"/>
                <w:color w:val="auto"/>
                <w:sz w:val="24"/>
                <w:szCs w:val="24"/>
              </w:rPr>
            </w:pPr>
            <w:r>
              <w:rPr>
                <w:rFonts w:hint="default"/>
                <w:color w:val="auto"/>
                <w:sz w:val="24"/>
                <w:szCs w:val="24"/>
              </w:rPr>
              <w:t>根据本项目实际情况，评价建议</w:t>
            </w:r>
            <w:r>
              <w:rPr>
                <w:rFonts w:hint="eastAsia"/>
                <w:color w:val="auto"/>
                <w:sz w:val="24"/>
                <w:szCs w:val="24"/>
              </w:rPr>
              <w:t>建设方委托有资质的第三方监测机构对项目营运期间的污染物排放情况进行定期监测，具体的监测计划见下表：</w:t>
            </w:r>
          </w:p>
          <w:p w14:paraId="29B7D560">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eastAsia="黑体"/>
                <w:bCs/>
                <w:color w:val="000000"/>
                <w:sz w:val="24"/>
                <w:highlight w:val="none"/>
                <w:u w:val="none"/>
              </w:rPr>
            </w:pPr>
            <w:r>
              <w:rPr>
                <w:rFonts w:eastAsia="黑体"/>
                <w:bCs/>
                <w:color w:val="000000"/>
                <w:sz w:val="24"/>
                <w:highlight w:val="none"/>
                <w:u w:val="none"/>
              </w:rPr>
              <w:t>表</w:t>
            </w:r>
            <w:r>
              <w:rPr>
                <w:rFonts w:hint="eastAsia" w:eastAsia="黑体"/>
                <w:bCs/>
                <w:color w:val="000000"/>
                <w:sz w:val="24"/>
                <w:highlight w:val="none"/>
                <w:u w:val="none"/>
                <w:lang w:val="en-US" w:eastAsia="zh-CN"/>
              </w:rPr>
              <w:t>4-21</w:t>
            </w:r>
            <w:r>
              <w:rPr>
                <w:rFonts w:hint="eastAsia" w:eastAsia="黑体"/>
                <w:bCs/>
                <w:color w:val="000000"/>
                <w:sz w:val="24"/>
                <w:highlight w:val="none"/>
                <w:u w:val="none"/>
              </w:rPr>
              <w:t xml:space="preserve"> 项目</w:t>
            </w:r>
            <w:r>
              <w:rPr>
                <w:rFonts w:eastAsia="黑体"/>
                <w:bCs/>
                <w:color w:val="000000"/>
                <w:sz w:val="24"/>
                <w:highlight w:val="none"/>
                <w:u w:val="none"/>
              </w:rPr>
              <w:t>运营期环境监测计划表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Layout w:type="fixed"/>
              <w:tblCellMar>
                <w:top w:w="0" w:type="dxa"/>
                <w:left w:w="108" w:type="dxa"/>
                <w:bottom w:w="0" w:type="dxa"/>
                <w:right w:w="108" w:type="dxa"/>
              </w:tblCellMar>
            </w:tblPr>
            <w:tblGrid>
              <w:gridCol w:w="394"/>
              <w:gridCol w:w="852"/>
              <w:gridCol w:w="912"/>
              <w:gridCol w:w="1032"/>
              <w:gridCol w:w="1236"/>
              <w:gridCol w:w="3451"/>
            </w:tblGrid>
            <w:tr w14:paraId="2109E669">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344" w:hRule="atLeast"/>
                <w:jc w:val="center"/>
              </w:trPr>
              <w:tc>
                <w:tcPr>
                  <w:tcW w:w="1246" w:type="dxa"/>
                  <w:gridSpan w:val="2"/>
                  <w:tcBorders>
                    <w:tl2br w:val="nil"/>
                    <w:tr2bl w:val="nil"/>
                  </w:tcBorders>
                  <w:noWrap w:val="0"/>
                  <w:vAlign w:val="center"/>
                </w:tcPr>
                <w:p w14:paraId="08EDD82F">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类别</w:t>
                  </w:r>
                </w:p>
              </w:tc>
              <w:tc>
                <w:tcPr>
                  <w:tcW w:w="912" w:type="dxa"/>
                  <w:tcBorders>
                    <w:tl2br w:val="nil"/>
                    <w:tr2bl w:val="nil"/>
                  </w:tcBorders>
                  <w:noWrap w:val="0"/>
                  <w:vAlign w:val="center"/>
                </w:tcPr>
                <w:p w14:paraId="735AE33A">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监测</w:t>
                  </w:r>
                </w:p>
                <w:p w14:paraId="18E93A3A">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点位</w:t>
                  </w:r>
                </w:p>
              </w:tc>
              <w:tc>
                <w:tcPr>
                  <w:tcW w:w="1032" w:type="dxa"/>
                  <w:tcBorders>
                    <w:tl2br w:val="nil"/>
                    <w:tr2bl w:val="nil"/>
                  </w:tcBorders>
                  <w:noWrap w:val="0"/>
                  <w:vAlign w:val="center"/>
                </w:tcPr>
                <w:p w14:paraId="0DC3E79B">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监测</w:t>
                  </w:r>
                </w:p>
                <w:p w14:paraId="3A1FD7FE">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因子</w:t>
                  </w:r>
                </w:p>
              </w:tc>
              <w:tc>
                <w:tcPr>
                  <w:tcW w:w="1236" w:type="dxa"/>
                  <w:tcBorders>
                    <w:tl2br w:val="nil"/>
                    <w:tr2bl w:val="nil"/>
                  </w:tcBorders>
                  <w:noWrap w:val="0"/>
                  <w:vAlign w:val="center"/>
                </w:tcPr>
                <w:p w14:paraId="5E61D274">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监测</w:t>
                  </w:r>
                </w:p>
                <w:p w14:paraId="7E7144BB">
                  <w:pPr>
                    <w:pStyle w:val="18"/>
                    <w:spacing w:line="300" w:lineRule="exact"/>
                    <w:rPr>
                      <w:rFonts w:hint="default" w:ascii="Times New Roman" w:hAnsi="Times New Roman" w:cs="Times New Roman"/>
                      <w:b/>
                      <w:bCs w:val="0"/>
                      <w:sz w:val="21"/>
                      <w:szCs w:val="21"/>
                      <w:highlight w:val="none"/>
                      <w:u w:val="none"/>
                    </w:rPr>
                  </w:pPr>
                  <w:r>
                    <w:rPr>
                      <w:rFonts w:hint="default" w:ascii="Times New Roman" w:hAnsi="Times New Roman" w:cs="Times New Roman"/>
                      <w:b/>
                      <w:bCs w:val="0"/>
                      <w:sz w:val="21"/>
                      <w:szCs w:val="21"/>
                      <w:highlight w:val="none"/>
                      <w:u w:val="none"/>
                    </w:rPr>
                    <w:t>频率</w:t>
                  </w:r>
                </w:p>
              </w:tc>
              <w:tc>
                <w:tcPr>
                  <w:tcW w:w="3451" w:type="dxa"/>
                  <w:tcBorders>
                    <w:tl2br w:val="nil"/>
                    <w:tr2bl w:val="nil"/>
                  </w:tcBorders>
                  <w:noWrap w:val="0"/>
                  <w:vAlign w:val="center"/>
                </w:tcPr>
                <w:p w14:paraId="5808EB3C">
                  <w:pPr>
                    <w:pStyle w:val="18"/>
                    <w:spacing w:line="300" w:lineRule="exact"/>
                    <w:rPr>
                      <w:rFonts w:hint="default" w:ascii="Times New Roman" w:hAnsi="Times New Roman" w:eastAsia="宋体" w:cs="Times New Roman"/>
                      <w:b/>
                      <w:bCs w:val="0"/>
                      <w:sz w:val="21"/>
                      <w:szCs w:val="21"/>
                      <w:highlight w:val="none"/>
                      <w:u w:val="none"/>
                      <w:lang w:eastAsia="zh-CN"/>
                    </w:rPr>
                  </w:pPr>
                  <w:r>
                    <w:rPr>
                      <w:rFonts w:hint="default" w:ascii="Times New Roman" w:hAnsi="Times New Roman" w:cs="Times New Roman"/>
                      <w:b/>
                      <w:bCs w:val="0"/>
                      <w:sz w:val="21"/>
                      <w:szCs w:val="21"/>
                      <w:highlight w:val="none"/>
                      <w:u w:val="none"/>
                      <w:lang w:eastAsia="zh-CN"/>
                    </w:rPr>
                    <w:t>执行标准</w:t>
                  </w:r>
                </w:p>
              </w:tc>
            </w:tr>
            <w:tr w14:paraId="510314AE">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358" w:hRule="atLeast"/>
                <w:jc w:val="center"/>
              </w:trPr>
              <w:tc>
                <w:tcPr>
                  <w:tcW w:w="394" w:type="dxa"/>
                  <w:vMerge w:val="restart"/>
                  <w:tcBorders>
                    <w:tl2br w:val="nil"/>
                    <w:tr2bl w:val="nil"/>
                  </w:tcBorders>
                  <w:noWrap w:val="0"/>
                  <w:vAlign w:val="center"/>
                </w:tcPr>
                <w:p w14:paraId="3C72DB2F">
                  <w:pPr>
                    <w:pStyle w:val="18"/>
                    <w:spacing w:line="300" w:lineRule="exact"/>
                    <w:rPr>
                      <w:rFonts w:hint="default" w:ascii="Times New Roman" w:hAnsi="Times New Roman" w:cs="Times New Roman"/>
                      <w:b w:val="0"/>
                      <w:sz w:val="21"/>
                      <w:szCs w:val="21"/>
                      <w:highlight w:val="none"/>
                      <w:u w:val="none"/>
                    </w:rPr>
                  </w:pPr>
                  <w:r>
                    <w:rPr>
                      <w:rFonts w:hint="default" w:ascii="Times New Roman" w:hAnsi="Times New Roman" w:cs="Times New Roman"/>
                      <w:b w:val="0"/>
                      <w:sz w:val="21"/>
                      <w:szCs w:val="21"/>
                      <w:highlight w:val="none"/>
                      <w:u w:val="none"/>
                    </w:rPr>
                    <w:t>废气</w:t>
                  </w:r>
                </w:p>
              </w:tc>
              <w:tc>
                <w:tcPr>
                  <w:tcW w:w="852" w:type="dxa"/>
                  <w:tcBorders>
                    <w:tl2br w:val="nil"/>
                    <w:tr2bl w:val="nil"/>
                  </w:tcBorders>
                  <w:noWrap w:val="0"/>
                  <w:vAlign w:val="center"/>
                </w:tcPr>
                <w:p w14:paraId="1872D272">
                  <w:pPr>
                    <w:pStyle w:val="18"/>
                    <w:spacing w:line="300" w:lineRule="exact"/>
                    <w:rPr>
                      <w:rFonts w:hint="default" w:ascii="Times New Roman" w:hAnsi="Times New Roman" w:cs="Times New Roman"/>
                      <w:b w:val="0"/>
                      <w:sz w:val="21"/>
                      <w:szCs w:val="21"/>
                      <w:highlight w:val="none"/>
                      <w:u w:val="none"/>
                    </w:rPr>
                  </w:pPr>
                  <w:r>
                    <w:rPr>
                      <w:rFonts w:hint="default" w:ascii="Times New Roman" w:hAnsi="Times New Roman" w:cs="Times New Roman"/>
                      <w:b w:val="0"/>
                      <w:sz w:val="21"/>
                      <w:szCs w:val="21"/>
                      <w:highlight w:val="none"/>
                      <w:u w:val="none"/>
                    </w:rPr>
                    <w:t>有组织</w:t>
                  </w:r>
                </w:p>
                <w:p w14:paraId="5E9D4B7D">
                  <w:pPr>
                    <w:pStyle w:val="18"/>
                    <w:spacing w:line="300" w:lineRule="exact"/>
                    <w:rPr>
                      <w:rFonts w:hint="default" w:ascii="Times New Roman" w:hAnsi="Times New Roman" w:cs="Times New Roman"/>
                      <w:b w:val="0"/>
                      <w:sz w:val="21"/>
                      <w:szCs w:val="21"/>
                      <w:highlight w:val="none"/>
                      <w:u w:val="none"/>
                    </w:rPr>
                  </w:pPr>
                  <w:r>
                    <w:rPr>
                      <w:rFonts w:hint="default" w:ascii="Times New Roman" w:hAnsi="Times New Roman" w:cs="Times New Roman"/>
                      <w:b w:val="0"/>
                      <w:sz w:val="21"/>
                      <w:szCs w:val="21"/>
                      <w:highlight w:val="none"/>
                      <w:u w:val="none"/>
                    </w:rPr>
                    <w:t>废气</w:t>
                  </w:r>
                </w:p>
              </w:tc>
              <w:tc>
                <w:tcPr>
                  <w:tcW w:w="912" w:type="dxa"/>
                  <w:tcBorders>
                    <w:tl2br w:val="nil"/>
                    <w:tr2bl w:val="nil"/>
                  </w:tcBorders>
                  <w:noWrap w:val="0"/>
                  <w:vAlign w:val="center"/>
                </w:tcPr>
                <w:p w14:paraId="6250BD97">
                  <w:pPr>
                    <w:spacing w:line="300" w:lineRule="exact"/>
                    <w:jc w:val="center"/>
                    <w:rPr>
                      <w:rFonts w:hint="default" w:ascii="Times New Roman" w:hAnsi="Times New Roman" w:eastAsia="宋体" w:cs="Times New Roman"/>
                      <w:bCs/>
                      <w:color w:val="000000"/>
                      <w:szCs w:val="21"/>
                      <w:highlight w:val="none"/>
                      <w:u w:val="none"/>
                      <w:lang w:val="en-US" w:eastAsia="zh-CN"/>
                    </w:rPr>
                  </w:pPr>
                  <w:r>
                    <w:rPr>
                      <w:rFonts w:hint="default" w:ascii="Times New Roman" w:hAnsi="Times New Roman" w:cs="Times New Roman"/>
                      <w:bCs/>
                      <w:color w:val="000000"/>
                      <w:szCs w:val="21"/>
                      <w:highlight w:val="none"/>
                      <w:u w:val="none"/>
                      <w:lang w:val="en-US" w:eastAsia="zh-CN"/>
                    </w:rPr>
                    <w:t>排气筒</w:t>
                  </w:r>
                  <w:r>
                    <w:rPr>
                      <w:rFonts w:hint="default" w:ascii="Times New Roman" w:hAnsi="Times New Roman" w:cs="Times New Roman"/>
                      <w:bCs/>
                      <w:color w:val="000000"/>
                      <w:szCs w:val="21"/>
                      <w:highlight w:val="none"/>
                      <w:u w:val="none"/>
                    </w:rPr>
                    <w:t>DA001</w:t>
                  </w:r>
                </w:p>
              </w:tc>
              <w:tc>
                <w:tcPr>
                  <w:tcW w:w="1032" w:type="dxa"/>
                  <w:tcBorders>
                    <w:tl2br w:val="nil"/>
                    <w:tr2bl w:val="nil"/>
                  </w:tcBorders>
                  <w:noWrap w:val="0"/>
                  <w:vAlign w:val="center"/>
                </w:tcPr>
                <w:p w14:paraId="6035D201">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cs="Times New Roman"/>
                      <w:sz w:val="21"/>
                      <w:szCs w:val="21"/>
                      <w:highlight w:val="none"/>
                      <w:lang w:val="en-US" w:eastAsia="zh-CN"/>
                    </w:rPr>
                    <w:t>颗粒物、SO</w:t>
                  </w:r>
                  <w:r>
                    <w:rPr>
                      <w:rFonts w:hint="default" w:ascii="Times New Roman" w:hAnsi="Times New Roman" w:cs="Times New Roman"/>
                      <w:sz w:val="21"/>
                      <w:szCs w:val="21"/>
                      <w:highlight w:val="none"/>
                      <w:vertAlign w:val="subscript"/>
                      <w:lang w:val="en-US" w:eastAsia="zh-CN"/>
                    </w:rPr>
                    <w:t>2</w:t>
                  </w:r>
                  <w:r>
                    <w:rPr>
                      <w:rFonts w:hint="default" w:ascii="Times New Roman" w:hAnsi="Times New Roman" w:cs="Times New Roman"/>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u w:val="none"/>
                      <w:lang w:val="en-US" w:eastAsia="zh-CN"/>
                    </w:rPr>
                    <w:t>NO</w:t>
                  </w:r>
                  <w:r>
                    <w:rPr>
                      <w:rFonts w:hint="default" w:ascii="Times New Roman" w:hAnsi="Times New Roman" w:cs="Times New Roman"/>
                      <w:b w:val="0"/>
                      <w:bCs w:val="0"/>
                      <w:color w:val="auto"/>
                      <w:sz w:val="21"/>
                      <w:szCs w:val="21"/>
                      <w:highlight w:val="none"/>
                      <w:u w:val="none"/>
                      <w:vertAlign w:val="subscript"/>
                      <w:lang w:val="en-US" w:eastAsia="zh-CN"/>
                    </w:rPr>
                    <w:t>2</w:t>
                  </w:r>
                  <w:r>
                    <w:rPr>
                      <w:rFonts w:hint="default" w:ascii="Times New Roman" w:hAnsi="Times New Roman" w:eastAsia="宋体" w:cs="Times New Roman"/>
                      <w:sz w:val="24"/>
                      <w:szCs w:val="24"/>
                      <w:highlight w:val="none"/>
                    </w:rPr>
                    <w:t>、</w:t>
                  </w:r>
                </w:p>
                <w:p w14:paraId="3A7EB869">
                  <w:pPr>
                    <w:spacing w:line="300" w:lineRule="exact"/>
                    <w:jc w:val="center"/>
                    <w:rPr>
                      <w:rFonts w:hint="default" w:ascii="Times New Roman" w:hAnsi="Times New Roman" w:cs="Times New Roman"/>
                      <w:bCs/>
                      <w:szCs w:val="21"/>
                      <w:highlight w:val="none"/>
                      <w:u w:val="none"/>
                    </w:rPr>
                  </w:pPr>
                  <w:r>
                    <w:rPr>
                      <w:rFonts w:hint="default" w:ascii="Times New Roman" w:hAnsi="Times New Roman" w:eastAsia="宋体" w:cs="Times New Roman"/>
                      <w:sz w:val="21"/>
                      <w:szCs w:val="21"/>
                      <w:highlight w:val="none"/>
                    </w:rPr>
                    <w:t>林格曼黑度</w:t>
                  </w:r>
                </w:p>
              </w:tc>
              <w:tc>
                <w:tcPr>
                  <w:tcW w:w="1236" w:type="dxa"/>
                  <w:tcBorders>
                    <w:tl2br w:val="nil"/>
                    <w:tr2bl w:val="nil"/>
                  </w:tcBorders>
                  <w:noWrap w:val="0"/>
                  <w:vAlign w:val="center"/>
                </w:tcPr>
                <w:p w14:paraId="6B80E56E">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Cs/>
                      <w:color w:val="000000"/>
                      <w:szCs w:val="21"/>
                      <w:highlight w:val="none"/>
                      <w:u w:val="none"/>
                      <w:lang w:val="en-US" w:eastAsia="zh-CN"/>
                    </w:rPr>
                  </w:pPr>
                  <w:r>
                    <w:rPr>
                      <w:rFonts w:hint="default" w:ascii="Times New Roman" w:hAnsi="Times New Roman" w:eastAsia="宋体" w:cs="Times New Roman"/>
                      <w:color w:val="auto"/>
                      <w:kern w:val="2"/>
                      <w:sz w:val="21"/>
                      <w:szCs w:val="21"/>
                      <w:highlight w:val="none"/>
                      <w:lang w:val="en-US" w:eastAsia="zh-CN" w:bidi="ar-SA"/>
                    </w:rPr>
                    <w:t>NO</w:t>
                  </w:r>
                  <w:r>
                    <w:rPr>
                      <w:rFonts w:hint="eastAsia" w:cs="Times New Roman"/>
                      <w:color w:val="auto"/>
                      <w:kern w:val="2"/>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1次/</w:t>
                  </w:r>
                  <w:r>
                    <w:rPr>
                      <w:rFonts w:hint="default" w:ascii="Times New Roman" w:hAnsi="Times New Roman" w:cs="Times New Roman"/>
                      <w:color w:val="auto"/>
                      <w:kern w:val="0"/>
                      <w:sz w:val="21"/>
                      <w:szCs w:val="21"/>
                      <w:highlight w:val="none"/>
                      <w:lang w:val="en-US" w:eastAsia="zh-CN"/>
                    </w:rPr>
                    <w:t>月、</w:t>
                  </w: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bidi="ar-SA"/>
                    </w:rPr>
                    <w:t>、颗粒物、</w:t>
                  </w:r>
                  <w:r>
                    <w:rPr>
                      <w:rFonts w:hint="default" w:ascii="Times New Roman" w:hAnsi="Times New Roman" w:eastAsia="宋体" w:cs="Times New Roman"/>
                      <w:sz w:val="21"/>
                      <w:szCs w:val="21"/>
                      <w:highlight w:val="none"/>
                    </w:rPr>
                    <w:t>林格曼黑度</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cs="Times New Roman"/>
                      <w:b w:val="0"/>
                      <w:bCs w:val="0"/>
                      <w:color w:val="auto"/>
                      <w:kern w:val="0"/>
                      <w:sz w:val="21"/>
                      <w:szCs w:val="21"/>
                      <w:highlight w:val="none"/>
                    </w:rPr>
                    <w:t>1次/</w:t>
                  </w:r>
                  <w:r>
                    <w:rPr>
                      <w:rFonts w:hint="default" w:ascii="Times New Roman" w:hAnsi="Times New Roman" w:cs="Times New Roman"/>
                      <w:b w:val="0"/>
                      <w:bCs w:val="0"/>
                      <w:color w:val="auto"/>
                      <w:kern w:val="0"/>
                      <w:sz w:val="21"/>
                      <w:szCs w:val="21"/>
                      <w:highlight w:val="none"/>
                      <w:lang w:val="en-US" w:eastAsia="zh-CN"/>
                    </w:rPr>
                    <w:t>年</w:t>
                  </w:r>
                </w:p>
              </w:tc>
              <w:tc>
                <w:tcPr>
                  <w:tcW w:w="3451" w:type="dxa"/>
                  <w:tcBorders>
                    <w:tl2br w:val="nil"/>
                    <w:tr2bl w:val="nil"/>
                  </w:tcBorders>
                  <w:noWrap w:val="0"/>
                  <w:vAlign w:val="center"/>
                </w:tcPr>
                <w:p w14:paraId="610D3432">
                  <w:pPr>
                    <w:pStyle w:val="11"/>
                    <w:keepNext w:val="0"/>
                    <w:keepLines w:val="0"/>
                    <w:pageBreakBefore w:val="0"/>
                    <w:widowControl w:val="0"/>
                    <w:kinsoku/>
                    <w:wordWrap w:val="0"/>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《河南省锅炉大气污染物排放标准》(DB41/2089—2021)排放</w:t>
                  </w:r>
                  <w:r>
                    <w:rPr>
                      <w:rFonts w:hint="default" w:ascii="Times New Roman" w:hAnsi="Times New Roman" w:eastAsia="宋体" w:cs="Times New Roman"/>
                      <w:color w:val="auto"/>
                      <w:sz w:val="21"/>
                      <w:szCs w:val="21"/>
                      <w:highlight w:val="none"/>
                    </w:rPr>
                    <w:t>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kern w:val="28"/>
                      <w:sz w:val="21"/>
                      <w:szCs w:val="21"/>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1"/>
                      <w:szCs w:val="21"/>
                      <w:highlight w:val="none"/>
                      <w:lang w:val="en-US" w:eastAsia="zh-CN" w:bidi="ar-SA"/>
                    </w:rPr>
                    <w:t>》中</w:t>
                  </w:r>
                  <w:r>
                    <w:rPr>
                      <w:rFonts w:hint="eastAsia" w:cs="Times New Roman"/>
                      <w:b w:val="0"/>
                      <w:bCs w:val="0"/>
                      <w:color w:val="auto"/>
                      <w:kern w:val="28"/>
                      <w:sz w:val="21"/>
                      <w:szCs w:val="21"/>
                      <w:highlight w:val="none"/>
                      <w:lang w:val="en-US" w:eastAsia="zh-CN" w:bidi="ar-SA"/>
                    </w:rPr>
                    <w:t>燃气锅炉</w:t>
                  </w:r>
                  <w:r>
                    <w:rPr>
                      <w:rFonts w:hint="default" w:ascii="Times New Roman" w:hAnsi="Times New Roman" w:cs="Times New Roman"/>
                      <w:b w:val="0"/>
                      <w:bCs w:val="0"/>
                      <w:color w:val="auto"/>
                      <w:kern w:val="28"/>
                      <w:sz w:val="21"/>
                      <w:szCs w:val="21"/>
                      <w:highlight w:val="none"/>
                      <w:lang w:val="en-US" w:eastAsia="zh-CN" w:bidi="ar-SA"/>
                    </w:rPr>
                    <w:t>要求</w:t>
                  </w:r>
                </w:p>
              </w:tc>
            </w:tr>
            <w:tr w14:paraId="76B23507">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012" w:hRule="atLeast"/>
                <w:jc w:val="center"/>
              </w:trPr>
              <w:tc>
                <w:tcPr>
                  <w:tcW w:w="394" w:type="dxa"/>
                  <w:vMerge w:val="continue"/>
                  <w:tcBorders>
                    <w:tl2br w:val="nil"/>
                    <w:tr2bl w:val="nil"/>
                  </w:tcBorders>
                  <w:noWrap w:val="0"/>
                  <w:vAlign w:val="center"/>
                </w:tcPr>
                <w:p w14:paraId="0C0AB8E8">
                  <w:pPr>
                    <w:pStyle w:val="18"/>
                    <w:spacing w:line="300" w:lineRule="exact"/>
                    <w:rPr>
                      <w:rFonts w:hint="default" w:ascii="Times New Roman" w:hAnsi="Times New Roman" w:cs="Times New Roman"/>
                      <w:b w:val="0"/>
                      <w:sz w:val="21"/>
                      <w:szCs w:val="21"/>
                      <w:highlight w:val="none"/>
                      <w:u w:val="none"/>
                    </w:rPr>
                  </w:pPr>
                </w:p>
              </w:tc>
              <w:tc>
                <w:tcPr>
                  <w:tcW w:w="852" w:type="dxa"/>
                  <w:tcBorders>
                    <w:tl2br w:val="nil"/>
                    <w:tr2bl w:val="nil"/>
                  </w:tcBorders>
                  <w:noWrap w:val="0"/>
                  <w:vAlign w:val="center"/>
                </w:tcPr>
                <w:p w14:paraId="2468C2B2">
                  <w:pPr>
                    <w:pStyle w:val="18"/>
                    <w:spacing w:line="300" w:lineRule="exact"/>
                    <w:rPr>
                      <w:rFonts w:hint="default" w:ascii="Times New Roman" w:hAnsi="Times New Roman" w:eastAsia="宋体" w:cs="Times New Roman"/>
                      <w:b w:val="0"/>
                      <w:sz w:val="21"/>
                      <w:szCs w:val="21"/>
                      <w:highlight w:val="none"/>
                      <w:u w:val="none"/>
                      <w:lang w:val="en-US" w:eastAsia="zh-CN"/>
                    </w:rPr>
                  </w:pPr>
                  <w:r>
                    <w:rPr>
                      <w:rFonts w:hint="default" w:ascii="Times New Roman" w:hAnsi="Times New Roman" w:cs="Times New Roman"/>
                      <w:b w:val="0"/>
                      <w:sz w:val="21"/>
                      <w:szCs w:val="21"/>
                      <w:highlight w:val="none"/>
                      <w:u w:val="none"/>
                      <w:lang w:val="en-US" w:eastAsia="zh-CN"/>
                    </w:rPr>
                    <w:t>有组织废气</w:t>
                  </w:r>
                </w:p>
              </w:tc>
              <w:tc>
                <w:tcPr>
                  <w:tcW w:w="912" w:type="dxa"/>
                  <w:tcBorders>
                    <w:tl2br w:val="nil"/>
                    <w:tr2bl w:val="nil"/>
                  </w:tcBorders>
                  <w:noWrap w:val="0"/>
                  <w:vAlign w:val="center"/>
                </w:tcPr>
                <w:p w14:paraId="19CDD5F3">
                  <w:pPr>
                    <w:spacing w:line="300" w:lineRule="exact"/>
                    <w:jc w:val="center"/>
                    <w:rPr>
                      <w:rFonts w:hint="default" w:ascii="Times New Roman" w:hAnsi="Times New Roman" w:cs="Times New Roman"/>
                      <w:bCs/>
                      <w:color w:val="000000"/>
                      <w:szCs w:val="21"/>
                      <w:highlight w:val="none"/>
                      <w:u w:val="none"/>
                      <w:lang w:val="en-US" w:eastAsia="zh-CN"/>
                    </w:rPr>
                  </w:pPr>
                  <w:r>
                    <w:rPr>
                      <w:rFonts w:hint="default" w:ascii="Times New Roman" w:hAnsi="Times New Roman" w:cs="Times New Roman"/>
                      <w:bCs/>
                      <w:color w:val="000000"/>
                      <w:szCs w:val="21"/>
                      <w:highlight w:val="none"/>
                      <w:u w:val="none"/>
                      <w:lang w:val="en-US" w:eastAsia="zh-CN"/>
                    </w:rPr>
                    <w:t>排气筒DA002</w:t>
                  </w:r>
                </w:p>
              </w:tc>
              <w:tc>
                <w:tcPr>
                  <w:tcW w:w="1032" w:type="dxa"/>
                  <w:tcBorders>
                    <w:tl2br w:val="nil"/>
                    <w:tr2bl w:val="nil"/>
                  </w:tcBorders>
                  <w:shd w:val="clear" w:color="auto" w:fill="auto"/>
                  <w:noWrap w:val="0"/>
                  <w:vAlign w:val="center"/>
                </w:tcPr>
                <w:p w14:paraId="37B446F6">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油烟</w:t>
                  </w:r>
                </w:p>
              </w:tc>
              <w:tc>
                <w:tcPr>
                  <w:tcW w:w="1236" w:type="dxa"/>
                  <w:tcBorders>
                    <w:tl2br w:val="nil"/>
                    <w:tr2bl w:val="nil"/>
                  </w:tcBorders>
                  <w:shd w:val="clear" w:color="auto" w:fill="auto"/>
                  <w:noWrap w:val="0"/>
                  <w:vAlign w:val="center"/>
                </w:tcPr>
                <w:p w14:paraId="1D0310EB">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auto"/>
                      <w:kern w:val="0"/>
                      <w:sz w:val="21"/>
                      <w:szCs w:val="21"/>
                      <w:highlight w:val="none"/>
                    </w:rPr>
                    <w:t>1次/</w:t>
                  </w:r>
                  <w:r>
                    <w:rPr>
                      <w:rFonts w:hint="default" w:ascii="Times New Roman" w:hAnsi="Times New Roman" w:cs="Times New Roman"/>
                      <w:color w:val="auto"/>
                      <w:kern w:val="0"/>
                      <w:sz w:val="21"/>
                      <w:szCs w:val="21"/>
                      <w:highlight w:val="none"/>
                      <w:lang w:val="en-US" w:eastAsia="zh-CN"/>
                    </w:rPr>
                    <w:t>年</w:t>
                  </w:r>
                </w:p>
              </w:tc>
              <w:tc>
                <w:tcPr>
                  <w:tcW w:w="3451" w:type="dxa"/>
                  <w:tcBorders>
                    <w:tl2br w:val="nil"/>
                    <w:tr2bl w:val="nil"/>
                  </w:tcBorders>
                  <w:shd w:val="clear" w:color="auto" w:fill="auto"/>
                  <w:noWrap w:val="0"/>
                  <w:vAlign w:val="center"/>
                </w:tcPr>
                <w:p w14:paraId="1901DAC9">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lang w:val="en-US" w:eastAsia="zh-CN"/>
                    </w:rPr>
                    <w:t>河南省《餐饮业油烟污染物排放标准》（DB41/1604-2018）</w:t>
                  </w:r>
                  <w:r>
                    <w:rPr>
                      <w:rFonts w:hint="default" w:ascii="Times New Roman" w:hAnsi="Times New Roman" w:eastAsia="宋体" w:cs="Times New Roman"/>
                      <w:kern w:val="2"/>
                      <w:sz w:val="21"/>
                      <w:szCs w:val="21"/>
                      <w:lang w:val="en-US" w:eastAsia="zh-CN" w:bidi="ar-SA"/>
                    </w:rPr>
                    <w:t>（</w:t>
                  </w:r>
                  <w:r>
                    <w:rPr>
                      <w:rFonts w:hint="default" w:ascii="Times New Roman" w:hAnsi="Times New Roman" w:cs="Times New Roman"/>
                      <w:kern w:val="2"/>
                      <w:sz w:val="21"/>
                      <w:szCs w:val="21"/>
                      <w:lang w:val="en-US" w:eastAsia="zh-CN" w:bidi="ar-SA"/>
                    </w:rPr>
                    <w:t>小</w:t>
                  </w:r>
                  <w:r>
                    <w:rPr>
                      <w:rFonts w:hint="default" w:ascii="Times New Roman" w:hAnsi="Times New Roman" w:eastAsia="宋体" w:cs="Times New Roman"/>
                      <w:kern w:val="2"/>
                      <w:sz w:val="21"/>
                      <w:szCs w:val="21"/>
                      <w:lang w:val="en-US" w:eastAsia="zh-CN" w:bidi="ar-SA"/>
                    </w:rPr>
                    <w:t>型</w:t>
                  </w:r>
                  <w:r>
                    <w:rPr>
                      <w:rFonts w:hint="default"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最低去除效率90%、最高允许排放浓度1.</w:t>
                  </w:r>
                  <w:r>
                    <w:rPr>
                      <w:rFonts w:hint="default" w:ascii="Times New Roman" w:hAnsi="Times New Roman"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r>
            <w:tr w14:paraId="59500DDC">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012" w:hRule="atLeast"/>
                <w:jc w:val="center"/>
              </w:trPr>
              <w:tc>
                <w:tcPr>
                  <w:tcW w:w="394" w:type="dxa"/>
                  <w:vMerge w:val="continue"/>
                  <w:tcBorders>
                    <w:tl2br w:val="nil"/>
                    <w:tr2bl w:val="nil"/>
                  </w:tcBorders>
                  <w:noWrap w:val="0"/>
                  <w:vAlign w:val="center"/>
                </w:tcPr>
                <w:p w14:paraId="6AFC9F80">
                  <w:pPr>
                    <w:pStyle w:val="18"/>
                    <w:spacing w:line="300" w:lineRule="exact"/>
                    <w:rPr>
                      <w:rFonts w:hint="default" w:ascii="Times New Roman" w:hAnsi="Times New Roman" w:cs="Times New Roman"/>
                      <w:b w:val="0"/>
                      <w:sz w:val="21"/>
                      <w:szCs w:val="21"/>
                      <w:highlight w:val="none"/>
                      <w:u w:val="none"/>
                    </w:rPr>
                  </w:pPr>
                </w:p>
              </w:tc>
              <w:tc>
                <w:tcPr>
                  <w:tcW w:w="852" w:type="dxa"/>
                  <w:tcBorders>
                    <w:tl2br w:val="nil"/>
                    <w:tr2bl w:val="nil"/>
                  </w:tcBorders>
                  <w:shd w:val="clear" w:color="auto" w:fill="auto"/>
                  <w:noWrap w:val="0"/>
                  <w:vAlign w:val="center"/>
                </w:tcPr>
                <w:p w14:paraId="02253A15">
                  <w:pPr>
                    <w:pStyle w:val="18"/>
                    <w:spacing w:line="300" w:lineRule="exact"/>
                    <w:rPr>
                      <w:rFonts w:hint="default" w:ascii="Times New Roman" w:hAnsi="Times New Roman" w:eastAsia="宋体" w:cs="Times New Roman"/>
                      <w:b w:val="0"/>
                      <w:bCs/>
                      <w:kern w:val="2"/>
                      <w:sz w:val="21"/>
                      <w:szCs w:val="21"/>
                      <w:highlight w:val="none"/>
                      <w:u w:val="none"/>
                      <w:lang w:val="en-US" w:eastAsia="zh-CN" w:bidi="ar-SA"/>
                    </w:rPr>
                  </w:pPr>
                  <w:r>
                    <w:rPr>
                      <w:rFonts w:hint="default" w:ascii="Times New Roman" w:hAnsi="Times New Roman" w:cs="Times New Roman"/>
                      <w:b w:val="0"/>
                      <w:sz w:val="21"/>
                      <w:szCs w:val="21"/>
                      <w:highlight w:val="none"/>
                      <w:u w:val="none"/>
                      <w:lang w:val="en-US" w:eastAsia="zh-CN"/>
                    </w:rPr>
                    <w:t>有组织废气</w:t>
                  </w:r>
                </w:p>
              </w:tc>
              <w:tc>
                <w:tcPr>
                  <w:tcW w:w="912" w:type="dxa"/>
                  <w:tcBorders>
                    <w:tl2br w:val="nil"/>
                    <w:tr2bl w:val="nil"/>
                  </w:tcBorders>
                  <w:shd w:val="clear" w:color="auto" w:fill="auto"/>
                  <w:noWrap w:val="0"/>
                  <w:vAlign w:val="center"/>
                </w:tcPr>
                <w:p w14:paraId="2746AD69">
                  <w:pPr>
                    <w:spacing w:line="300" w:lineRule="exact"/>
                    <w:jc w:val="center"/>
                    <w:rPr>
                      <w:rFonts w:hint="default" w:ascii="Times New Roman" w:hAnsi="Times New Roman" w:eastAsia="宋体" w:cs="Times New Roman"/>
                      <w:bCs/>
                      <w:color w:val="000000"/>
                      <w:kern w:val="2"/>
                      <w:sz w:val="21"/>
                      <w:szCs w:val="21"/>
                      <w:highlight w:val="none"/>
                      <w:u w:val="none"/>
                      <w:lang w:val="en-US" w:eastAsia="zh-CN" w:bidi="ar-SA"/>
                    </w:rPr>
                  </w:pPr>
                  <w:r>
                    <w:rPr>
                      <w:rFonts w:hint="default" w:ascii="Times New Roman" w:hAnsi="Times New Roman" w:cs="Times New Roman"/>
                      <w:bCs/>
                      <w:color w:val="000000"/>
                      <w:szCs w:val="21"/>
                      <w:highlight w:val="none"/>
                      <w:u w:val="none"/>
                      <w:lang w:val="en-US" w:eastAsia="zh-CN"/>
                    </w:rPr>
                    <w:t>排气筒DA00</w:t>
                  </w:r>
                  <w:r>
                    <w:rPr>
                      <w:rFonts w:hint="eastAsia" w:cs="Times New Roman"/>
                      <w:bCs/>
                      <w:color w:val="000000"/>
                      <w:szCs w:val="21"/>
                      <w:highlight w:val="none"/>
                      <w:u w:val="none"/>
                      <w:lang w:val="en-US" w:eastAsia="zh-CN"/>
                    </w:rPr>
                    <w:t>3</w:t>
                  </w:r>
                </w:p>
              </w:tc>
              <w:tc>
                <w:tcPr>
                  <w:tcW w:w="1032" w:type="dxa"/>
                  <w:tcBorders>
                    <w:tl2br w:val="nil"/>
                    <w:tr2bl w:val="nil"/>
                  </w:tcBorders>
                  <w:shd w:val="clear" w:color="auto" w:fill="auto"/>
                  <w:noWrap w:val="0"/>
                  <w:vAlign w:val="center"/>
                </w:tcPr>
                <w:p w14:paraId="32852DA4">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eastAsia"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氨、硫化氢、臭气</w:t>
                  </w:r>
                </w:p>
                <w:p w14:paraId="5872A7DE">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浓度</w:t>
                  </w:r>
                </w:p>
              </w:tc>
              <w:tc>
                <w:tcPr>
                  <w:tcW w:w="1236" w:type="dxa"/>
                  <w:tcBorders>
                    <w:tl2br w:val="nil"/>
                    <w:tr2bl w:val="nil"/>
                  </w:tcBorders>
                  <w:shd w:val="clear" w:color="auto" w:fill="auto"/>
                  <w:noWrap w:val="0"/>
                  <w:vAlign w:val="center"/>
                </w:tcPr>
                <w:p w14:paraId="314A8DC0">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000000"/>
                      <w:sz w:val="21"/>
                      <w:szCs w:val="21"/>
                      <w:highlight w:val="none"/>
                    </w:rPr>
                    <w:t>1次/</w:t>
                  </w:r>
                  <w:r>
                    <w:rPr>
                      <w:rFonts w:hint="default" w:ascii="Times New Roman" w:hAnsi="Times New Roman" w:cs="Times New Roman"/>
                      <w:color w:val="000000"/>
                      <w:sz w:val="21"/>
                      <w:szCs w:val="21"/>
                      <w:highlight w:val="none"/>
                      <w:lang w:val="en-US" w:eastAsia="zh-CN"/>
                    </w:rPr>
                    <w:t>半年</w:t>
                  </w:r>
                </w:p>
              </w:tc>
              <w:tc>
                <w:tcPr>
                  <w:tcW w:w="3451" w:type="dxa"/>
                  <w:tcBorders>
                    <w:tl2br w:val="nil"/>
                    <w:tr2bl w:val="nil"/>
                  </w:tcBorders>
                  <w:shd w:val="clear" w:color="auto" w:fill="auto"/>
                  <w:noWrap w:val="0"/>
                  <w:vAlign w:val="center"/>
                </w:tcPr>
                <w:p w14:paraId="4D2D920C">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sz w:val="21"/>
                      <w:szCs w:val="21"/>
                      <w:highlight w:val="none"/>
                      <w:lang w:val="en-US" w:eastAsia="zh-CN"/>
                    </w:rPr>
                  </w:pPr>
                  <w:r>
                    <w:rPr>
                      <w:rFonts w:hint="default" w:ascii="Times New Roman" w:hAnsi="Times New Roman" w:eastAsia="宋体" w:cs="Times New Roman"/>
                      <w:sz w:val="21"/>
                      <w:szCs w:val="21"/>
                      <w:highlight w:val="none"/>
                    </w:rPr>
                    <w:t>《恶臭污染物排放标准》（GB14554-93）要求</w:t>
                  </w:r>
                </w:p>
              </w:tc>
            </w:tr>
            <w:tr w14:paraId="68782BE0">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416" w:hRule="atLeast"/>
                <w:jc w:val="center"/>
              </w:trPr>
              <w:tc>
                <w:tcPr>
                  <w:tcW w:w="394" w:type="dxa"/>
                  <w:vMerge w:val="continue"/>
                  <w:tcBorders>
                    <w:tl2br w:val="nil"/>
                    <w:tr2bl w:val="nil"/>
                  </w:tcBorders>
                  <w:noWrap w:val="0"/>
                  <w:vAlign w:val="center"/>
                </w:tcPr>
                <w:p w14:paraId="02DF94CD">
                  <w:pPr>
                    <w:pStyle w:val="18"/>
                    <w:spacing w:line="300" w:lineRule="exact"/>
                    <w:rPr>
                      <w:rFonts w:hint="default" w:ascii="Times New Roman" w:hAnsi="Times New Roman" w:cs="Times New Roman"/>
                      <w:b w:val="0"/>
                      <w:sz w:val="21"/>
                      <w:szCs w:val="21"/>
                      <w:highlight w:val="none"/>
                      <w:u w:val="none"/>
                    </w:rPr>
                  </w:pPr>
                </w:p>
              </w:tc>
              <w:tc>
                <w:tcPr>
                  <w:tcW w:w="852" w:type="dxa"/>
                  <w:tcBorders>
                    <w:tl2br w:val="nil"/>
                    <w:tr2bl w:val="nil"/>
                  </w:tcBorders>
                  <w:noWrap w:val="0"/>
                  <w:vAlign w:val="center"/>
                </w:tcPr>
                <w:p w14:paraId="0E292587">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无组织</w:t>
                  </w:r>
                </w:p>
                <w:p w14:paraId="7A0F184A">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废气</w:t>
                  </w:r>
                </w:p>
              </w:tc>
              <w:tc>
                <w:tcPr>
                  <w:tcW w:w="912" w:type="dxa"/>
                  <w:tcBorders>
                    <w:tl2br w:val="nil"/>
                    <w:tr2bl w:val="nil"/>
                  </w:tcBorders>
                  <w:noWrap w:val="0"/>
                  <w:vAlign w:val="center"/>
                </w:tcPr>
                <w:p w14:paraId="700BDB89">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厂区上风向1个点位，下风向3个点位</w:t>
                  </w:r>
                </w:p>
              </w:tc>
              <w:tc>
                <w:tcPr>
                  <w:tcW w:w="1032" w:type="dxa"/>
                  <w:tcBorders>
                    <w:tl2br w:val="nil"/>
                    <w:tr2bl w:val="nil"/>
                  </w:tcBorders>
                  <w:shd w:val="clear" w:color="auto" w:fill="auto"/>
                  <w:noWrap w:val="0"/>
                  <w:vAlign w:val="center"/>
                </w:tcPr>
                <w:p w14:paraId="4E2D47DF">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颗粒物、</w:t>
                  </w:r>
                  <w:r>
                    <w:rPr>
                      <w:rFonts w:hint="default" w:ascii="Times New Roman" w:hAnsi="Times New Roman" w:cs="Times New Roman"/>
                      <w:sz w:val="21"/>
                      <w:szCs w:val="21"/>
                      <w:highlight w:val="none"/>
                      <w:lang w:val="en-US" w:eastAsia="zh-CN"/>
                    </w:rPr>
                    <w:t>SO</w:t>
                  </w:r>
                  <w:r>
                    <w:rPr>
                      <w:rFonts w:hint="default" w:ascii="Times New Roman" w:hAnsi="Times New Roman" w:cs="Times New Roman"/>
                      <w:sz w:val="21"/>
                      <w:szCs w:val="21"/>
                      <w:highlight w:val="none"/>
                      <w:vertAlign w:val="subscript"/>
                      <w:lang w:val="en-US" w:eastAsia="zh-CN"/>
                    </w:rPr>
                    <w:t>2</w:t>
                  </w:r>
                  <w:r>
                    <w:rPr>
                      <w:rFonts w:hint="default" w:ascii="Times New Roman" w:hAnsi="Times New Roman" w:cs="Times New Roman"/>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u w:val="none"/>
                      <w:lang w:val="en-US" w:eastAsia="zh-CN"/>
                    </w:rPr>
                    <w:t>NO</w:t>
                  </w:r>
                  <w:r>
                    <w:rPr>
                      <w:rFonts w:hint="default" w:ascii="Times New Roman" w:hAnsi="Times New Roman" w:cs="Times New Roman"/>
                      <w:b w:val="0"/>
                      <w:bCs w:val="0"/>
                      <w:color w:val="auto"/>
                      <w:sz w:val="21"/>
                      <w:szCs w:val="21"/>
                      <w:highlight w:val="none"/>
                      <w:u w:val="none"/>
                      <w:vertAlign w:val="subscript"/>
                      <w:lang w:val="en-US" w:eastAsia="zh-CN"/>
                    </w:rPr>
                    <w:t>2</w:t>
                  </w:r>
                  <w:r>
                    <w:rPr>
                      <w:rFonts w:hint="default" w:ascii="Times New Roman" w:hAnsi="Times New Roman" w:cs="Times New Roman"/>
                      <w:b w:val="0"/>
                      <w:bCs w:val="0"/>
                      <w:color w:val="auto"/>
                      <w:sz w:val="21"/>
                      <w:szCs w:val="21"/>
                      <w:highlight w:val="none"/>
                      <w:u w:val="none"/>
                      <w:vertAlign w:val="baseline"/>
                      <w:lang w:val="en-US" w:eastAsia="zh-CN"/>
                    </w:rPr>
                    <w:t>、非甲烷</w:t>
                  </w:r>
                </w:p>
                <w:p w14:paraId="643D3DC1">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总烃、</w:t>
                  </w:r>
                </w:p>
                <w:p w14:paraId="46967F49">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u w:val="none"/>
                      <w:vertAlign w:val="baseline"/>
                      <w:lang w:val="en-US" w:eastAsia="zh-CN"/>
                    </w:rPr>
                    <w:t>臭气浓度</w:t>
                  </w:r>
                  <w:r>
                    <w:rPr>
                      <w:rFonts w:hint="eastAsia" w:cs="Times New Roman"/>
                      <w:b w:val="0"/>
                      <w:bCs w:val="0"/>
                      <w:color w:val="auto"/>
                      <w:sz w:val="21"/>
                      <w:szCs w:val="21"/>
                      <w:highlight w:val="none"/>
                      <w:u w:val="none"/>
                      <w:vertAlign w:val="baseline"/>
                      <w:lang w:val="en-US" w:eastAsia="zh-CN"/>
                    </w:rPr>
                    <w:t>、氨、硫化氢</w:t>
                  </w:r>
                </w:p>
              </w:tc>
              <w:tc>
                <w:tcPr>
                  <w:tcW w:w="1236" w:type="dxa"/>
                  <w:tcBorders>
                    <w:tl2br w:val="nil"/>
                    <w:tr2bl w:val="nil"/>
                  </w:tcBorders>
                  <w:shd w:val="clear" w:color="auto" w:fill="auto"/>
                  <w:noWrap w:val="0"/>
                  <w:vAlign w:val="center"/>
                </w:tcPr>
                <w:p w14:paraId="63B97BCF">
                  <w:pPr>
                    <w:pStyle w:val="11"/>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rPr>
                    <w:t>1次/</w:t>
                  </w:r>
                  <w:r>
                    <w:rPr>
                      <w:rFonts w:hint="default" w:ascii="Times New Roman" w:hAnsi="Times New Roman" w:cs="Times New Roman"/>
                      <w:color w:val="000000"/>
                      <w:sz w:val="21"/>
                      <w:szCs w:val="21"/>
                      <w:highlight w:val="none"/>
                      <w:lang w:val="en-US" w:eastAsia="zh-CN"/>
                    </w:rPr>
                    <w:t>半年</w:t>
                  </w:r>
                </w:p>
              </w:tc>
              <w:tc>
                <w:tcPr>
                  <w:tcW w:w="3451" w:type="dxa"/>
                  <w:tcBorders>
                    <w:tl2br w:val="nil"/>
                    <w:tr2bl w:val="nil"/>
                  </w:tcBorders>
                  <w:shd w:val="clear" w:color="auto" w:fill="auto"/>
                  <w:noWrap w:val="0"/>
                  <w:vAlign w:val="center"/>
                </w:tcPr>
                <w:p w14:paraId="26B3254B">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Cs/>
                      <w:color w:val="000000"/>
                      <w:kern w:val="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rPr>
                    <w:t>《大气污染物综合排放标准》(GB16297</w:t>
                  </w:r>
                  <w:r>
                    <w:rPr>
                      <w:rFonts w:hint="default"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rPr>
                    <w:t>1996)表2要求</w:t>
                  </w:r>
                  <w:r>
                    <w:rPr>
                      <w:rFonts w:hint="default" w:ascii="Times New Roman" w:hAnsi="Times New Roman" w:eastAsia="宋体" w:cs="Times New Roman"/>
                      <w:b w:val="0"/>
                      <w:bCs w:val="0"/>
                      <w:color w:val="000000"/>
                      <w:sz w:val="21"/>
                      <w:szCs w:val="21"/>
                      <w:highlight w:val="none"/>
                      <w:lang w:eastAsia="zh-CN"/>
                    </w:rPr>
                    <w:t>、</w:t>
                  </w:r>
                  <w:r>
                    <w:rPr>
                      <w:rFonts w:hint="default" w:ascii="Times New Roman" w:hAnsi="Times New Roman" w:eastAsia="宋体" w:cs="Times New Roman"/>
                      <w:b w:val="0"/>
                      <w:bCs w:val="0"/>
                      <w:kern w:val="2"/>
                      <w:sz w:val="21"/>
                      <w:szCs w:val="21"/>
                      <w:highlight w:val="none"/>
                      <w:lang w:val="en-US" w:eastAsia="zh-CN" w:bidi="ar"/>
                    </w:rPr>
                    <w:t>《关于全省开展工业企业挥发性有机物专项治理工作中排放建议值的通知》（豫环攻坚办〔2017〕162号）</w:t>
                  </w:r>
                  <w:r>
                    <w:rPr>
                      <w:rFonts w:hint="default" w:ascii="Times New Roman" w:hAnsi="Times New Roman" w:cs="Times New Roman"/>
                      <w:b w:val="0"/>
                      <w:bCs w:val="0"/>
                      <w:kern w:val="2"/>
                      <w:sz w:val="21"/>
                      <w:szCs w:val="21"/>
                      <w:highlight w:val="none"/>
                      <w:lang w:val="en-US" w:eastAsia="zh-CN" w:bidi="ar"/>
                    </w:rPr>
                    <w:t>中</w:t>
                  </w:r>
                  <w:r>
                    <w:rPr>
                      <w:rFonts w:hint="default" w:ascii="Times New Roman" w:hAnsi="Times New Roman" w:eastAsia="宋体" w:cs="Times New Roman"/>
                      <w:b w:val="0"/>
                      <w:bCs w:val="0"/>
                      <w:kern w:val="2"/>
                      <w:sz w:val="21"/>
                      <w:szCs w:val="21"/>
                      <w:highlight w:val="none"/>
                      <w:lang w:val="en-US" w:eastAsia="zh-CN" w:bidi="ar"/>
                    </w:rPr>
                    <w:t>无组织：工业企业边界挥发性有机物排放建议值2.0mg/m</w:t>
                  </w:r>
                  <w:r>
                    <w:rPr>
                      <w:rFonts w:hint="default" w:ascii="Times New Roman" w:hAnsi="Times New Roman" w:eastAsia="宋体" w:cs="Times New Roman"/>
                      <w:b w:val="0"/>
                      <w:bCs w:val="0"/>
                      <w:kern w:val="2"/>
                      <w:sz w:val="21"/>
                      <w:szCs w:val="21"/>
                      <w:highlight w:val="none"/>
                      <w:vertAlign w:val="superscript"/>
                      <w:lang w:val="en-US" w:eastAsia="zh-CN" w:bidi="ar"/>
                    </w:rPr>
                    <w:t>3</w:t>
                  </w:r>
                  <w:r>
                    <w:rPr>
                      <w:rFonts w:hint="default" w:ascii="Times New Roman" w:hAnsi="Times New Roman" w:cs="Times New Roman"/>
                      <w:sz w:val="21"/>
                      <w:szCs w:val="21"/>
                      <w:highlight w:val="none"/>
                      <w:lang w:eastAsia="zh-CN"/>
                    </w:rPr>
                    <w:t>、</w:t>
                  </w:r>
                  <w:r>
                    <w:rPr>
                      <w:rFonts w:hint="default" w:ascii="Times New Roman" w:hAnsi="Times New Roman" w:eastAsia="宋体" w:cs="Times New Roman"/>
                      <w:sz w:val="21"/>
                      <w:szCs w:val="21"/>
                      <w:highlight w:val="none"/>
                    </w:rPr>
                    <w:t>臭气浓度能够满足《恶臭污染物排放标准》（GB14554-93）排放标准值的要求</w:t>
                  </w:r>
                </w:p>
              </w:tc>
            </w:tr>
            <w:tr w14:paraId="3307B90E">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1416" w:hRule="atLeast"/>
                <w:jc w:val="center"/>
              </w:trPr>
              <w:tc>
                <w:tcPr>
                  <w:tcW w:w="394" w:type="dxa"/>
                  <w:tcBorders>
                    <w:tl2br w:val="nil"/>
                    <w:tr2bl w:val="nil"/>
                  </w:tcBorders>
                  <w:noWrap w:val="0"/>
                  <w:vAlign w:val="center"/>
                </w:tcPr>
                <w:p w14:paraId="554F5088">
                  <w:pPr>
                    <w:pStyle w:val="18"/>
                    <w:spacing w:line="300" w:lineRule="exact"/>
                    <w:rPr>
                      <w:rFonts w:hint="default" w:ascii="Times New Roman" w:hAnsi="Times New Roman" w:eastAsia="宋体" w:cs="Times New Roman"/>
                      <w:b w:val="0"/>
                      <w:sz w:val="21"/>
                      <w:szCs w:val="21"/>
                      <w:highlight w:val="none"/>
                      <w:u w:val="none"/>
                      <w:lang w:val="en-US" w:eastAsia="zh-CN"/>
                    </w:rPr>
                  </w:pPr>
                  <w:r>
                    <w:rPr>
                      <w:rFonts w:hint="default" w:ascii="Times New Roman" w:hAnsi="Times New Roman" w:cs="Times New Roman"/>
                      <w:b w:val="0"/>
                      <w:sz w:val="21"/>
                      <w:szCs w:val="21"/>
                      <w:highlight w:val="none"/>
                      <w:u w:val="none"/>
                      <w:lang w:val="en-US" w:eastAsia="zh-CN"/>
                    </w:rPr>
                    <w:t>废水</w:t>
                  </w:r>
                </w:p>
              </w:tc>
              <w:tc>
                <w:tcPr>
                  <w:tcW w:w="852" w:type="dxa"/>
                  <w:tcBorders>
                    <w:tl2br w:val="nil"/>
                    <w:tr2bl w:val="nil"/>
                  </w:tcBorders>
                  <w:noWrap w:val="0"/>
                  <w:vAlign w:val="center"/>
                </w:tcPr>
                <w:p w14:paraId="2360D924">
                  <w:pPr>
                    <w:spacing w:line="300" w:lineRule="exact"/>
                    <w:jc w:val="center"/>
                    <w:rPr>
                      <w:rFonts w:hint="default" w:ascii="Times New Roman" w:hAnsi="Times New Roman" w:eastAsia="宋体" w:cs="Times New Roman"/>
                      <w:bCs/>
                      <w:color w:val="000000"/>
                      <w:szCs w:val="21"/>
                      <w:highlight w:val="none"/>
                      <w:u w:val="none"/>
                      <w:lang w:val="en-US" w:eastAsia="zh-CN"/>
                    </w:rPr>
                  </w:pPr>
                  <w:r>
                    <w:rPr>
                      <w:rFonts w:hint="default" w:ascii="Times New Roman" w:hAnsi="Times New Roman" w:cs="Times New Roman"/>
                      <w:bCs/>
                      <w:color w:val="000000"/>
                      <w:szCs w:val="21"/>
                      <w:highlight w:val="none"/>
                      <w:u w:val="none"/>
                      <w:lang w:val="en-US" w:eastAsia="zh-CN"/>
                    </w:rPr>
                    <w:t>生活污水、</w:t>
                  </w:r>
                  <w:r>
                    <w:rPr>
                      <w:rFonts w:hint="eastAsia" w:cs="Times New Roman"/>
                      <w:bCs/>
                      <w:color w:val="000000"/>
                      <w:szCs w:val="21"/>
                      <w:highlight w:val="none"/>
                      <w:u w:val="none"/>
                      <w:lang w:val="en-US" w:eastAsia="zh-CN"/>
                    </w:rPr>
                    <w:t>生产</w:t>
                  </w:r>
                  <w:r>
                    <w:rPr>
                      <w:rFonts w:hint="default" w:ascii="Times New Roman" w:hAnsi="Times New Roman" w:cs="Times New Roman"/>
                      <w:bCs/>
                      <w:color w:val="000000"/>
                      <w:szCs w:val="21"/>
                      <w:highlight w:val="none"/>
                      <w:u w:val="none"/>
                      <w:lang w:val="en-US" w:eastAsia="zh-CN"/>
                    </w:rPr>
                    <w:t>废水</w:t>
                  </w:r>
                </w:p>
              </w:tc>
              <w:tc>
                <w:tcPr>
                  <w:tcW w:w="912" w:type="dxa"/>
                  <w:tcBorders>
                    <w:tl2br w:val="nil"/>
                    <w:tr2bl w:val="nil"/>
                  </w:tcBorders>
                  <w:noWrap w:val="0"/>
                  <w:vAlign w:val="center"/>
                </w:tcPr>
                <w:p w14:paraId="5935F11E">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eastAsia="宋体" w:cs="Times New Roman"/>
                      <w:color w:val="auto"/>
                      <w:sz w:val="21"/>
                      <w:szCs w:val="21"/>
                      <w:highlight w:val="none"/>
                      <w:lang w:val="en-US" w:eastAsia="zh-CN"/>
                    </w:rPr>
                    <w:t>污水总排口</w:t>
                  </w:r>
                </w:p>
              </w:tc>
              <w:tc>
                <w:tcPr>
                  <w:tcW w:w="1032" w:type="dxa"/>
                  <w:tcBorders>
                    <w:tl2br w:val="nil"/>
                    <w:tr2bl w:val="nil"/>
                  </w:tcBorders>
                  <w:noWrap w:val="0"/>
                  <w:vAlign w:val="center"/>
                </w:tcPr>
                <w:p w14:paraId="564E81FD">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eastAsia="宋体" w:cs="Times New Roman"/>
                      <w:color w:val="auto"/>
                      <w:sz w:val="21"/>
                      <w:szCs w:val="21"/>
                      <w:highlight w:val="none"/>
                      <w:lang w:val="en-US" w:eastAsia="zh-CN"/>
                    </w:rPr>
                    <w:t>pH、SS、COD、BOD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、氨氮、</w:t>
                  </w:r>
                  <w:r>
                    <w:rPr>
                      <w:rFonts w:hint="default" w:ascii="Times New Roman" w:hAnsi="Times New Roman" w:cs="Times New Roman"/>
                      <w:color w:val="auto"/>
                      <w:sz w:val="21"/>
                      <w:szCs w:val="21"/>
                      <w:highlight w:val="none"/>
                      <w:lang w:val="en-US" w:eastAsia="zh-CN"/>
                    </w:rPr>
                    <w:t>总氮、总磷</w:t>
                  </w:r>
                  <w:r>
                    <w:rPr>
                      <w:rFonts w:hint="default" w:ascii="Times New Roman" w:hAnsi="Times New Roman" w:eastAsia="宋体" w:cs="Times New Roman"/>
                      <w:color w:val="auto"/>
                      <w:sz w:val="21"/>
                      <w:szCs w:val="21"/>
                      <w:highlight w:val="none"/>
                      <w:lang w:val="en-US" w:eastAsia="zh-CN"/>
                    </w:rPr>
                    <w:t>、动植物油</w:t>
                  </w:r>
                </w:p>
              </w:tc>
              <w:tc>
                <w:tcPr>
                  <w:tcW w:w="1236" w:type="dxa"/>
                  <w:tcBorders>
                    <w:tl2br w:val="nil"/>
                    <w:tr2bl w:val="nil"/>
                  </w:tcBorders>
                  <w:noWrap w:val="0"/>
                  <w:vAlign w:val="center"/>
                </w:tcPr>
                <w:p w14:paraId="04BB5071">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eastAsia="宋体" w:cs="Times New Roman"/>
                      <w:color w:val="000000"/>
                      <w:sz w:val="21"/>
                      <w:szCs w:val="21"/>
                      <w:highlight w:val="none"/>
                      <w:lang w:val="en-US" w:eastAsia="zh-CN"/>
                    </w:rPr>
                    <w:t>1次/半年</w:t>
                  </w:r>
                </w:p>
              </w:tc>
              <w:tc>
                <w:tcPr>
                  <w:tcW w:w="3451" w:type="dxa"/>
                  <w:tcBorders>
                    <w:tl2br w:val="nil"/>
                    <w:tr2bl w:val="nil"/>
                  </w:tcBorders>
                  <w:noWrap w:val="0"/>
                  <w:vAlign w:val="center"/>
                </w:tcPr>
                <w:p w14:paraId="78FA1323">
                  <w:pPr>
                    <w:pStyle w:val="11"/>
                    <w:keepNext w:val="0"/>
                    <w:keepLines w:val="0"/>
                    <w:pageBreakBefore w:val="0"/>
                    <w:widowControl w:val="0"/>
                    <w:kinsoku/>
                    <w:wordWrap w:val="0"/>
                    <w:overflowPunct/>
                    <w:topLinePunct w:val="0"/>
                    <w:autoSpaceDE/>
                    <w:autoSpaceDN/>
                    <w:bidi w:val="0"/>
                    <w:adjustRightInd w:val="0"/>
                    <w:snapToGrid w:val="0"/>
                    <w:spacing w:after="0"/>
                    <w:ind w:left="0" w:leftChars="0"/>
                    <w:jc w:val="center"/>
                    <w:textAlignment w:val="auto"/>
                    <w:rPr>
                      <w:rFonts w:hint="default" w:ascii="Times New Roman" w:hAnsi="Times New Roman" w:cs="Times New Roman"/>
                      <w:color w:val="000000"/>
                      <w:sz w:val="21"/>
                      <w:szCs w:val="21"/>
                      <w:highlight w:val="none"/>
                      <w:u w:val="none"/>
                      <w:lang w:val="en-US" w:eastAsia="zh-CN"/>
                    </w:rPr>
                  </w:pPr>
                  <w:r>
                    <w:rPr>
                      <w:rFonts w:hint="default" w:ascii="Times New Roman" w:hAnsi="Times New Roman" w:eastAsia="宋体" w:cs="Times New Roman"/>
                      <w:color w:val="auto"/>
                      <w:sz w:val="21"/>
                      <w:szCs w:val="21"/>
                      <w:highlight w:val="none"/>
                    </w:rPr>
                    <w:t>《污水综合排放标准》（GB8978-1996）表4三级</w:t>
                  </w:r>
                  <w:r>
                    <w:rPr>
                      <w:rFonts w:hint="default" w:ascii="Times New Roman" w:hAnsi="Times New Roman" w:eastAsia="宋体" w:cs="Times New Roman"/>
                      <w:color w:val="auto"/>
                      <w:sz w:val="21"/>
                      <w:szCs w:val="21"/>
                      <w:highlight w:val="none"/>
                      <w:lang w:val="en-US" w:eastAsia="zh-CN"/>
                    </w:rPr>
                    <w:t>标准</w:t>
                  </w:r>
                  <w:r>
                    <w:rPr>
                      <w:rFonts w:hint="eastAsia" w:cs="Times New Roman"/>
                      <w:color w:val="auto"/>
                      <w:sz w:val="21"/>
                      <w:szCs w:val="21"/>
                      <w:highlight w:val="none"/>
                      <w:lang w:val="en-US" w:eastAsia="zh-CN"/>
                    </w:rPr>
                    <w:t>、叶县廉村镇污水处理站进水限值要求</w:t>
                  </w:r>
                </w:p>
              </w:tc>
            </w:tr>
            <w:tr w14:paraId="058EE981">
              <w:tblPrEx>
                <w:tblBorders>
                  <w:top w:val="single" w:color="auto" w:sz="8" w:space="0"/>
                  <w:left w:val="single" w:color="auto" w:sz="8" w:space="0"/>
                  <w:bottom w:val="single" w:color="auto" w:sz="8" w:space="0"/>
                  <w:right w:val="single" w:color="auto" w:sz="8" w:space="0"/>
                  <w:insideH w:val="single" w:color="auto" w:sz="2" w:space="0"/>
                  <w:insideV w:val="single" w:color="auto" w:sz="8" w:space="0"/>
                </w:tblBorders>
                <w:tblCellMar>
                  <w:top w:w="0" w:type="dxa"/>
                  <w:left w:w="108" w:type="dxa"/>
                  <w:bottom w:w="0" w:type="dxa"/>
                  <w:right w:w="108" w:type="dxa"/>
                </w:tblCellMar>
              </w:tblPrEx>
              <w:trPr>
                <w:trHeight w:val="696" w:hRule="atLeast"/>
                <w:jc w:val="center"/>
              </w:trPr>
              <w:tc>
                <w:tcPr>
                  <w:tcW w:w="394" w:type="dxa"/>
                  <w:tcBorders>
                    <w:tl2br w:val="nil"/>
                    <w:tr2bl w:val="nil"/>
                  </w:tcBorders>
                  <w:noWrap w:val="0"/>
                  <w:vAlign w:val="center"/>
                </w:tcPr>
                <w:p w14:paraId="4E4884CC">
                  <w:pPr>
                    <w:pStyle w:val="18"/>
                    <w:spacing w:line="300" w:lineRule="exact"/>
                    <w:rPr>
                      <w:rFonts w:hint="default" w:ascii="Times New Roman" w:hAnsi="Times New Roman" w:cs="Times New Roman"/>
                      <w:b w:val="0"/>
                      <w:sz w:val="21"/>
                      <w:szCs w:val="21"/>
                      <w:highlight w:val="none"/>
                      <w:u w:val="none"/>
                    </w:rPr>
                  </w:pPr>
                  <w:r>
                    <w:rPr>
                      <w:rFonts w:hint="default" w:ascii="Times New Roman" w:hAnsi="Times New Roman" w:cs="Times New Roman"/>
                      <w:b w:val="0"/>
                      <w:sz w:val="21"/>
                      <w:szCs w:val="21"/>
                      <w:highlight w:val="none"/>
                      <w:u w:val="none"/>
                    </w:rPr>
                    <w:t>噪声</w:t>
                  </w:r>
                </w:p>
              </w:tc>
              <w:tc>
                <w:tcPr>
                  <w:tcW w:w="852" w:type="dxa"/>
                  <w:tcBorders>
                    <w:tl2br w:val="nil"/>
                    <w:tr2bl w:val="nil"/>
                  </w:tcBorders>
                  <w:noWrap w:val="0"/>
                  <w:vAlign w:val="center"/>
                </w:tcPr>
                <w:p w14:paraId="29568708">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噪声</w:t>
                  </w:r>
                </w:p>
              </w:tc>
              <w:tc>
                <w:tcPr>
                  <w:tcW w:w="912" w:type="dxa"/>
                  <w:tcBorders>
                    <w:tl2br w:val="nil"/>
                    <w:tr2bl w:val="nil"/>
                  </w:tcBorders>
                  <w:noWrap w:val="0"/>
                  <w:vAlign w:val="center"/>
                </w:tcPr>
                <w:p w14:paraId="514D1722">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厂界</w:t>
                  </w:r>
                </w:p>
                <w:p w14:paraId="056922A6">
                  <w:pPr>
                    <w:spacing w:line="300" w:lineRule="exact"/>
                    <w:jc w:val="center"/>
                    <w:rPr>
                      <w:rFonts w:hint="default" w:ascii="Times New Roman" w:hAnsi="Times New Roman" w:eastAsia="宋体" w:cs="Times New Roman"/>
                      <w:bCs/>
                      <w:color w:val="000000"/>
                      <w:szCs w:val="21"/>
                      <w:highlight w:val="none"/>
                      <w:u w:val="none"/>
                      <w:lang w:eastAsia="zh-CN"/>
                    </w:rPr>
                  </w:pPr>
                  <w:r>
                    <w:rPr>
                      <w:rFonts w:hint="default" w:ascii="Times New Roman" w:hAnsi="Times New Roman" w:cs="Times New Roman"/>
                      <w:bCs/>
                      <w:color w:val="000000"/>
                      <w:szCs w:val="21"/>
                      <w:highlight w:val="none"/>
                      <w:u w:val="none"/>
                    </w:rPr>
                    <w:t>四周</w:t>
                  </w:r>
                </w:p>
              </w:tc>
              <w:tc>
                <w:tcPr>
                  <w:tcW w:w="1032" w:type="dxa"/>
                  <w:tcBorders>
                    <w:tl2br w:val="nil"/>
                    <w:tr2bl w:val="nil"/>
                  </w:tcBorders>
                  <w:noWrap w:val="0"/>
                  <w:vAlign w:val="center"/>
                </w:tcPr>
                <w:p w14:paraId="7B5F353D">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等效A声级</w:t>
                  </w:r>
                </w:p>
              </w:tc>
              <w:tc>
                <w:tcPr>
                  <w:tcW w:w="1236" w:type="dxa"/>
                  <w:tcBorders>
                    <w:tl2br w:val="nil"/>
                    <w:tr2bl w:val="nil"/>
                  </w:tcBorders>
                  <w:noWrap w:val="0"/>
                  <w:vAlign w:val="center"/>
                </w:tcPr>
                <w:p w14:paraId="3B2363CF">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bCs/>
                      <w:color w:val="000000"/>
                      <w:szCs w:val="21"/>
                      <w:highlight w:val="none"/>
                      <w:u w:val="none"/>
                    </w:rPr>
                    <w:t>1次/季度</w:t>
                  </w:r>
                </w:p>
              </w:tc>
              <w:tc>
                <w:tcPr>
                  <w:tcW w:w="3451" w:type="dxa"/>
                  <w:tcBorders>
                    <w:tl2br w:val="nil"/>
                    <w:tr2bl w:val="nil"/>
                  </w:tcBorders>
                  <w:noWrap w:val="0"/>
                  <w:vAlign w:val="center"/>
                </w:tcPr>
                <w:p w14:paraId="152EDBD8">
                  <w:pPr>
                    <w:spacing w:line="300" w:lineRule="exact"/>
                    <w:jc w:val="center"/>
                    <w:rPr>
                      <w:rFonts w:hint="default" w:ascii="Times New Roman" w:hAnsi="Times New Roman" w:cs="Times New Roman"/>
                      <w:bCs/>
                      <w:color w:val="000000"/>
                      <w:szCs w:val="21"/>
                      <w:highlight w:val="none"/>
                      <w:u w:val="none"/>
                    </w:rPr>
                  </w:pPr>
                  <w:r>
                    <w:rPr>
                      <w:rFonts w:hint="default" w:ascii="Times New Roman" w:hAnsi="Times New Roman" w:cs="Times New Roman"/>
                      <w:color w:val="000000"/>
                      <w:szCs w:val="21"/>
                      <w:highlight w:val="none"/>
                      <w:u w:val="none"/>
                    </w:rPr>
                    <w:t>《工业企业厂界环境噪声排放标准》（GB12348-2008）</w:t>
                  </w:r>
                  <w:r>
                    <w:rPr>
                      <w:rFonts w:hint="default" w:ascii="Times New Roman" w:hAnsi="Times New Roman" w:cs="Times New Roman"/>
                      <w:color w:val="000000"/>
                      <w:szCs w:val="21"/>
                      <w:highlight w:val="none"/>
                      <w:u w:val="none"/>
                      <w:lang w:val="en-US" w:eastAsia="zh-CN"/>
                    </w:rPr>
                    <w:t>2</w:t>
                  </w:r>
                  <w:r>
                    <w:rPr>
                      <w:rFonts w:hint="default" w:ascii="Times New Roman" w:hAnsi="Times New Roman" w:cs="Times New Roman"/>
                      <w:color w:val="000000"/>
                      <w:szCs w:val="21"/>
                      <w:highlight w:val="none"/>
                      <w:u w:val="none"/>
                    </w:rPr>
                    <w:t>类标准</w:t>
                  </w:r>
                </w:p>
              </w:tc>
            </w:tr>
          </w:tbl>
          <w:p w14:paraId="529F225E">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default" w:eastAsia="宋体"/>
                <w:b/>
                <w:sz w:val="24"/>
                <w:szCs w:val="24"/>
                <w:highlight w:val="none"/>
                <w:u w:val="none"/>
                <w:lang w:val="en-US" w:eastAsia="zh-CN"/>
              </w:rPr>
            </w:pPr>
            <w:r>
              <w:rPr>
                <w:rFonts w:hint="eastAsia"/>
                <w:b/>
                <w:sz w:val="24"/>
                <w:szCs w:val="24"/>
                <w:highlight w:val="none"/>
                <w:u w:val="none"/>
                <w:lang w:val="en-US" w:eastAsia="zh-CN"/>
              </w:rPr>
              <w:t>8</w:t>
            </w:r>
            <w:r>
              <w:rPr>
                <w:b/>
                <w:sz w:val="24"/>
                <w:szCs w:val="24"/>
                <w:highlight w:val="none"/>
                <w:u w:val="none"/>
              </w:rPr>
              <w:t>、</w:t>
            </w:r>
            <w:r>
              <w:rPr>
                <w:rFonts w:hint="eastAsia"/>
                <w:b/>
                <w:sz w:val="24"/>
                <w:szCs w:val="24"/>
                <w:highlight w:val="none"/>
                <w:u w:val="none"/>
                <w:lang w:val="en-US" w:eastAsia="zh-CN"/>
              </w:rPr>
              <w:t>总量控制</w:t>
            </w:r>
          </w:p>
          <w:p w14:paraId="7BB9AAC1">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default" w:ascii="Calibri" w:hAnsi="Calibri" w:cs="Calibri"/>
                <w:bCs/>
                <w:color w:val="auto"/>
                <w:sz w:val="24"/>
                <w:highlight w:val="none"/>
                <w:lang w:val="en-US" w:eastAsia="zh-CN" w:bidi="ar"/>
              </w:rPr>
            </w:pPr>
            <w:r>
              <w:rPr>
                <w:rFonts w:hint="default" w:ascii="Times New Roman" w:hAnsi="Times New Roman" w:cs="Times New Roman"/>
                <w:bCs/>
                <w:color w:val="auto"/>
                <w:sz w:val="24"/>
                <w:highlight w:val="none"/>
                <w:lang w:eastAsia="zh-CN" w:bidi="ar"/>
              </w:rPr>
              <w:t>根据平顶山市总量控制指标的要求，总量控制指标为</w:t>
            </w:r>
            <w:r>
              <w:rPr>
                <w:rFonts w:hint="default" w:ascii="Times New Roman" w:hAnsi="Times New Roman" w:cs="Times New Roman"/>
                <w:bCs/>
                <w:color w:val="auto"/>
                <w:sz w:val="24"/>
                <w:highlight w:val="none"/>
                <w:lang w:val="en-US" w:eastAsia="zh-CN" w:bidi="ar"/>
              </w:rPr>
              <w:t>COD、NH</w:t>
            </w:r>
            <w:r>
              <w:rPr>
                <w:rFonts w:hint="default" w:ascii="Times New Roman" w:hAnsi="Times New Roman" w:cs="Times New Roman"/>
                <w:bCs/>
                <w:color w:val="auto"/>
                <w:sz w:val="24"/>
                <w:highlight w:val="none"/>
                <w:vertAlign w:val="subscript"/>
                <w:lang w:val="en-US" w:eastAsia="zh-CN" w:bidi="ar"/>
              </w:rPr>
              <w:t>3</w:t>
            </w:r>
            <w:r>
              <w:rPr>
                <w:rFonts w:hint="default" w:ascii="Times New Roman" w:hAnsi="Times New Roman" w:cs="Times New Roman"/>
                <w:bCs/>
                <w:color w:val="auto"/>
                <w:sz w:val="24"/>
                <w:highlight w:val="none"/>
                <w:lang w:val="en-US" w:eastAsia="zh-CN" w:bidi="ar"/>
              </w:rPr>
              <w:t>-N、SO</w:t>
            </w:r>
            <w:r>
              <w:rPr>
                <w:rFonts w:hint="default" w:ascii="Times New Roman" w:hAnsi="Times New Roman" w:cs="Times New Roman"/>
                <w:bCs/>
                <w:color w:val="auto"/>
                <w:sz w:val="24"/>
                <w:highlight w:val="none"/>
                <w:vertAlign w:val="subscript"/>
                <w:lang w:val="en-US" w:eastAsia="zh-CN" w:bidi="ar"/>
              </w:rPr>
              <w:t>2</w:t>
            </w:r>
            <w:r>
              <w:rPr>
                <w:rFonts w:hint="default" w:ascii="Times New Roman" w:hAnsi="Times New Roman" w:cs="Times New Roman"/>
                <w:bCs/>
                <w:color w:val="auto"/>
                <w:sz w:val="24"/>
                <w:highlight w:val="none"/>
                <w:lang w:val="en-US" w:eastAsia="zh-CN" w:bidi="ar"/>
              </w:rPr>
              <w:t>、NO</w:t>
            </w:r>
            <w:r>
              <w:rPr>
                <w:rFonts w:hint="default" w:ascii="Times New Roman" w:hAnsi="Times New Roman" w:cs="Times New Roman"/>
                <w:bCs/>
                <w:color w:val="auto"/>
                <w:sz w:val="24"/>
                <w:highlight w:val="none"/>
                <w:vertAlign w:val="subscript"/>
                <w:lang w:val="en-US" w:eastAsia="zh-CN" w:bidi="ar"/>
              </w:rPr>
              <w:t>X</w:t>
            </w:r>
            <w:r>
              <w:rPr>
                <w:rFonts w:hint="default" w:ascii="Times New Roman" w:hAnsi="Times New Roman" w:cs="Times New Roman"/>
                <w:bCs/>
                <w:color w:val="auto"/>
                <w:sz w:val="24"/>
                <w:highlight w:val="none"/>
                <w:lang w:val="en-US" w:eastAsia="zh-CN" w:bidi="ar"/>
              </w:rPr>
              <w:t>、颗粒物</w:t>
            </w:r>
            <w:r>
              <w:rPr>
                <w:rFonts w:hint="eastAsia" w:cs="Times New Roman"/>
                <w:bCs/>
                <w:color w:val="auto"/>
                <w:sz w:val="24"/>
                <w:highlight w:val="none"/>
                <w:lang w:val="en-US" w:eastAsia="zh-CN" w:bidi="ar"/>
              </w:rPr>
              <w:t>等</w:t>
            </w:r>
            <w:r>
              <w:rPr>
                <w:rFonts w:hint="default" w:ascii="Times New Roman" w:hAnsi="Times New Roman" w:cs="Times New Roman"/>
                <w:bCs/>
                <w:color w:val="auto"/>
                <w:sz w:val="24"/>
                <w:highlight w:val="none"/>
                <w:lang w:val="en-US" w:eastAsia="zh-CN" w:bidi="ar"/>
              </w:rPr>
              <w:t>废气。</w:t>
            </w:r>
          </w:p>
          <w:p w14:paraId="15841BAB">
            <w:pPr>
              <w:keepNext w:val="0"/>
              <w:keepLines w:val="0"/>
              <w:pageBreakBefore w:val="0"/>
              <w:widowControl w:val="0"/>
              <w:kinsoku/>
              <w:wordWrap/>
              <w:overflowPunct/>
              <w:topLinePunct w:val="0"/>
              <w:autoSpaceDE/>
              <w:autoSpaceDN/>
              <w:bidi w:val="0"/>
              <w:spacing w:line="500" w:lineRule="atLeast"/>
              <w:ind w:firstLine="480" w:firstLineChars="200"/>
              <w:rPr>
                <w:color w:val="000000"/>
                <w:sz w:val="24"/>
                <w:highlight w:val="none"/>
              </w:rPr>
            </w:pPr>
            <w:r>
              <w:rPr>
                <w:color w:val="000000"/>
                <w:sz w:val="24"/>
                <w:highlight w:val="none"/>
              </w:rPr>
              <w:t>本项目大气污染物</w:t>
            </w:r>
            <w:r>
              <w:rPr>
                <w:rFonts w:hint="eastAsia"/>
                <w:color w:val="000000"/>
                <w:sz w:val="24"/>
                <w:highlight w:val="none"/>
                <w:lang w:val="en-US" w:eastAsia="zh-CN"/>
              </w:rPr>
              <w:t>排放量</w:t>
            </w:r>
            <w:r>
              <w:rPr>
                <w:rFonts w:hint="eastAsia" w:ascii="Times New Roman" w:hAnsi="Times New Roman" w:eastAsia="宋体"/>
                <w:color w:val="auto"/>
                <w:sz w:val="24"/>
                <w:szCs w:val="21"/>
                <w:highlight w:val="none"/>
                <w:lang w:val="en-US" w:eastAsia="zh-CN"/>
              </w:rPr>
              <w:t>为</w:t>
            </w:r>
            <w:r>
              <w:rPr>
                <w:rFonts w:hint="eastAsia"/>
                <w:color w:val="auto"/>
                <w:sz w:val="24"/>
                <w:szCs w:val="21"/>
                <w:highlight w:val="none"/>
                <w:lang w:val="en-US" w:eastAsia="zh-CN"/>
              </w:rPr>
              <w:t>：油烟：0.0649</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bCs/>
                <w:color w:val="auto"/>
                <w:sz w:val="24"/>
                <w:highlight w:val="none"/>
                <w:lang w:val="en-US" w:eastAsia="zh-CN" w:bidi="ar"/>
              </w:rPr>
              <w:t>NO</w:t>
            </w:r>
            <w:r>
              <w:rPr>
                <w:rFonts w:hint="eastAsia" w:cs="Times New Roman"/>
                <w:bCs/>
                <w:color w:val="auto"/>
                <w:sz w:val="24"/>
                <w:highlight w:val="none"/>
                <w:vertAlign w:val="subscript"/>
                <w:lang w:val="en-US" w:eastAsia="zh-CN" w:bidi="ar"/>
              </w:rPr>
              <w:t>2</w:t>
            </w:r>
            <w:r>
              <w:rPr>
                <w:rFonts w:hint="eastAsia"/>
                <w:color w:val="auto"/>
                <w:sz w:val="24"/>
                <w:szCs w:val="21"/>
                <w:highlight w:val="none"/>
                <w:lang w:val="en-US" w:eastAsia="zh-CN"/>
              </w:rPr>
              <w:t>：</w:t>
            </w:r>
            <w:r>
              <w:rPr>
                <w:rFonts w:hint="eastAsia" w:cs="Times New Roman"/>
                <w:color w:val="auto"/>
                <w:kern w:val="0"/>
                <w:sz w:val="24"/>
                <w:szCs w:val="24"/>
                <w:highlight w:val="none"/>
                <w:lang w:val="en-US" w:eastAsia="zh-CN"/>
              </w:rPr>
              <w:t>0.0303</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bCs/>
                <w:color w:val="auto"/>
                <w:sz w:val="24"/>
                <w:highlight w:val="none"/>
                <w:lang w:val="en-US" w:eastAsia="zh-CN" w:bidi="ar"/>
              </w:rPr>
              <w:t>SO</w:t>
            </w:r>
            <w:r>
              <w:rPr>
                <w:rFonts w:hint="default" w:ascii="Times New Roman" w:hAnsi="Times New Roman" w:cs="Times New Roman"/>
                <w:bCs/>
                <w:color w:val="auto"/>
                <w:sz w:val="24"/>
                <w:highlight w:val="none"/>
                <w:vertAlign w:val="subscript"/>
                <w:lang w:val="en-US" w:eastAsia="zh-CN" w:bidi="ar"/>
              </w:rPr>
              <w:t>2</w:t>
            </w:r>
            <w:r>
              <w:rPr>
                <w:rFonts w:hint="eastAsia"/>
                <w:color w:val="auto"/>
                <w:sz w:val="24"/>
                <w:szCs w:val="21"/>
                <w:highlight w:val="none"/>
                <w:lang w:val="en-US" w:eastAsia="zh-CN"/>
              </w:rPr>
              <w:t>：</w:t>
            </w:r>
            <w:r>
              <w:rPr>
                <w:rFonts w:hint="eastAsia" w:cs="Times New Roman"/>
                <w:color w:val="auto"/>
                <w:kern w:val="0"/>
                <w:sz w:val="24"/>
                <w:szCs w:val="24"/>
                <w:highlight w:val="none"/>
                <w:lang w:val="en-US" w:eastAsia="zh-CN"/>
              </w:rPr>
              <w:t>0.008</w:t>
            </w:r>
            <w:r>
              <w:rPr>
                <w:rFonts w:hint="eastAsia"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颗粒物：</w:t>
            </w:r>
            <w:r>
              <w:rPr>
                <w:rFonts w:hint="eastAsia" w:cs="Times New Roman"/>
                <w:color w:val="auto"/>
                <w:kern w:val="0"/>
                <w:sz w:val="24"/>
                <w:szCs w:val="24"/>
                <w:highlight w:val="none"/>
                <w:lang w:val="en-US" w:eastAsia="zh-CN"/>
              </w:rPr>
              <w:t>0.0053</w:t>
            </w:r>
            <w:r>
              <w:rPr>
                <w:rFonts w:hint="eastAsia" w:ascii="Times New Roman" w:hAnsi="Times New Roman" w:eastAsia="宋体" w:cs="Times New Roman"/>
                <w:color w:val="auto"/>
                <w:kern w:val="0"/>
                <w:sz w:val="24"/>
                <w:szCs w:val="24"/>
                <w:highlight w:val="none"/>
              </w:rPr>
              <w:t>t/a</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氨：0.00039t/a、硫化氢：0.000027t/a</w:t>
            </w:r>
            <w:r>
              <w:rPr>
                <w:color w:val="000000"/>
                <w:sz w:val="24"/>
                <w:highlight w:val="none"/>
              </w:rPr>
              <w:t>。</w:t>
            </w:r>
          </w:p>
          <w:p w14:paraId="461E0016">
            <w:pPr>
              <w:pStyle w:val="6"/>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eastAsia"/>
                <w:b/>
                <w:bCs w:val="0"/>
                <w:sz w:val="24"/>
                <w:szCs w:val="24"/>
                <w:highlight w:val="cyan"/>
                <w:u w:val="none"/>
                <w:lang w:val="en-US" w:eastAsia="zh-CN" w:bidi="ar"/>
              </w:rPr>
            </w:pPr>
            <w:r>
              <w:rPr>
                <w:color w:val="000000"/>
                <w:sz w:val="24"/>
                <w:highlight w:val="none"/>
              </w:rPr>
              <w:t>本项目</w:t>
            </w:r>
            <w:r>
              <w:rPr>
                <w:rFonts w:hint="eastAsia"/>
                <w:color w:val="000000"/>
                <w:sz w:val="24"/>
                <w:highlight w:val="none"/>
                <w:lang w:val="en-US" w:eastAsia="zh-CN"/>
              </w:rPr>
              <w:t>冷却水循环利用，不外排；</w:t>
            </w:r>
            <w:r>
              <w:rPr>
                <w:rFonts w:hint="eastAsia"/>
                <w:sz w:val="24"/>
                <w:highlight w:val="none"/>
                <w:lang w:val="en-US" w:eastAsia="zh-CN"/>
              </w:rPr>
              <w:t>生产</w:t>
            </w:r>
            <w:r>
              <w:rPr>
                <w:rFonts w:hint="eastAsia" w:ascii="Times New Roman" w:hAnsi="Times New Roman" w:eastAsia="宋体"/>
                <w:b w:val="0"/>
                <w:bCs w:val="0"/>
                <w:color w:val="auto"/>
                <w:sz w:val="24"/>
                <w:highlight w:val="none"/>
                <w:u w:val="none"/>
                <w:lang w:eastAsia="zh-CN"/>
              </w:rPr>
              <w:t>废水经</w:t>
            </w:r>
            <w:r>
              <w:rPr>
                <w:rFonts w:hint="eastAsia"/>
                <w:b w:val="0"/>
                <w:bCs w:val="0"/>
                <w:color w:val="auto"/>
                <w:sz w:val="24"/>
                <w:highlight w:val="none"/>
                <w:u w:val="none"/>
                <w:lang w:val="en-US" w:eastAsia="zh-CN"/>
              </w:rPr>
              <w:t>过</w:t>
            </w:r>
            <w:r>
              <w:rPr>
                <w:rFonts w:hint="eastAsia" w:ascii="Times New Roman" w:hAnsi="Times New Roman" w:eastAsia="宋体"/>
                <w:b w:val="0"/>
                <w:bCs w:val="0"/>
                <w:color w:val="auto"/>
                <w:sz w:val="24"/>
                <w:highlight w:val="none"/>
                <w:u w:val="none"/>
                <w:lang w:eastAsia="zh-CN"/>
              </w:rPr>
              <w:t>收集后</w:t>
            </w:r>
            <w:r>
              <w:rPr>
                <w:rFonts w:hint="eastAsia"/>
                <w:b w:val="0"/>
                <w:bCs w:val="0"/>
                <w:color w:val="auto"/>
                <w:sz w:val="24"/>
                <w:highlight w:val="none"/>
                <w:u w:val="none"/>
                <w:lang w:val="en-US" w:eastAsia="zh-CN"/>
              </w:rPr>
              <w:t>汇流</w:t>
            </w:r>
            <w:r>
              <w:rPr>
                <w:rFonts w:hint="eastAsia" w:ascii="Times New Roman" w:hAnsi="Times New Roman" w:eastAsia="宋体"/>
                <w:b w:val="0"/>
                <w:bCs w:val="0"/>
                <w:color w:val="auto"/>
                <w:sz w:val="24"/>
                <w:highlight w:val="none"/>
                <w:u w:val="none"/>
                <w:lang w:eastAsia="zh-CN"/>
              </w:rPr>
              <w:t>进入车间外</w:t>
            </w:r>
            <w:r>
              <w:rPr>
                <w:rFonts w:hint="eastAsia"/>
                <w:b w:val="0"/>
                <w:bCs w:val="0"/>
                <w:color w:val="auto"/>
                <w:sz w:val="24"/>
                <w:highlight w:val="none"/>
                <w:u w:val="none"/>
                <w:lang w:val="en-US" w:eastAsia="zh-CN"/>
              </w:rPr>
              <w:t>隔油</w:t>
            </w:r>
            <w:r>
              <w:rPr>
                <w:rFonts w:hint="eastAsia" w:ascii="Times New Roman" w:hAnsi="Times New Roman" w:eastAsia="宋体"/>
                <w:b w:val="0"/>
                <w:bCs w:val="0"/>
                <w:color w:val="auto"/>
                <w:sz w:val="24"/>
                <w:highlight w:val="none"/>
                <w:u w:val="none"/>
                <w:lang w:eastAsia="zh-CN"/>
              </w:rPr>
              <w:t>池</w:t>
            </w:r>
            <w:r>
              <w:rPr>
                <w:rFonts w:hint="eastAsia"/>
                <w:b w:val="0"/>
                <w:bCs w:val="0"/>
                <w:color w:val="auto"/>
                <w:sz w:val="24"/>
                <w:highlight w:val="none"/>
                <w:u w:val="none"/>
                <w:lang w:val="en-US" w:eastAsia="zh-CN"/>
              </w:rPr>
              <w:t>再进入污水处理设施处理</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生活污水经过化粪池处理后</w:t>
            </w:r>
            <w:r>
              <w:rPr>
                <w:rFonts w:hint="eastAsia" w:ascii="Times New Roman" w:hAnsi="Times New Roman" w:eastAsia="宋体"/>
                <w:b w:val="0"/>
                <w:bCs w:val="0"/>
                <w:color w:val="auto"/>
                <w:sz w:val="24"/>
                <w:highlight w:val="none"/>
                <w:u w:val="none"/>
                <w:lang w:eastAsia="zh-CN"/>
              </w:rPr>
              <w:t>，</w:t>
            </w:r>
            <w:r>
              <w:rPr>
                <w:rFonts w:hint="eastAsia" w:ascii="Times New Roman" w:hAnsi="Times New Roman" w:eastAsia="宋体"/>
                <w:b w:val="0"/>
                <w:bCs w:val="0"/>
                <w:color w:val="auto"/>
                <w:sz w:val="24"/>
                <w:highlight w:val="none"/>
                <w:u w:val="none"/>
                <w:lang w:val="en-US" w:eastAsia="zh-CN"/>
              </w:rPr>
              <w:t>再</w:t>
            </w:r>
            <w:r>
              <w:rPr>
                <w:rFonts w:hint="eastAsia"/>
                <w:b w:val="0"/>
                <w:bCs w:val="0"/>
                <w:color w:val="auto"/>
                <w:sz w:val="24"/>
                <w:highlight w:val="none"/>
                <w:u w:val="none"/>
                <w:lang w:val="en-US" w:eastAsia="zh-CN"/>
              </w:rPr>
              <w:t>外排</w:t>
            </w:r>
            <w:r>
              <w:rPr>
                <w:rFonts w:hint="eastAsia" w:ascii="Times New Roman" w:hAnsi="Times New Roman" w:eastAsia="宋体"/>
                <w:b w:val="0"/>
                <w:bCs w:val="0"/>
                <w:color w:val="auto"/>
                <w:sz w:val="24"/>
                <w:highlight w:val="none"/>
                <w:u w:val="none"/>
                <w:lang w:eastAsia="zh-CN"/>
              </w:rPr>
              <w:t>进入</w:t>
            </w:r>
            <w:r>
              <w:rPr>
                <w:rFonts w:hint="eastAsia" w:eastAsia="宋体"/>
                <w:b w:val="0"/>
                <w:bCs w:val="0"/>
                <w:color w:val="auto"/>
                <w:sz w:val="24"/>
                <w:highlight w:val="none"/>
                <w:u w:val="none"/>
                <w:lang w:val="en-US" w:eastAsia="zh-CN"/>
              </w:rPr>
              <w:t>污水管网</w:t>
            </w:r>
            <w:r>
              <w:rPr>
                <w:rFonts w:hint="eastAsia"/>
                <w:b w:val="0"/>
                <w:bCs w:val="0"/>
                <w:color w:val="auto"/>
                <w:sz w:val="24"/>
                <w:highlight w:val="none"/>
                <w:u w:val="none"/>
                <w:lang w:val="en-US" w:eastAsia="zh-CN"/>
              </w:rPr>
              <w:t>最终流向叶县廉村镇污水处理站进行处理</w:t>
            </w:r>
            <w:r>
              <w:rPr>
                <w:rFonts w:hint="eastAsia" w:ascii="Times New Roman" w:hAnsi="Times New Roman" w:eastAsia="宋体"/>
                <w:b w:val="0"/>
                <w:bCs w:val="0"/>
                <w:color w:val="auto"/>
                <w:sz w:val="24"/>
                <w:highlight w:val="none"/>
                <w:u w:val="none"/>
                <w:lang w:eastAsia="zh-CN"/>
              </w:rPr>
              <w:t>。</w:t>
            </w:r>
            <w:r>
              <w:rPr>
                <w:color w:val="000000"/>
                <w:sz w:val="24"/>
                <w:highlight w:val="none"/>
              </w:rPr>
              <w:t>因此</w:t>
            </w:r>
            <w:r>
              <w:rPr>
                <w:rFonts w:hint="default" w:ascii="Times New Roman" w:hAnsi="Times New Roman" w:cs="Times New Roman"/>
                <w:color w:val="auto"/>
                <w:kern w:val="0"/>
                <w:sz w:val="24"/>
                <w:szCs w:val="24"/>
                <w:highlight w:val="none"/>
                <w:lang w:val="en-US" w:eastAsia="zh-CN"/>
              </w:rPr>
              <w:t>COD</w:t>
            </w:r>
            <w:r>
              <w:rPr>
                <w:rFonts w:hint="eastAsia" w:cs="Times New Roman"/>
                <w:color w:val="auto"/>
                <w:kern w:val="0"/>
                <w:sz w:val="24"/>
                <w:szCs w:val="24"/>
                <w:highlight w:val="none"/>
                <w:lang w:val="en-US" w:eastAsia="zh-CN"/>
              </w:rPr>
              <w:t>出厂</w:t>
            </w:r>
            <w:r>
              <w:rPr>
                <w:rFonts w:hint="eastAsia" w:ascii="Times New Roman" w:hAnsi="Times New Roman" w:cs="Times New Roman"/>
                <w:color w:val="auto"/>
                <w:kern w:val="0"/>
                <w:sz w:val="24"/>
                <w:szCs w:val="24"/>
                <w:highlight w:val="none"/>
                <w:lang w:val="en-US" w:eastAsia="zh-CN"/>
              </w:rPr>
              <w:t>排放量：</w:t>
            </w:r>
            <w:r>
              <w:rPr>
                <w:rFonts w:hint="eastAsia" w:cs="Times New Roman"/>
                <w:color w:val="auto"/>
                <w:kern w:val="0"/>
                <w:sz w:val="24"/>
                <w:szCs w:val="24"/>
                <w:highlight w:val="none"/>
                <w:lang w:val="en-US" w:eastAsia="zh-CN"/>
              </w:rPr>
              <w:t>0.7242</w:t>
            </w:r>
            <w:r>
              <w:rPr>
                <w:rFonts w:hint="eastAsia" w:ascii="Times New Roman" w:hAnsi="Times New Roman" w:cs="Times New Roman"/>
                <w:color w:val="auto"/>
                <w:kern w:val="0"/>
                <w:sz w:val="24"/>
                <w:szCs w:val="24"/>
                <w:highlight w:val="none"/>
                <w:lang w:val="en-US" w:eastAsia="zh-CN"/>
              </w:rPr>
              <w:t>t/a，</w:t>
            </w:r>
            <w:r>
              <w:rPr>
                <w:rFonts w:hint="default" w:ascii="Times New Roman" w:hAnsi="Times New Roman" w:cs="Times New Roman"/>
                <w:color w:val="auto"/>
                <w:kern w:val="0"/>
                <w:sz w:val="24"/>
                <w:szCs w:val="24"/>
                <w:highlight w:val="none"/>
                <w:lang w:val="en-US" w:eastAsia="zh-CN"/>
              </w:rPr>
              <w:t>氨氮</w:t>
            </w:r>
            <w:r>
              <w:rPr>
                <w:rFonts w:hint="eastAsia" w:cs="Times New Roman"/>
                <w:color w:val="auto"/>
                <w:kern w:val="0"/>
                <w:sz w:val="24"/>
                <w:szCs w:val="24"/>
                <w:highlight w:val="none"/>
                <w:lang w:val="en-US" w:eastAsia="zh-CN"/>
              </w:rPr>
              <w:t>出厂</w:t>
            </w:r>
            <w:r>
              <w:rPr>
                <w:rFonts w:hint="eastAsia" w:ascii="Times New Roman" w:hAnsi="Times New Roman" w:cs="Times New Roman"/>
                <w:color w:val="auto"/>
                <w:kern w:val="0"/>
                <w:sz w:val="24"/>
                <w:szCs w:val="24"/>
                <w:highlight w:val="none"/>
                <w:lang w:val="en-US" w:eastAsia="zh-CN"/>
              </w:rPr>
              <w:t>排放量：0.</w:t>
            </w:r>
            <w:r>
              <w:rPr>
                <w:rFonts w:hint="eastAsia" w:cs="Times New Roman"/>
                <w:color w:val="auto"/>
                <w:kern w:val="0"/>
                <w:sz w:val="24"/>
                <w:szCs w:val="24"/>
                <w:highlight w:val="none"/>
                <w:lang w:val="en-US" w:eastAsia="zh-CN"/>
              </w:rPr>
              <w:t>0483</w:t>
            </w:r>
            <w:r>
              <w:rPr>
                <w:rFonts w:hint="eastAsia" w:ascii="Times New Roman" w:hAnsi="Times New Roman" w:cs="Times New Roman"/>
                <w:color w:val="auto"/>
                <w:kern w:val="0"/>
                <w:sz w:val="24"/>
                <w:szCs w:val="24"/>
                <w:highlight w:val="none"/>
                <w:lang w:val="en-US" w:eastAsia="zh-CN"/>
              </w:rPr>
              <w:t>t/a。</w:t>
            </w:r>
          </w:p>
          <w:p w14:paraId="1D26CE0D">
            <w:pPr>
              <w:pStyle w:val="6"/>
              <w:keepNext w:val="0"/>
              <w:keepLines w:val="0"/>
              <w:pageBreakBefore w:val="0"/>
              <w:widowControl w:val="0"/>
              <w:kinsoku/>
              <w:wordWrap/>
              <w:overflowPunct/>
              <w:topLinePunct w:val="0"/>
              <w:autoSpaceDE/>
              <w:autoSpaceDN/>
              <w:bidi w:val="0"/>
              <w:adjustRightInd/>
              <w:snapToGrid/>
              <w:spacing w:line="500" w:lineRule="atLeast"/>
              <w:ind w:firstLine="482" w:firstLineChars="200"/>
              <w:jc w:val="left"/>
              <w:textAlignment w:val="auto"/>
              <w:rPr>
                <w:rFonts w:hint="eastAsia"/>
                <w:b/>
                <w:bCs w:val="0"/>
                <w:sz w:val="24"/>
                <w:szCs w:val="24"/>
                <w:highlight w:val="none"/>
                <w:u w:val="none"/>
                <w:lang w:val="en-US" w:eastAsia="zh-CN" w:bidi="ar"/>
              </w:rPr>
            </w:pPr>
            <w:r>
              <w:rPr>
                <w:rFonts w:hint="eastAsia"/>
                <w:b/>
                <w:bCs w:val="0"/>
                <w:sz w:val="24"/>
                <w:szCs w:val="24"/>
                <w:highlight w:val="none"/>
                <w:u w:val="none"/>
                <w:lang w:val="en-US" w:eastAsia="zh-CN" w:bidi="ar"/>
              </w:rPr>
              <w:t>9、环保投资及验收一览表</w:t>
            </w:r>
          </w:p>
          <w:p w14:paraId="4880D5C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u w:val="none"/>
                <w:lang w:bidi="ar"/>
              </w:rPr>
            </w:pPr>
            <w:r>
              <w:rPr>
                <w:rFonts w:hint="eastAsia"/>
                <w:sz w:val="24"/>
                <w:highlight w:val="none"/>
                <w:u w:val="none"/>
                <w:lang w:bidi="ar"/>
              </w:rPr>
              <w:t>本项目总投资</w:t>
            </w:r>
            <w:r>
              <w:rPr>
                <w:rFonts w:hint="eastAsia"/>
                <w:sz w:val="24"/>
                <w:highlight w:val="none"/>
                <w:u w:val="none"/>
                <w:lang w:val="en-US" w:eastAsia="zh-CN" w:bidi="ar"/>
              </w:rPr>
              <w:t>2</w:t>
            </w:r>
            <w:r>
              <w:rPr>
                <w:rFonts w:hint="eastAsia"/>
                <w:sz w:val="24"/>
                <w:highlight w:val="none"/>
                <w:u w:val="none"/>
                <w:lang w:bidi="ar"/>
              </w:rPr>
              <w:t>00</w:t>
            </w:r>
            <w:r>
              <w:rPr>
                <w:rFonts w:hint="eastAsia"/>
                <w:sz w:val="24"/>
                <w:highlight w:val="none"/>
                <w:u w:val="none"/>
                <w:lang w:val="en-US" w:eastAsia="zh-CN" w:bidi="ar"/>
              </w:rPr>
              <w:t>0</w:t>
            </w:r>
            <w:r>
              <w:rPr>
                <w:rFonts w:hint="eastAsia"/>
                <w:sz w:val="24"/>
                <w:highlight w:val="none"/>
                <w:u w:val="none"/>
                <w:lang w:bidi="ar"/>
              </w:rPr>
              <w:t>万元，其中环保投资</w:t>
            </w:r>
            <w:r>
              <w:rPr>
                <w:rFonts w:hint="eastAsia"/>
                <w:sz w:val="24"/>
                <w:highlight w:val="none"/>
                <w:u w:val="none"/>
                <w:lang w:val="en-US" w:eastAsia="zh-CN" w:bidi="ar"/>
              </w:rPr>
              <w:t>55</w:t>
            </w:r>
            <w:r>
              <w:rPr>
                <w:rFonts w:hint="eastAsia"/>
                <w:sz w:val="24"/>
                <w:highlight w:val="none"/>
                <w:u w:val="none"/>
                <w:lang w:bidi="ar"/>
              </w:rPr>
              <w:t>万</w:t>
            </w:r>
            <w:r>
              <w:rPr>
                <w:rFonts w:hint="eastAsia"/>
                <w:sz w:val="24"/>
                <w:u w:val="none"/>
                <w:lang w:bidi="ar"/>
              </w:rPr>
              <w:t>元，占总投资的</w:t>
            </w:r>
            <w:r>
              <w:rPr>
                <w:rFonts w:hint="eastAsia"/>
                <w:sz w:val="24"/>
                <w:u w:val="none"/>
                <w:lang w:val="en-US" w:eastAsia="zh-CN" w:bidi="ar"/>
              </w:rPr>
              <w:t>2.75</w:t>
            </w:r>
            <w:r>
              <w:rPr>
                <w:rFonts w:hint="eastAsia"/>
                <w:sz w:val="24"/>
                <w:u w:val="none"/>
                <w:lang w:bidi="ar"/>
              </w:rPr>
              <w:t>%，项目环保投资见下表。</w:t>
            </w:r>
          </w:p>
          <w:p w14:paraId="5684C9B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黑体" w:hAnsi="黑体" w:eastAsia="黑体"/>
                <w:sz w:val="24"/>
                <w:highlight w:val="none"/>
                <w:u w:val="none"/>
              </w:rPr>
            </w:pPr>
            <w:r>
              <w:rPr>
                <w:rFonts w:eastAsia="黑体"/>
                <w:sz w:val="24"/>
                <w:highlight w:val="none"/>
                <w:u w:val="none"/>
              </w:rPr>
              <w:t>表</w:t>
            </w:r>
            <w:r>
              <w:rPr>
                <w:rFonts w:hint="eastAsia" w:eastAsia="黑体"/>
                <w:sz w:val="24"/>
                <w:highlight w:val="none"/>
                <w:u w:val="none"/>
              </w:rPr>
              <w:t>4-</w:t>
            </w:r>
            <w:r>
              <w:rPr>
                <w:rFonts w:hint="eastAsia" w:eastAsia="黑体"/>
                <w:sz w:val="24"/>
                <w:highlight w:val="none"/>
                <w:u w:val="none"/>
                <w:lang w:val="en-US" w:eastAsia="zh-CN"/>
              </w:rPr>
              <w:t>22</w:t>
            </w:r>
            <w:r>
              <w:rPr>
                <w:rFonts w:eastAsia="黑体"/>
                <w:sz w:val="24"/>
                <w:highlight w:val="none"/>
                <w:u w:val="none"/>
              </w:rPr>
              <w:t xml:space="preserve"> 项目环保投</w:t>
            </w:r>
            <w:r>
              <w:rPr>
                <w:rFonts w:hint="eastAsia" w:ascii="黑体" w:hAnsi="黑体" w:eastAsia="黑体"/>
                <w:sz w:val="24"/>
                <w:highlight w:val="none"/>
                <w:u w:val="none"/>
              </w:rPr>
              <w:t>资及验收一览表</w:t>
            </w:r>
          </w:p>
          <w:tbl>
            <w:tblPr>
              <w:tblStyle w:val="21"/>
              <w:tblW w:w="80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98"/>
              <w:gridCol w:w="960"/>
              <w:gridCol w:w="2708"/>
              <w:gridCol w:w="2896"/>
              <w:gridCol w:w="976"/>
            </w:tblGrid>
            <w:tr w14:paraId="705E76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98" w:type="dxa"/>
                  <w:tcBorders>
                    <w:tl2br w:val="nil"/>
                    <w:tr2bl w:val="nil"/>
                  </w:tcBorders>
                  <w:noWrap w:val="0"/>
                  <w:vAlign w:val="center"/>
                </w:tcPr>
                <w:p w14:paraId="09F1E0C7">
                  <w:pPr>
                    <w:spacing w:line="240" w:lineRule="exact"/>
                    <w:jc w:val="center"/>
                    <w:rPr>
                      <w:rFonts w:hint="eastAsia" w:eastAsia="宋体"/>
                      <w:b/>
                      <w:bCs/>
                      <w:color w:val="000000"/>
                      <w:szCs w:val="21"/>
                      <w:u w:val="none"/>
                      <w:lang w:val="en-US" w:eastAsia="zh-CN"/>
                    </w:rPr>
                  </w:pPr>
                  <w:r>
                    <w:rPr>
                      <w:b/>
                      <w:bCs/>
                      <w:color w:val="000000"/>
                      <w:szCs w:val="21"/>
                      <w:u w:val="none"/>
                    </w:rPr>
                    <w:t>污染因</w:t>
                  </w:r>
                  <w:r>
                    <w:rPr>
                      <w:rFonts w:hint="eastAsia"/>
                      <w:b/>
                      <w:bCs/>
                      <w:color w:val="000000"/>
                      <w:szCs w:val="21"/>
                      <w:u w:val="none"/>
                      <w:lang w:val="en-US" w:eastAsia="zh-CN"/>
                    </w:rPr>
                    <w:t>子</w:t>
                  </w:r>
                </w:p>
              </w:tc>
              <w:tc>
                <w:tcPr>
                  <w:tcW w:w="960" w:type="dxa"/>
                  <w:tcBorders>
                    <w:tl2br w:val="nil"/>
                    <w:tr2bl w:val="nil"/>
                  </w:tcBorders>
                  <w:noWrap w:val="0"/>
                  <w:vAlign w:val="center"/>
                </w:tcPr>
                <w:p w14:paraId="22F7A729">
                  <w:pPr>
                    <w:spacing w:line="240" w:lineRule="exact"/>
                    <w:jc w:val="center"/>
                    <w:rPr>
                      <w:b/>
                      <w:bCs/>
                      <w:color w:val="000000"/>
                      <w:szCs w:val="21"/>
                      <w:u w:val="none"/>
                    </w:rPr>
                  </w:pPr>
                  <w:r>
                    <w:rPr>
                      <w:b/>
                      <w:bCs/>
                      <w:color w:val="000000"/>
                      <w:szCs w:val="21"/>
                      <w:u w:val="none"/>
                    </w:rPr>
                    <w:t>排放源</w:t>
                  </w:r>
                </w:p>
              </w:tc>
              <w:tc>
                <w:tcPr>
                  <w:tcW w:w="2708" w:type="dxa"/>
                  <w:tcBorders>
                    <w:tl2br w:val="nil"/>
                    <w:tr2bl w:val="nil"/>
                  </w:tcBorders>
                  <w:noWrap w:val="0"/>
                  <w:vAlign w:val="center"/>
                </w:tcPr>
                <w:p w14:paraId="37E2CD14">
                  <w:pPr>
                    <w:spacing w:line="240" w:lineRule="exact"/>
                    <w:jc w:val="center"/>
                    <w:rPr>
                      <w:b/>
                      <w:bCs/>
                      <w:color w:val="000000"/>
                      <w:szCs w:val="21"/>
                      <w:u w:val="none"/>
                    </w:rPr>
                  </w:pPr>
                  <w:r>
                    <w:rPr>
                      <w:b/>
                      <w:bCs/>
                      <w:color w:val="000000"/>
                      <w:szCs w:val="21"/>
                      <w:u w:val="none"/>
                    </w:rPr>
                    <w:t>环保设施</w:t>
                  </w:r>
                </w:p>
              </w:tc>
              <w:tc>
                <w:tcPr>
                  <w:tcW w:w="2896" w:type="dxa"/>
                  <w:tcBorders>
                    <w:tl2br w:val="nil"/>
                    <w:tr2bl w:val="nil"/>
                  </w:tcBorders>
                  <w:noWrap w:val="0"/>
                  <w:vAlign w:val="center"/>
                </w:tcPr>
                <w:p w14:paraId="7945AEDD">
                  <w:pPr>
                    <w:spacing w:line="240" w:lineRule="exact"/>
                    <w:jc w:val="center"/>
                    <w:rPr>
                      <w:rFonts w:hint="default" w:eastAsia="宋体"/>
                      <w:b/>
                      <w:bCs/>
                      <w:color w:val="000000"/>
                      <w:szCs w:val="21"/>
                      <w:u w:val="none"/>
                      <w:lang w:val="en-US" w:eastAsia="zh-CN"/>
                    </w:rPr>
                  </w:pPr>
                  <w:r>
                    <w:rPr>
                      <w:rFonts w:hint="eastAsia"/>
                      <w:b/>
                      <w:bCs/>
                      <w:color w:val="000000"/>
                      <w:szCs w:val="21"/>
                      <w:u w:val="none"/>
                      <w:lang w:val="en-US" w:eastAsia="zh-CN"/>
                    </w:rPr>
                    <w:t>验收标准</w:t>
                  </w:r>
                </w:p>
              </w:tc>
              <w:tc>
                <w:tcPr>
                  <w:tcW w:w="976" w:type="dxa"/>
                  <w:tcBorders>
                    <w:tl2br w:val="nil"/>
                    <w:tr2bl w:val="nil"/>
                  </w:tcBorders>
                  <w:noWrap w:val="0"/>
                  <w:vAlign w:val="center"/>
                </w:tcPr>
                <w:p w14:paraId="5C0173E1">
                  <w:pPr>
                    <w:spacing w:line="240" w:lineRule="exact"/>
                    <w:jc w:val="center"/>
                    <w:rPr>
                      <w:b/>
                      <w:bCs/>
                      <w:color w:val="000000"/>
                      <w:szCs w:val="21"/>
                      <w:u w:val="none"/>
                    </w:rPr>
                  </w:pPr>
                  <w:r>
                    <w:rPr>
                      <w:b/>
                      <w:bCs/>
                      <w:color w:val="000000"/>
                      <w:szCs w:val="21"/>
                      <w:u w:val="none"/>
                    </w:rPr>
                    <w:t>环保</w:t>
                  </w:r>
                </w:p>
                <w:p w14:paraId="05BD3C75">
                  <w:pPr>
                    <w:spacing w:line="240" w:lineRule="exact"/>
                    <w:jc w:val="center"/>
                    <w:rPr>
                      <w:b/>
                      <w:bCs/>
                      <w:color w:val="000000"/>
                      <w:szCs w:val="21"/>
                      <w:u w:val="none"/>
                    </w:rPr>
                  </w:pPr>
                  <w:r>
                    <w:rPr>
                      <w:b/>
                      <w:bCs/>
                      <w:color w:val="000000"/>
                      <w:szCs w:val="21"/>
                      <w:u w:val="none"/>
                    </w:rPr>
                    <w:t>投资</w:t>
                  </w:r>
                </w:p>
                <w:p w14:paraId="30FD2BF5">
                  <w:pPr>
                    <w:spacing w:line="240" w:lineRule="exact"/>
                    <w:jc w:val="center"/>
                    <w:rPr>
                      <w:b/>
                      <w:bCs/>
                      <w:color w:val="000000"/>
                      <w:szCs w:val="21"/>
                      <w:u w:val="none"/>
                    </w:rPr>
                  </w:pPr>
                  <w:r>
                    <w:rPr>
                      <w:b/>
                      <w:bCs/>
                      <w:color w:val="000000"/>
                      <w:szCs w:val="21"/>
                      <w:u w:val="none"/>
                    </w:rPr>
                    <w:t>（万元）</w:t>
                  </w:r>
                </w:p>
              </w:tc>
            </w:tr>
            <w:tr w14:paraId="2C34B3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4" w:hRule="atLeast"/>
                <w:jc w:val="center"/>
              </w:trPr>
              <w:tc>
                <w:tcPr>
                  <w:tcW w:w="498" w:type="dxa"/>
                  <w:vMerge w:val="restart"/>
                  <w:tcBorders>
                    <w:tl2br w:val="nil"/>
                    <w:tr2bl w:val="nil"/>
                  </w:tcBorders>
                  <w:noWrap w:val="0"/>
                  <w:vAlign w:val="center"/>
                </w:tcPr>
                <w:p w14:paraId="05A98EA5">
                  <w:pPr>
                    <w:spacing w:line="240" w:lineRule="exact"/>
                    <w:jc w:val="center"/>
                    <w:rPr>
                      <w:color w:val="000000"/>
                      <w:szCs w:val="21"/>
                      <w:u w:val="none"/>
                    </w:rPr>
                  </w:pPr>
                  <w:r>
                    <w:rPr>
                      <w:color w:val="000000"/>
                      <w:szCs w:val="21"/>
                      <w:u w:val="none"/>
                    </w:rPr>
                    <w:t>废气</w:t>
                  </w:r>
                </w:p>
              </w:tc>
              <w:tc>
                <w:tcPr>
                  <w:tcW w:w="960" w:type="dxa"/>
                  <w:tcBorders>
                    <w:tl2br w:val="nil"/>
                    <w:tr2bl w:val="nil"/>
                  </w:tcBorders>
                  <w:noWrap w:val="0"/>
                  <w:vAlign w:val="center"/>
                </w:tcPr>
                <w:p w14:paraId="4C2C8590">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天然气燃烧废气</w:t>
                  </w:r>
                </w:p>
              </w:tc>
              <w:tc>
                <w:tcPr>
                  <w:tcW w:w="2708" w:type="dxa"/>
                  <w:tcBorders>
                    <w:tl2br w:val="nil"/>
                    <w:tr2bl w:val="nil"/>
                  </w:tcBorders>
                  <w:noWrap w:val="0"/>
                  <w:vAlign w:val="center"/>
                </w:tcPr>
                <w:p w14:paraId="1914686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低氮燃烧</w:t>
                  </w:r>
                  <w:r>
                    <w:rPr>
                      <w:rFonts w:hint="eastAsia" w:cs="Times New Roman"/>
                      <w:color w:val="auto"/>
                      <w:sz w:val="21"/>
                      <w:szCs w:val="21"/>
                      <w:u w:val="none"/>
                      <w:lang w:val="en-US" w:eastAsia="zh-CN"/>
                    </w:rPr>
                    <w:t>装置</w:t>
                  </w:r>
                </w:p>
                <w:p w14:paraId="5FA00A7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15m高排气</w:t>
                  </w:r>
                </w:p>
                <w:p w14:paraId="5C919528">
                  <w:pPr>
                    <w:spacing w:line="240" w:lineRule="exact"/>
                    <w:jc w:val="center"/>
                    <w:rPr>
                      <w:color w:val="000000"/>
                      <w:kern w:val="0"/>
                      <w:szCs w:val="21"/>
                      <w:u w:val="none"/>
                    </w:rPr>
                  </w:pPr>
                  <w:r>
                    <w:rPr>
                      <w:rFonts w:hint="default" w:ascii="Times New Roman" w:hAnsi="Times New Roman" w:cs="Times New Roman"/>
                      <w:color w:val="auto"/>
                      <w:sz w:val="21"/>
                      <w:szCs w:val="21"/>
                      <w:u w:val="none"/>
                      <w:lang w:val="en-US" w:eastAsia="zh-CN"/>
                    </w:rPr>
                    <w:t>筒排放</w:t>
                  </w:r>
                  <w:r>
                    <w:rPr>
                      <w:rFonts w:hint="default" w:ascii="Times New Roman" w:hAnsi="Times New Roman" w:eastAsia="宋体" w:cs="Times New Roman"/>
                      <w:color w:val="auto"/>
                      <w:sz w:val="21"/>
                      <w:szCs w:val="21"/>
                      <w:highlight w:val="none"/>
                      <w:u w:val="none"/>
                      <w:vertAlign w:val="baseline"/>
                      <w:lang w:val="en-US" w:eastAsia="zh-CN"/>
                    </w:rPr>
                    <w:t>（DA001）</w:t>
                  </w:r>
                </w:p>
              </w:tc>
              <w:tc>
                <w:tcPr>
                  <w:tcW w:w="2896" w:type="dxa"/>
                  <w:tcBorders>
                    <w:tl2br w:val="nil"/>
                    <w:tr2bl w:val="nil"/>
                  </w:tcBorders>
                  <w:shd w:val="clear" w:color="auto" w:fill="auto"/>
                  <w:noWrap w:val="0"/>
                  <w:vAlign w:val="center"/>
                </w:tcPr>
                <w:p w14:paraId="2A753E95">
                  <w:pPr>
                    <w:pStyle w:val="11"/>
                    <w:keepNext w:val="0"/>
                    <w:keepLines w:val="0"/>
                    <w:pageBreakBefore w:val="0"/>
                    <w:widowControl w:val="0"/>
                    <w:kinsoku/>
                    <w:wordWrap w:val="0"/>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《河南省锅炉大气污染物排放标准》(DB41/2089—2021)排放</w:t>
                  </w:r>
                  <w:r>
                    <w:rPr>
                      <w:rFonts w:hint="default" w:ascii="Times New Roman" w:hAnsi="Times New Roman" w:eastAsia="宋体" w:cs="Times New Roman"/>
                      <w:color w:val="auto"/>
                      <w:sz w:val="21"/>
                      <w:szCs w:val="21"/>
                      <w:highlight w:val="none"/>
                    </w:rPr>
                    <w:t>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kern w:val="28"/>
                      <w:sz w:val="21"/>
                      <w:szCs w:val="21"/>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1"/>
                      <w:szCs w:val="21"/>
                      <w:highlight w:val="none"/>
                      <w:lang w:val="en-US" w:eastAsia="zh-CN" w:bidi="ar-SA"/>
                    </w:rPr>
                    <w:t>》中</w:t>
                  </w:r>
                  <w:r>
                    <w:rPr>
                      <w:rFonts w:hint="eastAsia" w:cs="Times New Roman"/>
                      <w:b w:val="0"/>
                      <w:bCs w:val="0"/>
                      <w:color w:val="auto"/>
                      <w:kern w:val="28"/>
                      <w:sz w:val="21"/>
                      <w:szCs w:val="21"/>
                      <w:highlight w:val="none"/>
                      <w:lang w:val="en-US" w:eastAsia="zh-CN" w:bidi="ar-SA"/>
                    </w:rPr>
                    <w:t>燃气锅炉</w:t>
                  </w:r>
                  <w:r>
                    <w:rPr>
                      <w:rFonts w:hint="default" w:ascii="Times New Roman" w:hAnsi="Times New Roman" w:cs="Times New Roman"/>
                      <w:b w:val="0"/>
                      <w:bCs w:val="0"/>
                      <w:color w:val="auto"/>
                      <w:kern w:val="28"/>
                      <w:sz w:val="21"/>
                      <w:szCs w:val="21"/>
                      <w:highlight w:val="none"/>
                      <w:lang w:val="en-US" w:eastAsia="zh-CN" w:bidi="ar-SA"/>
                    </w:rPr>
                    <w:t>要求</w:t>
                  </w:r>
                </w:p>
              </w:tc>
              <w:tc>
                <w:tcPr>
                  <w:tcW w:w="976" w:type="dxa"/>
                  <w:vMerge w:val="restart"/>
                  <w:tcBorders>
                    <w:tl2br w:val="nil"/>
                    <w:tr2bl w:val="nil"/>
                  </w:tcBorders>
                  <w:noWrap w:val="0"/>
                  <w:vAlign w:val="center"/>
                </w:tcPr>
                <w:p w14:paraId="2A80BE9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eastAsia="宋体"/>
                      <w:color w:val="000000"/>
                      <w:sz w:val="21"/>
                      <w:szCs w:val="21"/>
                      <w:u w:val="none"/>
                      <w:lang w:val="en-US" w:eastAsia="zh-CN"/>
                    </w:rPr>
                  </w:pPr>
                  <w:r>
                    <w:rPr>
                      <w:rFonts w:hint="eastAsia"/>
                      <w:color w:val="000000"/>
                      <w:sz w:val="21"/>
                      <w:szCs w:val="21"/>
                      <w:u w:val="none"/>
                      <w:lang w:val="en-US" w:eastAsia="zh-CN"/>
                    </w:rPr>
                    <w:t>20</w:t>
                  </w:r>
                </w:p>
              </w:tc>
            </w:tr>
            <w:tr w14:paraId="13694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3" w:hRule="atLeast"/>
                <w:jc w:val="center"/>
              </w:trPr>
              <w:tc>
                <w:tcPr>
                  <w:tcW w:w="498" w:type="dxa"/>
                  <w:vMerge w:val="continue"/>
                  <w:tcBorders>
                    <w:tl2br w:val="nil"/>
                    <w:tr2bl w:val="nil"/>
                  </w:tcBorders>
                  <w:noWrap w:val="0"/>
                  <w:vAlign w:val="center"/>
                </w:tcPr>
                <w:p w14:paraId="0B156930">
                  <w:pPr>
                    <w:spacing w:line="240" w:lineRule="exact"/>
                    <w:jc w:val="center"/>
                    <w:rPr>
                      <w:color w:val="000000"/>
                      <w:szCs w:val="21"/>
                      <w:u w:val="none"/>
                    </w:rPr>
                  </w:pPr>
                </w:p>
              </w:tc>
              <w:tc>
                <w:tcPr>
                  <w:tcW w:w="960" w:type="dxa"/>
                  <w:tcBorders>
                    <w:tl2br w:val="nil"/>
                    <w:tr2bl w:val="nil"/>
                  </w:tcBorders>
                  <w:noWrap w:val="0"/>
                  <w:vAlign w:val="center"/>
                </w:tcPr>
                <w:p w14:paraId="1F05AFD7">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油辣椒炒制工序油烟</w:t>
                  </w:r>
                </w:p>
              </w:tc>
              <w:tc>
                <w:tcPr>
                  <w:tcW w:w="2708" w:type="dxa"/>
                  <w:tcBorders>
                    <w:tl2br w:val="nil"/>
                    <w:tr2bl w:val="nil"/>
                  </w:tcBorders>
                  <w:noWrap w:val="0"/>
                  <w:vAlign w:val="center"/>
                </w:tcPr>
                <w:p w14:paraId="4D41B3E5">
                  <w:pPr>
                    <w:spacing w:line="240" w:lineRule="exact"/>
                    <w:jc w:val="center"/>
                    <w:rPr>
                      <w:color w:val="000000"/>
                      <w:spacing w:val="-6"/>
                      <w:szCs w:val="21"/>
                      <w:u w:val="none"/>
                    </w:rPr>
                  </w:pPr>
                  <w:r>
                    <w:rPr>
                      <w:rFonts w:hint="default" w:ascii="Times New Roman" w:hAnsi="Times New Roman" w:cs="Times New Roman"/>
                      <w:color w:val="auto"/>
                      <w:sz w:val="21"/>
                      <w:szCs w:val="21"/>
                      <w:highlight w:val="none"/>
                      <w:vertAlign w:val="baseline"/>
                      <w:lang w:val="en-US" w:eastAsia="zh-CN"/>
                    </w:rPr>
                    <w:t>油烟经过集气罩收集后进入油烟净化器处理后</w:t>
                  </w:r>
                  <w:r>
                    <w:rPr>
                      <w:rFonts w:hint="default" w:ascii="Times New Roman" w:hAnsi="Times New Roman" w:eastAsia="宋体" w:cs="Times New Roman"/>
                      <w:color w:val="auto"/>
                      <w:sz w:val="21"/>
                      <w:szCs w:val="21"/>
                      <w:highlight w:val="none"/>
                      <w:vertAlign w:val="baseline"/>
                      <w:lang w:val="en-US" w:eastAsia="zh-CN"/>
                    </w:rPr>
                    <w:t>最终从</w:t>
                  </w:r>
                  <w:r>
                    <w:rPr>
                      <w:rFonts w:hint="default" w:ascii="Times New Roman" w:hAnsi="Times New Roman" w:cs="Times New Roman"/>
                      <w:color w:val="auto"/>
                      <w:sz w:val="21"/>
                      <w:szCs w:val="21"/>
                      <w:u w:val="none"/>
                      <w:lang w:val="en-US" w:eastAsia="zh-CN"/>
                    </w:rPr>
                    <w:t>15m高排气筒</w:t>
                  </w:r>
                  <w:r>
                    <w:rPr>
                      <w:rFonts w:hint="default" w:ascii="Times New Roman" w:hAnsi="Times New Roman" w:eastAsia="宋体" w:cs="Times New Roman"/>
                      <w:color w:val="auto"/>
                      <w:sz w:val="21"/>
                      <w:szCs w:val="21"/>
                      <w:highlight w:val="none"/>
                      <w:u w:val="none"/>
                      <w:vertAlign w:val="baseline"/>
                      <w:lang w:val="en-US" w:eastAsia="zh-CN"/>
                    </w:rPr>
                    <w:t>（DA002）达标排放</w:t>
                  </w:r>
                </w:p>
              </w:tc>
              <w:tc>
                <w:tcPr>
                  <w:tcW w:w="2896" w:type="dxa"/>
                  <w:tcBorders>
                    <w:tl2br w:val="nil"/>
                    <w:tr2bl w:val="nil"/>
                  </w:tcBorders>
                  <w:shd w:val="clear" w:color="auto" w:fill="auto"/>
                  <w:noWrap w:val="0"/>
                  <w:vAlign w:val="center"/>
                </w:tcPr>
                <w:p w14:paraId="1B680322">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lang w:val="en-US" w:eastAsia="zh-CN"/>
                    </w:rPr>
                    <w:t>河南省《餐饮业油烟污染物排放标准》（DB41/1604-2018）</w:t>
                  </w:r>
                  <w:r>
                    <w:rPr>
                      <w:rFonts w:hint="default" w:ascii="Times New Roman" w:hAnsi="Times New Roman" w:eastAsia="宋体" w:cs="Times New Roman"/>
                      <w:kern w:val="2"/>
                      <w:sz w:val="21"/>
                      <w:szCs w:val="21"/>
                      <w:lang w:val="en-US" w:eastAsia="zh-CN" w:bidi="ar-SA"/>
                    </w:rPr>
                    <w:t>（</w:t>
                  </w:r>
                  <w:r>
                    <w:rPr>
                      <w:rFonts w:hint="default" w:ascii="Times New Roman" w:hAnsi="Times New Roman" w:cs="Times New Roman"/>
                      <w:kern w:val="2"/>
                      <w:sz w:val="21"/>
                      <w:szCs w:val="21"/>
                      <w:lang w:val="en-US" w:eastAsia="zh-CN" w:bidi="ar-SA"/>
                    </w:rPr>
                    <w:t>小</w:t>
                  </w:r>
                  <w:r>
                    <w:rPr>
                      <w:rFonts w:hint="default" w:ascii="Times New Roman" w:hAnsi="Times New Roman" w:eastAsia="宋体" w:cs="Times New Roman"/>
                      <w:kern w:val="2"/>
                      <w:sz w:val="21"/>
                      <w:szCs w:val="21"/>
                      <w:lang w:val="en-US" w:eastAsia="zh-CN" w:bidi="ar-SA"/>
                    </w:rPr>
                    <w:t>型</w:t>
                  </w:r>
                  <w:r>
                    <w:rPr>
                      <w:rFonts w:hint="default"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最低去除效率90%、最高允许排放浓度1.</w:t>
                  </w:r>
                  <w:r>
                    <w:rPr>
                      <w:rFonts w:hint="default" w:ascii="Times New Roman" w:hAnsi="Times New Roman"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976" w:type="dxa"/>
                  <w:vMerge w:val="continue"/>
                  <w:tcBorders>
                    <w:tl2br w:val="nil"/>
                    <w:tr2bl w:val="nil"/>
                  </w:tcBorders>
                  <w:noWrap w:val="0"/>
                  <w:vAlign w:val="center"/>
                </w:tcPr>
                <w:p w14:paraId="6C03655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eastAsia="宋体"/>
                      <w:color w:val="000000"/>
                      <w:sz w:val="21"/>
                      <w:szCs w:val="21"/>
                      <w:u w:val="none"/>
                      <w:lang w:val="en-US" w:eastAsia="zh-CN"/>
                    </w:rPr>
                  </w:pPr>
                </w:p>
              </w:tc>
            </w:tr>
            <w:tr w14:paraId="23D2B2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3" w:hRule="atLeast"/>
                <w:jc w:val="center"/>
              </w:trPr>
              <w:tc>
                <w:tcPr>
                  <w:tcW w:w="498" w:type="dxa"/>
                  <w:vMerge w:val="continue"/>
                  <w:tcBorders>
                    <w:tl2br w:val="nil"/>
                    <w:tr2bl w:val="nil"/>
                  </w:tcBorders>
                  <w:noWrap w:val="0"/>
                  <w:vAlign w:val="center"/>
                </w:tcPr>
                <w:p w14:paraId="2073B94E">
                  <w:pPr>
                    <w:spacing w:line="240" w:lineRule="exact"/>
                    <w:jc w:val="center"/>
                    <w:rPr>
                      <w:color w:val="000000"/>
                      <w:szCs w:val="21"/>
                      <w:u w:val="none"/>
                    </w:rPr>
                  </w:pPr>
                </w:p>
              </w:tc>
              <w:tc>
                <w:tcPr>
                  <w:tcW w:w="960" w:type="dxa"/>
                  <w:tcBorders>
                    <w:tl2br w:val="nil"/>
                    <w:tr2bl w:val="nil"/>
                  </w:tcBorders>
                  <w:noWrap w:val="0"/>
                  <w:vAlign w:val="center"/>
                </w:tcPr>
                <w:p w14:paraId="14DF2E0F">
                  <w:pPr>
                    <w:spacing w:line="240" w:lineRule="exact"/>
                    <w:jc w:val="center"/>
                    <w:rPr>
                      <w:rFonts w:hint="default"/>
                      <w:color w:val="000000"/>
                      <w:szCs w:val="21"/>
                      <w:u w:val="none"/>
                      <w:lang w:val="en-US" w:eastAsia="zh-CN"/>
                    </w:rPr>
                  </w:pPr>
                  <w:r>
                    <w:rPr>
                      <w:rFonts w:hint="eastAsia"/>
                      <w:color w:val="000000"/>
                      <w:szCs w:val="21"/>
                      <w:u w:val="none"/>
                      <w:lang w:val="en-US" w:eastAsia="zh-CN"/>
                    </w:rPr>
                    <w:t>污水处理废气</w:t>
                  </w:r>
                </w:p>
              </w:tc>
              <w:tc>
                <w:tcPr>
                  <w:tcW w:w="2708" w:type="dxa"/>
                  <w:tcBorders>
                    <w:tl2br w:val="nil"/>
                    <w:tr2bl w:val="nil"/>
                  </w:tcBorders>
                  <w:noWrap w:val="0"/>
                  <w:vAlign w:val="center"/>
                </w:tcPr>
                <w:p w14:paraId="46B21A3A">
                  <w:pPr>
                    <w:spacing w:line="240" w:lineRule="exact"/>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经集气罩收集后进入</w:t>
                  </w:r>
                  <w:r>
                    <w:rPr>
                      <w:rFonts w:hint="eastAsia" w:ascii="Times New Roman" w:hAnsi="Times New Roman" w:cs="Times New Roman"/>
                      <w:color w:val="auto"/>
                      <w:sz w:val="21"/>
                      <w:szCs w:val="21"/>
                      <w:highlight w:val="none"/>
                      <w:vertAlign w:val="baseline"/>
                      <w:lang w:val="en-US" w:eastAsia="zh-CN"/>
                    </w:rPr>
                    <w:t>活性炭吸附装置</w:t>
                  </w:r>
                  <w:r>
                    <w:rPr>
                      <w:rFonts w:hint="default" w:ascii="Times New Roman" w:hAnsi="Times New Roman" w:cs="Times New Roman"/>
                      <w:color w:val="auto"/>
                      <w:sz w:val="21"/>
                      <w:szCs w:val="21"/>
                      <w:highlight w:val="none"/>
                      <w:vertAlign w:val="baseline"/>
                      <w:lang w:val="en-US" w:eastAsia="zh-CN"/>
                    </w:rPr>
                    <w:t>处理后</w:t>
                  </w:r>
                  <w:r>
                    <w:rPr>
                      <w:rFonts w:hint="default" w:ascii="Times New Roman" w:hAnsi="Times New Roman" w:eastAsia="宋体" w:cs="Times New Roman"/>
                      <w:color w:val="auto"/>
                      <w:sz w:val="21"/>
                      <w:szCs w:val="21"/>
                      <w:highlight w:val="none"/>
                      <w:vertAlign w:val="baseline"/>
                      <w:lang w:val="en-US" w:eastAsia="zh-CN"/>
                    </w:rPr>
                    <w:t>最终从</w:t>
                  </w:r>
                  <w:r>
                    <w:rPr>
                      <w:rFonts w:hint="default" w:ascii="Times New Roman" w:hAnsi="Times New Roman" w:cs="Times New Roman"/>
                      <w:color w:val="auto"/>
                      <w:sz w:val="21"/>
                      <w:szCs w:val="21"/>
                      <w:u w:val="none"/>
                      <w:lang w:val="en-US" w:eastAsia="zh-CN"/>
                    </w:rPr>
                    <w:t>15m高排气筒</w:t>
                  </w:r>
                  <w:r>
                    <w:rPr>
                      <w:rFonts w:hint="default" w:ascii="Times New Roman" w:hAnsi="Times New Roman" w:eastAsia="宋体" w:cs="Times New Roman"/>
                      <w:color w:val="auto"/>
                      <w:sz w:val="21"/>
                      <w:szCs w:val="21"/>
                      <w:highlight w:val="none"/>
                      <w:u w:val="none"/>
                      <w:vertAlign w:val="baseline"/>
                      <w:lang w:val="en-US" w:eastAsia="zh-CN"/>
                    </w:rPr>
                    <w:t>（DA00</w:t>
                  </w:r>
                  <w:r>
                    <w:rPr>
                      <w:rFonts w:hint="eastAsia" w:cs="Times New Roman"/>
                      <w:color w:val="auto"/>
                      <w:sz w:val="21"/>
                      <w:szCs w:val="21"/>
                      <w:highlight w:val="none"/>
                      <w:u w:val="none"/>
                      <w:vertAlign w:val="baseline"/>
                      <w:lang w:val="en-US" w:eastAsia="zh-CN"/>
                    </w:rPr>
                    <w:t>3</w:t>
                  </w:r>
                  <w:r>
                    <w:rPr>
                      <w:rFonts w:hint="default" w:ascii="Times New Roman" w:hAnsi="Times New Roman" w:eastAsia="宋体" w:cs="Times New Roman"/>
                      <w:color w:val="auto"/>
                      <w:sz w:val="21"/>
                      <w:szCs w:val="21"/>
                      <w:highlight w:val="none"/>
                      <w:u w:val="none"/>
                      <w:vertAlign w:val="baseline"/>
                      <w:lang w:val="en-US" w:eastAsia="zh-CN"/>
                    </w:rPr>
                    <w:t>）达标排放</w:t>
                  </w:r>
                </w:p>
              </w:tc>
              <w:tc>
                <w:tcPr>
                  <w:tcW w:w="2896" w:type="dxa"/>
                  <w:tcBorders>
                    <w:tl2br w:val="nil"/>
                    <w:tr2bl w:val="nil"/>
                  </w:tcBorders>
                  <w:shd w:val="clear" w:color="auto" w:fill="auto"/>
                  <w:noWrap w:val="0"/>
                  <w:vAlign w:val="center"/>
                </w:tcPr>
                <w:p w14:paraId="758A1485">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eastAsia"/>
                      <w:sz w:val="21"/>
                      <w:szCs w:val="21"/>
                      <w:highlight w:val="none"/>
                      <w:lang w:val="en-US" w:eastAsia="zh-CN"/>
                    </w:rPr>
                  </w:pPr>
                  <w:r>
                    <w:rPr>
                      <w:rFonts w:hint="default" w:ascii="Times New Roman" w:hAnsi="Times New Roman" w:eastAsia="宋体" w:cs="Times New Roman"/>
                      <w:sz w:val="21"/>
                      <w:szCs w:val="21"/>
                      <w:highlight w:val="none"/>
                    </w:rPr>
                    <w:t>《恶臭污染物排放标准》（GB14554-93）要求</w:t>
                  </w:r>
                </w:p>
              </w:tc>
              <w:tc>
                <w:tcPr>
                  <w:tcW w:w="976" w:type="dxa"/>
                  <w:vMerge w:val="continue"/>
                  <w:tcBorders>
                    <w:tl2br w:val="nil"/>
                    <w:tr2bl w:val="nil"/>
                  </w:tcBorders>
                  <w:noWrap w:val="0"/>
                  <w:vAlign w:val="center"/>
                </w:tcPr>
                <w:p w14:paraId="24C4112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eastAsia="宋体"/>
                      <w:color w:val="000000"/>
                      <w:sz w:val="21"/>
                      <w:szCs w:val="21"/>
                      <w:u w:val="none"/>
                      <w:lang w:val="en-US" w:eastAsia="zh-CN"/>
                    </w:rPr>
                  </w:pPr>
                </w:p>
              </w:tc>
            </w:tr>
            <w:tr w14:paraId="598B8B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498" w:type="dxa"/>
                  <w:vMerge w:val="restart"/>
                  <w:tcBorders>
                    <w:tl2br w:val="nil"/>
                    <w:tr2bl w:val="nil"/>
                  </w:tcBorders>
                  <w:noWrap w:val="0"/>
                  <w:vAlign w:val="center"/>
                </w:tcPr>
                <w:p w14:paraId="50C753D8">
                  <w:pPr>
                    <w:spacing w:line="240" w:lineRule="exact"/>
                    <w:jc w:val="center"/>
                    <w:rPr>
                      <w:color w:val="000000"/>
                      <w:szCs w:val="21"/>
                      <w:u w:val="none"/>
                    </w:rPr>
                  </w:pPr>
                  <w:r>
                    <w:rPr>
                      <w:color w:val="000000"/>
                      <w:szCs w:val="21"/>
                      <w:u w:val="none"/>
                    </w:rPr>
                    <w:t>废水</w:t>
                  </w:r>
                </w:p>
              </w:tc>
              <w:tc>
                <w:tcPr>
                  <w:tcW w:w="960" w:type="dxa"/>
                  <w:tcBorders>
                    <w:tl2br w:val="nil"/>
                    <w:tr2bl w:val="nil"/>
                  </w:tcBorders>
                  <w:noWrap w:val="0"/>
                  <w:vAlign w:val="center"/>
                </w:tcPr>
                <w:p w14:paraId="677E3193">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冷却水</w:t>
                  </w:r>
                </w:p>
              </w:tc>
              <w:tc>
                <w:tcPr>
                  <w:tcW w:w="2708" w:type="dxa"/>
                  <w:tcBorders>
                    <w:tl2br w:val="nil"/>
                    <w:tr2bl w:val="nil"/>
                  </w:tcBorders>
                  <w:shd w:val="clear" w:color="auto" w:fill="auto"/>
                  <w:noWrap w:val="0"/>
                  <w:vAlign w:val="center"/>
                </w:tcPr>
                <w:p w14:paraId="420511A9">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highlight w:val="none"/>
                      <w:lang w:val="en-US" w:eastAsia="zh-CN"/>
                    </w:rPr>
                    <w:t>冷却水在冷却水系统内</w:t>
                  </w:r>
                  <w:r>
                    <w:rPr>
                      <w:rFonts w:hint="default" w:ascii="Times New Roman" w:hAnsi="Times New Roman" w:cs="Times New Roman"/>
                      <w:highlight w:val="none"/>
                    </w:rPr>
                    <w:t>循环利用，不外排</w:t>
                  </w:r>
                  <w:r>
                    <w:rPr>
                      <w:rFonts w:hint="eastAsia" w:cs="Times New Roman"/>
                      <w:color w:val="auto"/>
                      <w:kern w:val="2"/>
                      <w:sz w:val="21"/>
                      <w:szCs w:val="21"/>
                      <w:highlight w:val="none"/>
                      <w:u w:val="none"/>
                      <w:lang w:val="en-US" w:eastAsia="zh-CN" w:bidi="ar-SA"/>
                    </w:rPr>
                    <w:t>。</w:t>
                  </w:r>
                </w:p>
              </w:tc>
              <w:tc>
                <w:tcPr>
                  <w:tcW w:w="2896" w:type="dxa"/>
                  <w:vMerge w:val="restart"/>
                  <w:tcBorders>
                    <w:tl2br w:val="nil"/>
                    <w:tr2bl w:val="nil"/>
                  </w:tcBorders>
                  <w:noWrap w:val="0"/>
                  <w:vAlign w:val="center"/>
                </w:tcPr>
                <w:p w14:paraId="71302009">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《污水综合排放标准》（GB8978-1996）表4</w:t>
                  </w:r>
                </w:p>
                <w:p w14:paraId="17385FFD">
                  <w:pPr>
                    <w:spacing w:line="240" w:lineRule="exact"/>
                    <w:jc w:val="center"/>
                    <w:rPr>
                      <w:rFonts w:hint="default" w:eastAsia="宋体"/>
                      <w:color w:val="000000"/>
                      <w:szCs w:val="21"/>
                      <w:u w:val="none"/>
                      <w:lang w:val="en-US" w:eastAsia="zh-CN"/>
                    </w:rPr>
                  </w:pPr>
                  <w:r>
                    <w:rPr>
                      <w:rFonts w:hint="default" w:ascii="Times New Roman" w:hAnsi="Times New Roman" w:eastAsia="宋体" w:cs="Times New Roman"/>
                      <w:color w:val="auto"/>
                      <w:sz w:val="21"/>
                      <w:szCs w:val="21"/>
                      <w:highlight w:val="none"/>
                    </w:rPr>
                    <w:t>三级</w:t>
                  </w:r>
                  <w:r>
                    <w:rPr>
                      <w:rFonts w:hint="default" w:ascii="Times New Roman" w:hAnsi="Times New Roman" w:eastAsia="宋体" w:cs="Times New Roman"/>
                      <w:color w:val="auto"/>
                      <w:sz w:val="21"/>
                      <w:szCs w:val="21"/>
                      <w:highlight w:val="none"/>
                      <w:lang w:val="en-US" w:eastAsia="zh-CN"/>
                    </w:rPr>
                    <w:t>标准</w:t>
                  </w:r>
                  <w:r>
                    <w:rPr>
                      <w:rFonts w:hint="eastAsia" w:cs="Times New Roman"/>
                      <w:color w:val="auto"/>
                      <w:sz w:val="21"/>
                      <w:szCs w:val="21"/>
                      <w:highlight w:val="none"/>
                      <w:lang w:val="en-US" w:eastAsia="zh-CN"/>
                    </w:rPr>
                    <w:t>、叶县廉村镇污水处理站进水限值要求</w:t>
                  </w:r>
                </w:p>
              </w:tc>
              <w:tc>
                <w:tcPr>
                  <w:tcW w:w="976" w:type="dxa"/>
                  <w:vMerge w:val="restart"/>
                  <w:tcBorders>
                    <w:tl2br w:val="nil"/>
                    <w:tr2bl w:val="nil"/>
                  </w:tcBorders>
                  <w:noWrap w:val="0"/>
                  <w:vAlign w:val="center"/>
                </w:tcPr>
                <w:p w14:paraId="681735CC">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25</w:t>
                  </w:r>
                </w:p>
              </w:tc>
            </w:tr>
            <w:tr w14:paraId="139363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3" w:hRule="atLeast"/>
                <w:jc w:val="center"/>
              </w:trPr>
              <w:tc>
                <w:tcPr>
                  <w:tcW w:w="498" w:type="dxa"/>
                  <w:vMerge w:val="continue"/>
                  <w:tcBorders>
                    <w:tl2br w:val="nil"/>
                    <w:tr2bl w:val="nil"/>
                  </w:tcBorders>
                  <w:noWrap w:val="0"/>
                  <w:vAlign w:val="center"/>
                </w:tcPr>
                <w:p w14:paraId="136C3B0D">
                  <w:pPr>
                    <w:spacing w:line="240" w:lineRule="exact"/>
                    <w:jc w:val="center"/>
                    <w:rPr>
                      <w:color w:val="000000"/>
                      <w:szCs w:val="21"/>
                      <w:u w:val="none"/>
                    </w:rPr>
                  </w:pPr>
                </w:p>
              </w:tc>
              <w:tc>
                <w:tcPr>
                  <w:tcW w:w="960" w:type="dxa"/>
                  <w:tcBorders>
                    <w:tl2br w:val="nil"/>
                    <w:tr2bl w:val="nil"/>
                  </w:tcBorders>
                  <w:noWrap w:val="0"/>
                  <w:vAlign w:val="center"/>
                </w:tcPr>
                <w:p w14:paraId="48CFAE27">
                  <w:pPr>
                    <w:spacing w:line="240" w:lineRule="exact"/>
                    <w:jc w:val="center"/>
                    <w:rPr>
                      <w:rFonts w:hint="eastAsia"/>
                      <w:color w:val="000000"/>
                      <w:szCs w:val="21"/>
                      <w:u w:val="none"/>
                      <w:lang w:val="en-US" w:eastAsia="zh-CN"/>
                    </w:rPr>
                  </w:pPr>
                  <w:r>
                    <w:rPr>
                      <w:rFonts w:hint="eastAsia"/>
                      <w:color w:val="000000"/>
                      <w:szCs w:val="21"/>
                      <w:u w:val="none"/>
                      <w:lang w:val="en-US" w:eastAsia="zh-CN"/>
                    </w:rPr>
                    <w:t>清洗</w:t>
                  </w:r>
                </w:p>
                <w:p w14:paraId="7BD7150C">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废水</w:t>
                  </w:r>
                </w:p>
              </w:tc>
              <w:tc>
                <w:tcPr>
                  <w:tcW w:w="2708" w:type="dxa"/>
                  <w:tcBorders>
                    <w:tl2br w:val="nil"/>
                    <w:tr2bl w:val="nil"/>
                  </w:tcBorders>
                  <w:shd w:val="clear" w:color="auto" w:fill="auto"/>
                  <w:noWrap w:val="0"/>
                  <w:vAlign w:val="center"/>
                </w:tcPr>
                <w:p w14:paraId="1FC47A8F">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highlight w:val="none"/>
                    </w:rPr>
                    <w:t>生产废水</w:t>
                  </w:r>
                  <w:r>
                    <w:rPr>
                      <w:rFonts w:hint="eastAsia" w:cs="Times New Roman"/>
                      <w:highlight w:val="none"/>
                      <w:lang w:val="en-US" w:eastAsia="zh-CN"/>
                    </w:rPr>
                    <w:t>主要是清洗废水、软化废水和锅炉废水经过隔油池</w:t>
                  </w:r>
                  <w:r>
                    <w:rPr>
                      <w:rFonts w:hint="default" w:ascii="Times New Roman" w:hAnsi="Times New Roman" w:cs="Times New Roman"/>
                      <w:highlight w:val="none"/>
                      <w:lang w:eastAsia="zh-CN"/>
                    </w:rPr>
                    <w:t>沉淀后</w:t>
                  </w:r>
                  <w:r>
                    <w:rPr>
                      <w:rFonts w:hint="eastAsia" w:cs="Times New Roman"/>
                      <w:highlight w:val="none"/>
                      <w:lang w:val="en-US" w:eastAsia="zh-CN"/>
                    </w:rPr>
                    <w:t>进入污水处理设施内处理再外排到污水管网</w:t>
                  </w:r>
                </w:p>
              </w:tc>
              <w:tc>
                <w:tcPr>
                  <w:tcW w:w="2896" w:type="dxa"/>
                  <w:vMerge w:val="continue"/>
                  <w:tcBorders>
                    <w:tl2br w:val="nil"/>
                    <w:tr2bl w:val="nil"/>
                  </w:tcBorders>
                  <w:noWrap w:val="0"/>
                  <w:vAlign w:val="center"/>
                </w:tcPr>
                <w:p w14:paraId="50281E56">
                  <w:pPr>
                    <w:jc w:val="center"/>
                    <w:rPr>
                      <w:rFonts w:hint="eastAsia" w:ascii="Times New Roman" w:hAnsi="Times New Roman" w:eastAsia="宋体" w:cs="Times New Roman"/>
                      <w:color w:val="000000"/>
                      <w:kern w:val="2"/>
                      <w:sz w:val="21"/>
                      <w:szCs w:val="21"/>
                      <w:lang w:val="en-US" w:eastAsia="zh-CN" w:bidi="ar-SA"/>
                    </w:rPr>
                  </w:pPr>
                </w:p>
              </w:tc>
              <w:tc>
                <w:tcPr>
                  <w:tcW w:w="976" w:type="dxa"/>
                  <w:vMerge w:val="continue"/>
                  <w:tcBorders>
                    <w:tl2br w:val="nil"/>
                    <w:tr2bl w:val="nil"/>
                  </w:tcBorders>
                  <w:noWrap w:val="0"/>
                  <w:vAlign w:val="center"/>
                </w:tcPr>
                <w:p w14:paraId="1BC761A0">
                  <w:pPr>
                    <w:spacing w:line="240" w:lineRule="exact"/>
                    <w:jc w:val="center"/>
                    <w:rPr>
                      <w:rFonts w:hint="default"/>
                      <w:color w:val="000000"/>
                      <w:szCs w:val="21"/>
                      <w:u w:val="none"/>
                      <w:lang w:val="en-US"/>
                    </w:rPr>
                  </w:pPr>
                </w:p>
              </w:tc>
            </w:tr>
            <w:tr w14:paraId="57E69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 w:hRule="atLeast"/>
                <w:jc w:val="center"/>
              </w:trPr>
              <w:tc>
                <w:tcPr>
                  <w:tcW w:w="498" w:type="dxa"/>
                  <w:vMerge w:val="continue"/>
                  <w:tcBorders>
                    <w:tl2br w:val="nil"/>
                    <w:tr2bl w:val="nil"/>
                  </w:tcBorders>
                  <w:noWrap w:val="0"/>
                  <w:vAlign w:val="center"/>
                </w:tcPr>
                <w:p w14:paraId="6B09902E">
                  <w:pPr>
                    <w:spacing w:line="240" w:lineRule="exact"/>
                    <w:jc w:val="center"/>
                    <w:rPr>
                      <w:color w:val="000000"/>
                      <w:szCs w:val="21"/>
                      <w:u w:val="none"/>
                    </w:rPr>
                  </w:pPr>
                </w:p>
              </w:tc>
              <w:tc>
                <w:tcPr>
                  <w:tcW w:w="960" w:type="dxa"/>
                  <w:tcBorders>
                    <w:tl2br w:val="nil"/>
                    <w:tr2bl w:val="nil"/>
                  </w:tcBorders>
                  <w:noWrap w:val="0"/>
                  <w:vAlign w:val="center"/>
                </w:tcPr>
                <w:p w14:paraId="70F08AB1">
                  <w:pPr>
                    <w:spacing w:line="240" w:lineRule="exact"/>
                    <w:jc w:val="center"/>
                    <w:rPr>
                      <w:rFonts w:hint="eastAsia"/>
                      <w:color w:val="000000"/>
                      <w:szCs w:val="21"/>
                      <w:u w:val="none"/>
                      <w:lang w:val="en-US" w:eastAsia="zh-CN"/>
                    </w:rPr>
                  </w:pPr>
                  <w:r>
                    <w:rPr>
                      <w:rFonts w:hint="eastAsia"/>
                      <w:color w:val="000000"/>
                      <w:szCs w:val="21"/>
                      <w:u w:val="none"/>
                      <w:lang w:val="en-US" w:eastAsia="zh-CN"/>
                    </w:rPr>
                    <w:t>生活</w:t>
                  </w:r>
                </w:p>
                <w:p w14:paraId="42FB64C9">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污水</w:t>
                  </w:r>
                </w:p>
              </w:tc>
              <w:tc>
                <w:tcPr>
                  <w:tcW w:w="2708" w:type="dxa"/>
                  <w:tcBorders>
                    <w:tl2br w:val="nil"/>
                    <w:tr2bl w:val="nil"/>
                  </w:tcBorders>
                  <w:shd w:val="clear" w:color="auto" w:fill="auto"/>
                  <w:noWrap w:val="0"/>
                  <w:vAlign w:val="center"/>
                </w:tcPr>
                <w:p w14:paraId="1E3F27A8">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szCs w:val="21"/>
                      <w:highlight w:val="none"/>
                      <w:lang w:val="en-US" w:eastAsia="zh-CN"/>
                    </w:rPr>
                    <w:t>生活污水</w:t>
                  </w:r>
                  <w:r>
                    <w:rPr>
                      <w:rFonts w:hint="default" w:ascii="Times New Roman" w:hAnsi="Times New Roman" w:cs="Times New Roman"/>
                      <w:color w:val="000000"/>
                      <w:szCs w:val="21"/>
                      <w:highlight w:val="none"/>
                    </w:rPr>
                    <w:t>经化粪池</w:t>
                  </w:r>
                  <w:r>
                    <w:rPr>
                      <w:rFonts w:hint="eastAsia" w:cs="Times New Roman"/>
                      <w:color w:val="000000"/>
                      <w:szCs w:val="21"/>
                      <w:highlight w:val="none"/>
                      <w:lang w:val="en-US" w:eastAsia="zh-CN"/>
                    </w:rPr>
                    <w:t>（5m</w:t>
                  </w:r>
                  <w:r>
                    <w:rPr>
                      <w:rFonts w:hint="eastAsia" w:cs="Times New Roman"/>
                      <w:color w:val="000000"/>
                      <w:szCs w:val="21"/>
                      <w:highlight w:val="none"/>
                      <w:vertAlign w:val="superscript"/>
                      <w:lang w:val="en-US" w:eastAsia="zh-CN"/>
                    </w:rPr>
                    <w:t>3</w:t>
                  </w:r>
                  <w:r>
                    <w:rPr>
                      <w:rFonts w:hint="eastAsia" w:cs="Times New Roman"/>
                      <w:color w:val="000000"/>
                      <w:szCs w:val="21"/>
                      <w:highlight w:val="none"/>
                      <w:lang w:val="en-US" w:eastAsia="zh-CN"/>
                    </w:rPr>
                    <w:t>）</w:t>
                  </w:r>
                  <w:r>
                    <w:rPr>
                      <w:rFonts w:hint="default" w:ascii="Times New Roman" w:hAnsi="Times New Roman" w:cs="Times New Roman"/>
                      <w:color w:val="000000"/>
                      <w:szCs w:val="21"/>
                      <w:highlight w:val="none"/>
                    </w:rPr>
                    <w:t>处理后</w:t>
                  </w:r>
                  <w:r>
                    <w:rPr>
                      <w:rFonts w:hint="eastAsia" w:cs="Times New Roman"/>
                      <w:highlight w:val="none"/>
                      <w:lang w:val="en-US" w:eastAsia="zh-CN"/>
                    </w:rPr>
                    <w:t>外排到污水管网最终排入叶县廉村镇污水处理站</w:t>
                  </w:r>
                </w:p>
              </w:tc>
              <w:tc>
                <w:tcPr>
                  <w:tcW w:w="2896" w:type="dxa"/>
                  <w:vMerge w:val="continue"/>
                  <w:tcBorders>
                    <w:tl2br w:val="nil"/>
                    <w:tr2bl w:val="nil"/>
                  </w:tcBorders>
                  <w:noWrap w:val="0"/>
                  <w:vAlign w:val="center"/>
                </w:tcPr>
                <w:p w14:paraId="7A4166F3">
                  <w:pPr>
                    <w:jc w:val="center"/>
                    <w:rPr>
                      <w:rFonts w:hint="eastAsia" w:ascii="Times New Roman" w:hAnsi="Times New Roman" w:eastAsia="宋体" w:cs="Times New Roman"/>
                      <w:color w:val="000000"/>
                      <w:kern w:val="2"/>
                      <w:sz w:val="21"/>
                      <w:szCs w:val="21"/>
                      <w:lang w:val="en-US" w:eastAsia="zh-CN" w:bidi="ar-SA"/>
                    </w:rPr>
                  </w:pPr>
                </w:p>
              </w:tc>
              <w:tc>
                <w:tcPr>
                  <w:tcW w:w="976" w:type="dxa"/>
                  <w:vMerge w:val="continue"/>
                  <w:tcBorders>
                    <w:tl2br w:val="nil"/>
                    <w:tr2bl w:val="nil"/>
                  </w:tcBorders>
                  <w:noWrap w:val="0"/>
                  <w:vAlign w:val="center"/>
                </w:tcPr>
                <w:p w14:paraId="4933433A">
                  <w:pPr>
                    <w:spacing w:line="240" w:lineRule="exact"/>
                    <w:jc w:val="center"/>
                    <w:rPr>
                      <w:rFonts w:hint="eastAsia" w:eastAsia="宋体"/>
                      <w:color w:val="000000"/>
                      <w:szCs w:val="21"/>
                      <w:u w:val="none"/>
                      <w:lang w:eastAsia="zh-CN"/>
                    </w:rPr>
                  </w:pPr>
                </w:p>
              </w:tc>
            </w:tr>
            <w:tr w14:paraId="0035B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498" w:type="dxa"/>
                  <w:vMerge w:val="restart"/>
                  <w:tcBorders>
                    <w:tl2br w:val="nil"/>
                    <w:tr2bl w:val="nil"/>
                  </w:tcBorders>
                  <w:noWrap w:val="0"/>
                  <w:vAlign w:val="center"/>
                </w:tcPr>
                <w:p w14:paraId="39944597">
                  <w:pPr>
                    <w:spacing w:line="240" w:lineRule="exact"/>
                    <w:jc w:val="center"/>
                    <w:rPr>
                      <w:color w:val="000000"/>
                      <w:szCs w:val="21"/>
                      <w:u w:val="none"/>
                    </w:rPr>
                  </w:pPr>
                  <w:r>
                    <w:rPr>
                      <w:color w:val="000000"/>
                      <w:szCs w:val="21"/>
                      <w:u w:val="none"/>
                    </w:rPr>
                    <w:t>固废</w:t>
                  </w:r>
                </w:p>
              </w:tc>
              <w:tc>
                <w:tcPr>
                  <w:tcW w:w="960" w:type="dxa"/>
                  <w:tcBorders>
                    <w:tl2br w:val="nil"/>
                    <w:tr2bl w:val="nil"/>
                  </w:tcBorders>
                  <w:shd w:val="clear" w:color="auto" w:fill="auto"/>
                  <w:noWrap w:val="0"/>
                  <w:vAlign w:val="center"/>
                </w:tcPr>
                <w:p w14:paraId="12BF2712">
                  <w:pPr>
                    <w:adjustRightInd w:val="0"/>
                    <w:snapToGrid w:val="0"/>
                    <w:spacing w:beforeLines="10"/>
                    <w:jc w:val="center"/>
                    <w:rPr>
                      <w:rFonts w:hint="eastAsia"/>
                      <w:color w:val="000000"/>
                      <w:szCs w:val="21"/>
                      <w:lang w:val="en-US" w:eastAsia="zh-CN"/>
                    </w:rPr>
                  </w:pPr>
                  <w:r>
                    <w:rPr>
                      <w:rFonts w:hint="eastAsia"/>
                      <w:color w:val="000000"/>
                      <w:szCs w:val="21"/>
                      <w:lang w:val="en-US" w:eastAsia="zh-CN"/>
                    </w:rPr>
                    <w:t>牛骨</w:t>
                  </w:r>
                </w:p>
                <w:p w14:paraId="4A8A7B92">
                  <w:pPr>
                    <w:adjustRightInd w:val="0"/>
                    <w:snapToGrid w:val="0"/>
                    <w:spacing w:beforeLines="10"/>
                    <w:jc w:val="center"/>
                    <w:rPr>
                      <w:rFonts w:hint="default"/>
                      <w:color w:val="000000"/>
                      <w:szCs w:val="21"/>
                      <w:lang w:val="en-US" w:eastAsia="zh-CN"/>
                    </w:rPr>
                  </w:pPr>
                  <w:r>
                    <w:rPr>
                      <w:rFonts w:hint="eastAsia"/>
                      <w:color w:val="000000"/>
                      <w:szCs w:val="21"/>
                      <w:lang w:val="en-US" w:eastAsia="zh-CN"/>
                    </w:rPr>
                    <w:t>残渣</w:t>
                  </w:r>
                </w:p>
              </w:tc>
              <w:tc>
                <w:tcPr>
                  <w:tcW w:w="2708" w:type="dxa"/>
                  <w:tcBorders>
                    <w:tl2br w:val="nil"/>
                    <w:tr2bl w:val="nil"/>
                  </w:tcBorders>
                  <w:shd w:val="clear" w:color="auto" w:fill="auto"/>
                  <w:noWrap w:val="0"/>
                  <w:vAlign w:val="center"/>
                </w:tcPr>
                <w:p w14:paraId="374E15B7">
                  <w:pPr>
                    <w:adjustRightInd w:val="0"/>
                    <w:snapToGrid w:val="0"/>
                    <w:spacing w:beforeLines="10"/>
                    <w:jc w:val="center"/>
                    <w:rPr>
                      <w:color w:val="000000"/>
                      <w:kern w:val="0"/>
                      <w:szCs w:val="21"/>
                      <w:lang w:val="zh-CN"/>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r>
                    <w:rPr>
                      <w:rFonts w:hint="eastAsia"/>
                      <w:color w:val="000000"/>
                      <w:kern w:val="0"/>
                      <w:sz w:val="21"/>
                      <w:szCs w:val="21"/>
                      <w:u w:val="none"/>
                      <w:lang w:val="en-US" w:eastAsia="zh-CN"/>
                    </w:rPr>
                    <w:t>或外售至周边养殖户</w:t>
                  </w:r>
                </w:p>
              </w:tc>
              <w:tc>
                <w:tcPr>
                  <w:tcW w:w="2896" w:type="dxa"/>
                  <w:vMerge w:val="restart"/>
                  <w:tcBorders>
                    <w:tl2br w:val="nil"/>
                    <w:tr2bl w:val="nil"/>
                  </w:tcBorders>
                  <w:noWrap w:val="0"/>
                  <w:vAlign w:val="center"/>
                </w:tcPr>
                <w:p w14:paraId="0107CDE7">
                  <w:pPr>
                    <w:spacing w:line="240" w:lineRule="exact"/>
                    <w:jc w:val="center"/>
                    <w:rPr>
                      <w:rFonts w:hint="eastAsia" w:ascii="Times New Roman" w:hAnsi="Times New Roman" w:eastAsia="宋体" w:cs="Times New Roman"/>
                      <w:color w:val="000000"/>
                      <w:kern w:val="2"/>
                      <w:sz w:val="21"/>
                      <w:szCs w:val="21"/>
                      <w:u w:val="none"/>
                      <w:lang w:val="en-US" w:eastAsia="zh-CN" w:bidi="ar-SA"/>
                    </w:rPr>
                  </w:pPr>
                  <w:r>
                    <w:rPr>
                      <w:rFonts w:hint="default" w:ascii="Times New Roman" w:hAnsi="Calibri" w:eastAsia="宋体" w:cs="Times New Roman"/>
                      <w:color w:val="auto"/>
                      <w:szCs w:val="21"/>
                      <w:u w:val="none"/>
                    </w:rPr>
                    <w:t>《一般工业固体废物贮存</w:t>
                  </w:r>
                  <w:r>
                    <w:rPr>
                      <w:rFonts w:hint="eastAsia" w:ascii="Times New Roman" w:hAnsi="Calibri" w:eastAsia="宋体" w:cs="Times New Roman"/>
                      <w:color w:val="auto"/>
                      <w:szCs w:val="21"/>
                      <w:u w:val="none"/>
                      <w:lang w:val="en-US" w:eastAsia="zh-CN"/>
                    </w:rPr>
                    <w:t>和填埋</w:t>
                  </w:r>
                  <w:r>
                    <w:rPr>
                      <w:rFonts w:hint="default" w:ascii="Times New Roman" w:hAnsi="Calibri" w:eastAsia="宋体" w:cs="Times New Roman"/>
                      <w:color w:val="auto"/>
                      <w:szCs w:val="21"/>
                      <w:u w:val="none"/>
                    </w:rPr>
                    <w:t>污染控制标准》（GB18599-20</w:t>
                  </w:r>
                  <w:r>
                    <w:rPr>
                      <w:rFonts w:hint="eastAsia" w:ascii="Times New Roman" w:hAnsi="Calibri" w:eastAsia="宋体" w:cs="Times New Roman"/>
                      <w:color w:val="auto"/>
                      <w:szCs w:val="21"/>
                      <w:u w:val="none"/>
                      <w:lang w:val="en-US" w:eastAsia="zh-CN"/>
                    </w:rPr>
                    <w:t>20</w:t>
                  </w:r>
                  <w:r>
                    <w:rPr>
                      <w:rFonts w:hint="default" w:ascii="Times New Roman" w:hAnsi="Calibri" w:eastAsia="宋体" w:cs="Times New Roman"/>
                      <w:color w:val="auto"/>
                      <w:szCs w:val="21"/>
                      <w:u w:val="none"/>
                    </w:rPr>
                    <w:t>）</w:t>
                  </w:r>
                </w:p>
              </w:tc>
              <w:tc>
                <w:tcPr>
                  <w:tcW w:w="976" w:type="dxa"/>
                  <w:vMerge w:val="restart"/>
                  <w:tcBorders>
                    <w:tl2br w:val="nil"/>
                    <w:tr2bl w:val="nil"/>
                  </w:tcBorders>
                  <w:noWrap w:val="0"/>
                  <w:vAlign w:val="center"/>
                </w:tcPr>
                <w:p w14:paraId="19D51C1A">
                  <w:pPr>
                    <w:spacing w:line="240" w:lineRule="exact"/>
                    <w:jc w:val="center"/>
                    <w:rPr>
                      <w:rFonts w:hint="default"/>
                      <w:color w:val="000000"/>
                      <w:szCs w:val="21"/>
                      <w:u w:val="none"/>
                      <w:lang w:val="en-US" w:eastAsia="zh-CN"/>
                    </w:rPr>
                  </w:pPr>
                  <w:r>
                    <w:rPr>
                      <w:rFonts w:hint="eastAsia"/>
                      <w:color w:val="000000"/>
                      <w:szCs w:val="21"/>
                      <w:u w:val="none"/>
                      <w:lang w:val="en-US" w:eastAsia="zh-CN"/>
                    </w:rPr>
                    <w:t>8</w:t>
                  </w:r>
                </w:p>
              </w:tc>
            </w:tr>
            <w:tr w14:paraId="464217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498" w:type="dxa"/>
                  <w:vMerge w:val="continue"/>
                  <w:tcBorders>
                    <w:tl2br w:val="nil"/>
                    <w:tr2bl w:val="nil"/>
                  </w:tcBorders>
                  <w:noWrap w:val="0"/>
                  <w:vAlign w:val="center"/>
                </w:tcPr>
                <w:p w14:paraId="7E0CFDC5">
                  <w:pPr>
                    <w:spacing w:line="240" w:lineRule="exact"/>
                    <w:jc w:val="center"/>
                    <w:rPr>
                      <w:rFonts w:hint="eastAsia"/>
                      <w:color w:val="000000"/>
                      <w:szCs w:val="21"/>
                      <w:u w:val="none"/>
                      <w:lang w:val="en-US" w:eastAsia="zh-CN"/>
                    </w:rPr>
                  </w:pPr>
                </w:p>
              </w:tc>
              <w:tc>
                <w:tcPr>
                  <w:tcW w:w="960" w:type="dxa"/>
                  <w:tcBorders>
                    <w:tl2br w:val="nil"/>
                    <w:tr2bl w:val="nil"/>
                  </w:tcBorders>
                  <w:shd w:val="clear" w:color="auto" w:fill="auto"/>
                  <w:noWrap w:val="0"/>
                  <w:vAlign w:val="center"/>
                </w:tcPr>
                <w:p w14:paraId="0FABB970">
                  <w:pPr>
                    <w:adjustRightInd w:val="0"/>
                    <w:snapToGrid w:val="0"/>
                    <w:spacing w:beforeLines="10"/>
                    <w:jc w:val="center"/>
                    <w:rPr>
                      <w:rFonts w:hint="default"/>
                      <w:color w:val="000000"/>
                      <w:szCs w:val="21"/>
                      <w:lang w:val="en-US" w:eastAsia="zh-CN"/>
                    </w:rPr>
                  </w:pPr>
                  <w:r>
                    <w:rPr>
                      <w:rFonts w:hint="eastAsia"/>
                      <w:color w:val="000000"/>
                      <w:szCs w:val="21"/>
                      <w:lang w:val="en-US" w:eastAsia="zh-CN"/>
                    </w:rPr>
                    <w:t>辣椒把和辣椒叶</w:t>
                  </w:r>
                </w:p>
              </w:tc>
              <w:tc>
                <w:tcPr>
                  <w:tcW w:w="2708" w:type="dxa"/>
                  <w:tcBorders>
                    <w:tl2br w:val="nil"/>
                    <w:tr2bl w:val="nil"/>
                  </w:tcBorders>
                  <w:shd w:val="clear" w:color="auto" w:fill="auto"/>
                  <w:noWrap w:val="0"/>
                  <w:vAlign w:val="center"/>
                </w:tcPr>
                <w:p w14:paraId="665E9043">
                  <w:pPr>
                    <w:adjustRightInd w:val="0"/>
                    <w:snapToGrid w:val="0"/>
                    <w:spacing w:beforeLines="10"/>
                    <w:jc w:val="center"/>
                    <w:rPr>
                      <w:color w:val="000000"/>
                      <w:kern w:val="0"/>
                      <w:szCs w:val="21"/>
                      <w:lang w:val="zh-CN"/>
                    </w:rPr>
                  </w:pPr>
                  <w:r>
                    <w:rPr>
                      <w:rFonts w:hint="eastAsia"/>
                      <w:color w:val="000000"/>
                      <w:kern w:val="0"/>
                      <w:szCs w:val="21"/>
                      <w:lang w:val="en-US" w:eastAsia="zh-CN"/>
                    </w:rPr>
                    <w:t>统一集中收集由</w:t>
                  </w:r>
                  <w:r>
                    <w:rPr>
                      <w:color w:val="000000"/>
                      <w:kern w:val="0"/>
                      <w:szCs w:val="21"/>
                      <w:lang w:val="zh-CN"/>
                    </w:rPr>
                    <w:t>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c>
                <w:tcPr>
                  <w:tcW w:w="2896" w:type="dxa"/>
                  <w:vMerge w:val="continue"/>
                  <w:tcBorders>
                    <w:tl2br w:val="nil"/>
                    <w:tr2bl w:val="nil"/>
                  </w:tcBorders>
                  <w:noWrap w:val="0"/>
                  <w:vAlign w:val="center"/>
                </w:tcPr>
                <w:p w14:paraId="60F38C8F">
                  <w:pPr>
                    <w:spacing w:line="240" w:lineRule="exact"/>
                    <w:jc w:val="center"/>
                    <w:rPr>
                      <w:rFonts w:hint="default" w:ascii="Times New Roman" w:hAnsi="Calibri" w:eastAsia="宋体" w:cs="Times New Roman"/>
                      <w:color w:val="auto"/>
                      <w:szCs w:val="21"/>
                      <w:u w:val="none"/>
                    </w:rPr>
                  </w:pPr>
                </w:p>
              </w:tc>
              <w:tc>
                <w:tcPr>
                  <w:tcW w:w="976" w:type="dxa"/>
                  <w:vMerge w:val="continue"/>
                  <w:tcBorders>
                    <w:tl2br w:val="nil"/>
                    <w:tr2bl w:val="nil"/>
                  </w:tcBorders>
                  <w:noWrap w:val="0"/>
                  <w:vAlign w:val="center"/>
                </w:tcPr>
                <w:p w14:paraId="3F857D63">
                  <w:pPr>
                    <w:spacing w:line="240" w:lineRule="exact"/>
                    <w:jc w:val="center"/>
                    <w:rPr>
                      <w:rFonts w:hint="eastAsia"/>
                      <w:color w:val="000000"/>
                      <w:szCs w:val="21"/>
                      <w:u w:val="none"/>
                      <w:lang w:val="en-US" w:eastAsia="zh-CN"/>
                    </w:rPr>
                  </w:pPr>
                </w:p>
              </w:tc>
            </w:tr>
            <w:tr w14:paraId="5973CD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498" w:type="dxa"/>
                  <w:vMerge w:val="continue"/>
                  <w:tcBorders>
                    <w:tl2br w:val="nil"/>
                    <w:tr2bl w:val="nil"/>
                  </w:tcBorders>
                  <w:noWrap w:val="0"/>
                  <w:vAlign w:val="center"/>
                </w:tcPr>
                <w:p w14:paraId="495A0F1D">
                  <w:pPr>
                    <w:spacing w:line="240" w:lineRule="exact"/>
                    <w:jc w:val="center"/>
                    <w:rPr>
                      <w:color w:val="000000"/>
                      <w:szCs w:val="21"/>
                      <w:u w:val="none"/>
                    </w:rPr>
                  </w:pPr>
                </w:p>
              </w:tc>
              <w:tc>
                <w:tcPr>
                  <w:tcW w:w="960" w:type="dxa"/>
                  <w:tcBorders>
                    <w:tl2br w:val="nil"/>
                    <w:tr2bl w:val="nil"/>
                  </w:tcBorders>
                  <w:shd w:val="clear" w:color="auto" w:fill="auto"/>
                  <w:noWrap w:val="0"/>
                  <w:vAlign w:val="center"/>
                </w:tcPr>
                <w:p w14:paraId="037B34BE">
                  <w:pPr>
                    <w:adjustRightInd w:val="0"/>
                    <w:snapToGrid w:val="0"/>
                    <w:spacing w:beforeLines="10"/>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废残渣</w:t>
                  </w:r>
                </w:p>
              </w:tc>
              <w:tc>
                <w:tcPr>
                  <w:tcW w:w="2708" w:type="dxa"/>
                  <w:tcBorders>
                    <w:tl2br w:val="nil"/>
                    <w:tr2bl w:val="nil"/>
                  </w:tcBorders>
                  <w:shd w:val="clear" w:color="auto" w:fill="auto"/>
                  <w:noWrap w:val="0"/>
                  <w:vAlign w:val="center"/>
                </w:tcPr>
                <w:p w14:paraId="40C3AA71">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r>
                    <w:rPr>
                      <w:rFonts w:hint="eastAsia"/>
                      <w:color w:val="000000"/>
                      <w:kern w:val="0"/>
                      <w:sz w:val="21"/>
                      <w:szCs w:val="21"/>
                      <w:u w:val="none"/>
                      <w:lang w:val="en-US" w:eastAsia="zh-CN"/>
                    </w:rPr>
                    <w:t>或外售至周边养殖户</w:t>
                  </w:r>
                </w:p>
              </w:tc>
              <w:tc>
                <w:tcPr>
                  <w:tcW w:w="2896" w:type="dxa"/>
                  <w:vMerge w:val="continue"/>
                  <w:tcBorders>
                    <w:tl2br w:val="nil"/>
                    <w:tr2bl w:val="nil"/>
                  </w:tcBorders>
                  <w:noWrap w:val="0"/>
                  <w:vAlign w:val="center"/>
                </w:tcPr>
                <w:p w14:paraId="228310CE">
                  <w:pPr>
                    <w:spacing w:line="240" w:lineRule="exact"/>
                    <w:jc w:val="center"/>
                    <w:rPr>
                      <w:rFonts w:hint="eastAsia" w:ascii="Times New Roman" w:hAnsi="Times New Roman" w:eastAsia="宋体" w:cs="Times New Roman"/>
                      <w:color w:val="000000"/>
                      <w:kern w:val="2"/>
                      <w:sz w:val="21"/>
                      <w:szCs w:val="21"/>
                      <w:u w:val="none"/>
                      <w:lang w:val="en-US" w:eastAsia="zh-CN" w:bidi="ar-SA"/>
                    </w:rPr>
                  </w:pPr>
                </w:p>
              </w:tc>
              <w:tc>
                <w:tcPr>
                  <w:tcW w:w="976" w:type="dxa"/>
                  <w:vMerge w:val="continue"/>
                  <w:tcBorders>
                    <w:tl2br w:val="nil"/>
                    <w:tr2bl w:val="nil"/>
                  </w:tcBorders>
                  <w:noWrap w:val="0"/>
                  <w:vAlign w:val="center"/>
                </w:tcPr>
                <w:p w14:paraId="1FD51B3C">
                  <w:pPr>
                    <w:spacing w:line="240" w:lineRule="exact"/>
                    <w:jc w:val="center"/>
                    <w:rPr>
                      <w:rFonts w:hint="default"/>
                      <w:color w:val="000000"/>
                      <w:szCs w:val="21"/>
                      <w:u w:val="none"/>
                      <w:lang w:val="en-US" w:eastAsia="zh-CN"/>
                    </w:rPr>
                  </w:pPr>
                </w:p>
              </w:tc>
            </w:tr>
            <w:tr w14:paraId="77E5E4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498" w:type="dxa"/>
                  <w:vMerge w:val="continue"/>
                  <w:tcBorders>
                    <w:tl2br w:val="nil"/>
                    <w:tr2bl w:val="nil"/>
                  </w:tcBorders>
                  <w:noWrap w:val="0"/>
                  <w:vAlign w:val="center"/>
                </w:tcPr>
                <w:p w14:paraId="404121B6">
                  <w:pPr>
                    <w:spacing w:line="240" w:lineRule="exact"/>
                    <w:jc w:val="center"/>
                    <w:rPr>
                      <w:color w:val="000000"/>
                      <w:szCs w:val="21"/>
                      <w:u w:val="none"/>
                    </w:rPr>
                  </w:pPr>
                </w:p>
              </w:tc>
              <w:tc>
                <w:tcPr>
                  <w:tcW w:w="960" w:type="dxa"/>
                  <w:tcBorders>
                    <w:tl2br w:val="nil"/>
                    <w:tr2bl w:val="nil"/>
                  </w:tcBorders>
                  <w:shd w:val="clear" w:color="auto" w:fill="auto"/>
                  <w:noWrap w:val="0"/>
                  <w:vAlign w:val="center"/>
                </w:tcPr>
                <w:p w14:paraId="6E3EBAB4">
                  <w:pPr>
                    <w:adjustRightInd w:val="0"/>
                    <w:snapToGrid w:val="0"/>
                    <w:spacing w:beforeLines="10"/>
                    <w:jc w:val="center"/>
                    <w:rPr>
                      <w:rFonts w:hint="eastAsia"/>
                      <w:bCs/>
                      <w:color w:val="000000"/>
                      <w:szCs w:val="21"/>
                      <w:lang w:val="en-US" w:eastAsia="zh-CN"/>
                    </w:rPr>
                  </w:pPr>
                  <w:r>
                    <w:rPr>
                      <w:rFonts w:hint="eastAsia"/>
                      <w:bCs/>
                      <w:color w:val="000000"/>
                      <w:szCs w:val="21"/>
                      <w:lang w:val="en-US" w:eastAsia="zh-CN"/>
                    </w:rPr>
                    <w:t>不合</w:t>
                  </w:r>
                </w:p>
                <w:p w14:paraId="07091A73">
                  <w:pPr>
                    <w:adjustRightInd w:val="0"/>
                    <w:snapToGrid w:val="0"/>
                    <w:spacing w:beforeLines="10"/>
                    <w:jc w:val="center"/>
                    <w:rPr>
                      <w:rFonts w:hint="eastAsia"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格品</w:t>
                  </w:r>
                </w:p>
              </w:tc>
              <w:tc>
                <w:tcPr>
                  <w:tcW w:w="2708" w:type="dxa"/>
                  <w:tcBorders>
                    <w:tl2br w:val="nil"/>
                    <w:tr2bl w:val="nil"/>
                  </w:tcBorders>
                  <w:shd w:val="clear" w:color="auto" w:fill="auto"/>
                  <w:noWrap w:val="0"/>
                  <w:vAlign w:val="center"/>
                </w:tcPr>
                <w:p w14:paraId="2713EC50">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color w:val="000000"/>
                      <w:kern w:val="0"/>
                      <w:szCs w:val="21"/>
                      <w:lang w:val="en-US" w:eastAsia="zh-CN"/>
                    </w:rPr>
                    <w:t>暂存在一般固废间（5m</w:t>
                  </w:r>
                  <w:r>
                    <w:rPr>
                      <w:rFonts w:hint="eastAsia"/>
                      <w:color w:val="000000"/>
                      <w:kern w:val="0"/>
                      <w:szCs w:val="21"/>
                      <w:vertAlign w:val="superscript"/>
                      <w:lang w:val="en-US" w:eastAsia="zh-CN"/>
                    </w:rPr>
                    <w:t>2</w:t>
                  </w:r>
                  <w:r>
                    <w:rPr>
                      <w:rFonts w:hint="eastAsia"/>
                      <w:color w:val="000000"/>
                      <w:kern w:val="0"/>
                      <w:szCs w:val="21"/>
                      <w:lang w:val="en-US" w:eastAsia="zh-CN"/>
                    </w:rPr>
                    <w:t>）再</w:t>
                  </w: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c>
                <w:tcPr>
                  <w:tcW w:w="2896" w:type="dxa"/>
                  <w:vMerge w:val="continue"/>
                  <w:tcBorders>
                    <w:tl2br w:val="nil"/>
                    <w:tr2bl w:val="nil"/>
                  </w:tcBorders>
                  <w:noWrap w:val="0"/>
                  <w:vAlign w:val="center"/>
                </w:tcPr>
                <w:p w14:paraId="7C3FAC9E">
                  <w:pPr>
                    <w:spacing w:line="240" w:lineRule="exact"/>
                    <w:jc w:val="center"/>
                    <w:rPr>
                      <w:rFonts w:hint="default" w:ascii="Times New Roman" w:hAnsi="Times New Roman" w:cs="Times New Roman"/>
                      <w:bCs/>
                      <w:color w:val="000000"/>
                      <w:szCs w:val="21"/>
                      <w:lang w:val="en-US" w:eastAsia="zh-CN"/>
                    </w:rPr>
                  </w:pPr>
                </w:p>
              </w:tc>
              <w:tc>
                <w:tcPr>
                  <w:tcW w:w="976" w:type="dxa"/>
                  <w:vMerge w:val="continue"/>
                  <w:tcBorders>
                    <w:tl2br w:val="nil"/>
                    <w:tr2bl w:val="nil"/>
                  </w:tcBorders>
                  <w:noWrap w:val="0"/>
                  <w:vAlign w:val="center"/>
                </w:tcPr>
                <w:p w14:paraId="4E65C005">
                  <w:pPr>
                    <w:spacing w:line="240" w:lineRule="exact"/>
                    <w:jc w:val="center"/>
                    <w:rPr>
                      <w:rFonts w:hint="eastAsia"/>
                      <w:color w:val="000000"/>
                      <w:szCs w:val="21"/>
                      <w:u w:val="none"/>
                      <w:lang w:val="en-US" w:eastAsia="zh-CN"/>
                    </w:rPr>
                  </w:pPr>
                </w:p>
              </w:tc>
            </w:tr>
            <w:tr w14:paraId="2E3E62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4" w:hRule="atLeast"/>
                <w:jc w:val="center"/>
              </w:trPr>
              <w:tc>
                <w:tcPr>
                  <w:tcW w:w="498" w:type="dxa"/>
                  <w:vMerge w:val="continue"/>
                  <w:tcBorders>
                    <w:tl2br w:val="nil"/>
                    <w:tr2bl w:val="nil"/>
                  </w:tcBorders>
                  <w:noWrap w:val="0"/>
                  <w:vAlign w:val="center"/>
                </w:tcPr>
                <w:p w14:paraId="0D8E7B76">
                  <w:pPr>
                    <w:spacing w:line="240" w:lineRule="exact"/>
                    <w:jc w:val="center"/>
                    <w:rPr>
                      <w:color w:val="000000"/>
                      <w:szCs w:val="21"/>
                      <w:u w:val="none"/>
                    </w:rPr>
                  </w:pPr>
                </w:p>
              </w:tc>
              <w:tc>
                <w:tcPr>
                  <w:tcW w:w="960" w:type="dxa"/>
                  <w:tcBorders>
                    <w:tl2br w:val="nil"/>
                    <w:tr2bl w:val="nil"/>
                  </w:tcBorders>
                  <w:shd w:val="clear" w:color="auto" w:fill="auto"/>
                  <w:noWrap w:val="0"/>
                  <w:vAlign w:val="center"/>
                </w:tcPr>
                <w:p w14:paraId="27896ED2">
                  <w:pPr>
                    <w:adjustRightInd w:val="0"/>
                    <w:snapToGrid w:val="0"/>
                    <w:spacing w:beforeLines="10"/>
                    <w:jc w:val="center"/>
                    <w:rPr>
                      <w:rFonts w:hint="eastAsia"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沉淀</w:t>
                  </w:r>
                </w:p>
                <w:p w14:paraId="2CC23F48">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杂质</w:t>
                  </w:r>
                </w:p>
              </w:tc>
              <w:tc>
                <w:tcPr>
                  <w:tcW w:w="2708" w:type="dxa"/>
                  <w:tcBorders>
                    <w:tl2br w:val="nil"/>
                    <w:tr2bl w:val="nil"/>
                  </w:tcBorders>
                  <w:shd w:val="clear" w:color="auto" w:fill="auto"/>
                  <w:noWrap w:val="0"/>
                  <w:vAlign w:val="center"/>
                </w:tcPr>
                <w:p w14:paraId="024D0E2D">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color w:val="000000"/>
                      <w:kern w:val="0"/>
                      <w:szCs w:val="21"/>
                      <w:lang w:val="en-US" w:eastAsia="zh-CN"/>
                    </w:rPr>
                    <w:t>统一集中收集由</w:t>
                  </w:r>
                  <w:r>
                    <w:rPr>
                      <w:color w:val="000000"/>
                      <w:kern w:val="0"/>
                      <w:szCs w:val="21"/>
                      <w:lang w:val="zh-CN"/>
                    </w:rPr>
                    <w:t>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c>
                <w:tcPr>
                  <w:tcW w:w="2896" w:type="dxa"/>
                  <w:vMerge w:val="continue"/>
                  <w:tcBorders>
                    <w:tl2br w:val="nil"/>
                    <w:tr2bl w:val="nil"/>
                  </w:tcBorders>
                  <w:noWrap w:val="0"/>
                  <w:vAlign w:val="center"/>
                </w:tcPr>
                <w:p w14:paraId="59FF87A7">
                  <w:pPr>
                    <w:spacing w:line="240" w:lineRule="exact"/>
                    <w:jc w:val="center"/>
                    <w:rPr>
                      <w:rFonts w:hint="default" w:ascii="Times New Roman" w:hAnsi="Times New Roman" w:cs="Times New Roman"/>
                      <w:bCs/>
                      <w:color w:val="000000"/>
                      <w:szCs w:val="21"/>
                      <w:lang w:val="en-US" w:eastAsia="zh-CN"/>
                    </w:rPr>
                  </w:pPr>
                </w:p>
              </w:tc>
              <w:tc>
                <w:tcPr>
                  <w:tcW w:w="976" w:type="dxa"/>
                  <w:vMerge w:val="continue"/>
                  <w:tcBorders>
                    <w:tl2br w:val="nil"/>
                    <w:tr2bl w:val="nil"/>
                  </w:tcBorders>
                  <w:noWrap w:val="0"/>
                  <w:vAlign w:val="center"/>
                </w:tcPr>
                <w:p w14:paraId="3385BE4A">
                  <w:pPr>
                    <w:spacing w:line="240" w:lineRule="exact"/>
                    <w:jc w:val="center"/>
                    <w:rPr>
                      <w:rFonts w:hint="eastAsia"/>
                      <w:color w:val="000000"/>
                      <w:szCs w:val="21"/>
                      <w:u w:val="none"/>
                      <w:lang w:val="en-US" w:eastAsia="zh-CN"/>
                    </w:rPr>
                  </w:pPr>
                </w:p>
              </w:tc>
            </w:tr>
            <w:tr w14:paraId="3F4E48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498" w:type="dxa"/>
                  <w:vMerge w:val="continue"/>
                  <w:tcBorders>
                    <w:tl2br w:val="nil"/>
                    <w:tr2bl w:val="nil"/>
                  </w:tcBorders>
                  <w:noWrap w:val="0"/>
                  <w:vAlign w:val="center"/>
                </w:tcPr>
                <w:p w14:paraId="721A26E9">
                  <w:pPr>
                    <w:spacing w:line="240" w:lineRule="exact"/>
                    <w:jc w:val="center"/>
                    <w:rPr>
                      <w:color w:val="000000"/>
                      <w:szCs w:val="21"/>
                      <w:u w:val="none"/>
                    </w:rPr>
                  </w:pPr>
                </w:p>
              </w:tc>
              <w:tc>
                <w:tcPr>
                  <w:tcW w:w="960" w:type="dxa"/>
                  <w:tcBorders>
                    <w:tl2br w:val="nil"/>
                    <w:tr2bl w:val="nil"/>
                  </w:tcBorders>
                  <w:shd w:val="clear" w:color="auto" w:fill="auto"/>
                  <w:noWrap w:val="0"/>
                  <w:vAlign w:val="center"/>
                </w:tcPr>
                <w:p w14:paraId="2E70DE89">
                  <w:pPr>
                    <w:adjustRightInd w:val="0"/>
                    <w:snapToGrid w:val="0"/>
                    <w:spacing w:beforeLines="10"/>
                    <w:jc w:val="center"/>
                    <w:rPr>
                      <w:rFonts w:hint="eastAsia"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废包装材料</w:t>
                  </w:r>
                </w:p>
              </w:tc>
              <w:tc>
                <w:tcPr>
                  <w:tcW w:w="2708" w:type="dxa"/>
                  <w:tcBorders>
                    <w:tl2br w:val="nil"/>
                    <w:tr2bl w:val="nil"/>
                  </w:tcBorders>
                  <w:shd w:val="clear" w:color="auto" w:fill="auto"/>
                  <w:noWrap w:val="0"/>
                  <w:vAlign w:val="center"/>
                </w:tcPr>
                <w:p w14:paraId="0A01E823">
                  <w:pPr>
                    <w:adjustRightInd w:val="0"/>
                    <w:snapToGrid w:val="0"/>
                    <w:spacing w:beforeLines="10"/>
                    <w:jc w:val="center"/>
                    <w:rPr>
                      <w:rFonts w:hint="eastAsia" w:ascii="Times New Roman" w:hAnsi="Times New Roman" w:eastAsia="宋体" w:cs="Times New Roman"/>
                      <w:color w:val="000000"/>
                      <w:kern w:val="0"/>
                      <w:sz w:val="21"/>
                      <w:szCs w:val="21"/>
                      <w:lang w:val="en-US" w:eastAsia="zh-CN" w:bidi="ar-SA"/>
                    </w:rPr>
                  </w:pPr>
                  <w:r>
                    <w:rPr>
                      <w:rFonts w:hint="eastAsia"/>
                      <w:color w:val="000000"/>
                      <w:kern w:val="0"/>
                      <w:szCs w:val="21"/>
                      <w:lang w:val="en-US" w:eastAsia="zh-CN"/>
                    </w:rPr>
                    <w:t>暂存在一般固废间（5m</w:t>
                  </w:r>
                  <w:r>
                    <w:rPr>
                      <w:rFonts w:hint="eastAsia"/>
                      <w:color w:val="000000"/>
                      <w:kern w:val="0"/>
                      <w:szCs w:val="21"/>
                      <w:vertAlign w:val="superscript"/>
                      <w:lang w:val="en-US" w:eastAsia="zh-CN"/>
                    </w:rPr>
                    <w:t>2</w:t>
                  </w:r>
                  <w:r>
                    <w:rPr>
                      <w:rFonts w:hint="eastAsia"/>
                      <w:color w:val="000000"/>
                      <w:kern w:val="0"/>
                      <w:szCs w:val="21"/>
                      <w:lang w:val="en-US" w:eastAsia="zh-CN"/>
                    </w:rPr>
                    <w:t>）再</w:t>
                  </w:r>
                  <w:r>
                    <w:rPr>
                      <w:color w:val="000000"/>
                      <w:kern w:val="0"/>
                      <w:szCs w:val="21"/>
                      <w:lang w:val="zh-CN"/>
                    </w:rPr>
                    <w:t>由环卫部门</w:t>
                  </w:r>
                  <w:r>
                    <w:rPr>
                      <w:rFonts w:hint="eastAsia"/>
                      <w:color w:val="000000"/>
                      <w:kern w:val="0"/>
                      <w:szCs w:val="21"/>
                      <w:lang w:val="zh-CN"/>
                    </w:rPr>
                    <w:t>统一</w:t>
                  </w:r>
                  <w:r>
                    <w:rPr>
                      <w:color w:val="000000"/>
                      <w:kern w:val="0"/>
                      <w:szCs w:val="21"/>
                      <w:lang w:val="zh-CN"/>
                    </w:rPr>
                    <w:t>清</w:t>
                  </w:r>
                  <w:r>
                    <w:rPr>
                      <w:rFonts w:hint="eastAsia"/>
                      <w:color w:val="000000"/>
                      <w:kern w:val="0"/>
                      <w:szCs w:val="21"/>
                      <w:lang w:val="zh-CN"/>
                    </w:rPr>
                    <w:t>运</w:t>
                  </w:r>
                </w:p>
              </w:tc>
              <w:tc>
                <w:tcPr>
                  <w:tcW w:w="2896" w:type="dxa"/>
                  <w:vMerge w:val="continue"/>
                  <w:tcBorders>
                    <w:tl2br w:val="nil"/>
                    <w:tr2bl w:val="nil"/>
                  </w:tcBorders>
                  <w:noWrap w:val="0"/>
                  <w:vAlign w:val="center"/>
                </w:tcPr>
                <w:p w14:paraId="67392D3A">
                  <w:pPr>
                    <w:spacing w:line="240" w:lineRule="exact"/>
                    <w:jc w:val="center"/>
                    <w:rPr>
                      <w:rFonts w:hint="eastAsia" w:ascii="Times New Roman" w:hAnsi="Times New Roman" w:eastAsia="宋体" w:cs="Times New Roman"/>
                      <w:color w:val="000000"/>
                      <w:kern w:val="2"/>
                      <w:sz w:val="21"/>
                      <w:szCs w:val="21"/>
                      <w:u w:val="none"/>
                      <w:lang w:val="en-US" w:eastAsia="zh-CN" w:bidi="ar-SA"/>
                    </w:rPr>
                  </w:pPr>
                </w:p>
              </w:tc>
              <w:tc>
                <w:tcPr>
                  <w:tcW w:w="976" w:type="dxa"/>
                  <w:vMerge w:val="continue"/>
                  <w:tcBorders>
                    <w:tl2br w:val="nil"/>
                    <w:tr2bl w:val="nil"/>
                  </w:tcBorders>
                  <w:noWrap w:val="0"/>
                  <w:vAlign w:val="center"/>
                </w:tcPr>
                <w:p w14:paraId="19B994E7">
                  <w:pPr>
                    <w:spacing w:line="240" w:lineRule="exact"/>
                    <w:jc w:val="center"/>
                    <w:rPr>
                      <w:rFonts w:hint="default"/>
                      <w:color w:val="000000"/>
                      <w:szCs w:val="21"/>
                      <w:u w:val="none"/>
                      <w:lang w:val="en-US" w:eastAsia="zh-CN"/>
                    </w:rPr>
                  </w:pPr>
                </w:p>
              </w:tc>
            </w:tr>
            <w:tr w14:paraId="1840C8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498" w:type="dxa"/>
                  <w:vMerge w:val="continue"/>
                  <w:tcBorders>
                    <w:tl2br w:val="nil"/>
                    <w:tr2bl w:val="nil"/>
                  </w:tcBorders>
                  <w:noWrap w:val="0"/>
                  <w:vAlign w:val="center"/>
                </w:tcPr>
                <w:p w14:paraId="5C2DA22A">
                  <w:pPr>
                    <w:spacing w:line="240" w:lineRule="exact"/>
                    <w:jc w:val="center"/>
                    <w:rPr>
                      <w:color w:val="000000"/>
                      <w:szCs w:val="21"/>
                      <w:u w:val="none"/>
                    </w:rPr>
                  </w:pPr>
                </w:p>
              </w:tc>
              <w:tc>
                <w:tcPr>
                  <w:tcW w:w="960" w:type="dxa"/>
                  <w:tcBorders>
                    <w:tl2br w:val="nil"/>
                    <w:tr2bl w:val="nil"/>
                  </w:tcBorders>
                  <w:noWrap w:val="0"/>
                  <w:vAlign w:val="center"/>
                </w:tcPr>
                <w:p w14:paraId="350B65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Cs/>
                      <w:color w:val="000000"/>
                      <w:szCs w:val="21"/>
                      <w:lang w:val="en-US" w:eastAsia="zh-CN"/>
                    </w:rPr>
                  </w:pPr>
                  <w:r>
                    <w:rPr>
                      <w:rFonts w:hint="eastAsia" w:cs="Times New Roman"/>
                      <w:bCs/>
                      <w:color w:val="000000"/>
                      <w:szCs w:val="21"/>
                      <w:lang w:val="en-US" w:eastAsia="zh-CN"/>
                    </w:rPr>
                    <w:t>生活</w:t>
                  </w:r>
                </w:p>
                <w:p w14:paraId="665975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szCs w:val="21"/>
                      <w:lang w:val="en-US" w:eastAsia="zh-CN"/>
                    </w:rPr>
                    <w:t>垃圾</w:t>
                  </w:r>
                </w:p>
              </w:tc>
              <w:tc>
                <w:tcPr>
                  <w:tcW w:w="2708" w:type="dxa"/>
                  <w:tcBorders>
                    <w:tl2br w:val="nil"/>
                    <w:tr2bl w:val="nil"/>
                  </w:tcBorders>
                  <w:noWrap w:val="0"/>
                  <w:vAlign w:val="center"/>
                </w:tcPr>
                <w:p w14:paraId="2F19F6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cs="宋体"/>
                      <w:color w:val="auto"/>
                      <w:kern w:val="2"/>
                      <w:sz w:val="21"/>
                      <w:szCs w:val="21"/>
                      <w:lang w:val="en-US" w:eastAsia="zh-CN" w:bidi="ar-SA"/>
                    </w:rPr>
                    <w:t>企业将生活垃圾分类收集处理</w:t>
                  </w:r>
                  <w:r>
                    <w:rPr>
                      <w:rFonts w:hint="eastAsia" w:ascii="Times New Roman" w:hAnsi="Times New Roman" w:eastAsia="宋体" w:cs="宋体"/>
                      <w:color w:val="auto"/>
                      <w:kern w:val="2"/>
                      <w:sz w:val="21"/>
                      <w:szCs w:val="21"/>
                      <w:lang w:val="en-US" w:eastAsia="zh-CN" w:bidi="ar-SA"/>
                    </w:rPr>
                    <w:t>，由环卫部门集中清运</w:t>
                  </w:r>
                </w:p>
              </w:tc>
              <w:tc>
                <w:tcPr>
                  <w:tcW w:w="2896" w:type="dxa"/>
                  <w:vMerge w:val="continue"/>
                  <w:tcBorders>
                    <w:tl2br w:val="nil"/>
                    <w:tr2bl w:val="nil"/>
                  </w:tcBorders>
                  <w:noWrap w:val="0"/>
                  <w:vAlign w:val="center"/>
                </w:tcPr>
                <w:p w14:paraId="01767F6E">
                  <w:pPr>
                    <w:spacing w:line="240" w:lineRule="exact"/>
                    <w:jc w:val="center"/>
                    <w:rPr>
                      <w:rFonts w:hint="eastAsia"/>
                      <w:color w:val="000000"/>
                      <w:szCs w:val="21"/>
                      <w:u w:val="none"/>
                    </w:rPr>
                  </w:pPr>
                </w:p>
              </w:tc>
              <w:tc>
                <w:tcPr>
                  <w:tcW w:w="976" w:type="dxa"/>
                  <w:vMerge w:val="continue"/>
                  <w:tcBorders>
                    <w:tl2br w:val="nil"/>
                    <w:tr2bl w:val="nil"/>
                  </w:tcBorders>
                  <w:noWrap w:val="0"/>
                  <w:vAlign w:val="center"/>
                </w:tcPr>
                <w:p w14:paraId="4CCC7AE0">
                  <w:pPr>
                    <w:spacing w:line="240" w:lineRule="exact"/>
                    <w:jc w:val="center"/>
                    <w:rPr>
                      <w:rFonts w:hint="default"/>
                      <w:color w:val="000000"/>
                      <w:szCs w:val="21"/>
                      <w:u w:val="none"/>
                      <w:lang w:val="en-US" w:eastAsia="zh-CN"/>
                    </w:rPr>
                  </w:pPr>
                </w:p>
              </w:tc>
            </w:tr>
            <w:tr w14:paraId="570DDF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498" w:type="dxa"/>
                  <w:vMerge w:val="continue"/>
                  <w:tcBorders>
                    <w:tl2br w:val="nil"/>
                    <w:tr2bl w:val="nil"/>
                  </w:tcBorders>
                  <w:noWrap w:val="0"/>
                  <w:vAlign w:val="center"/>
                </w:tcPr>
                <w:p w14:paraId="61297DE4">
                  <w:pPr>
                    <w:spacing w:line="240" w:lineRule="exact"/>
                    <w:jc w:val="center"/>
                    <w:rPr>
                      <w:color w:val="000000"/>
                      <w:szCs w:val="21"/>
                      <w:u w:val="none"/>
                    </w:rPr>
                  </w:pPr>
                </w:p>
              </w:tc>
              <w:tc>
                <w:tcPr>
                  <w:tcW w:w="960" w:type="dxa"/>
                  <w:tcBorders>
                    <w:tl2br w:val="nil"/>
                    <w:tr2bl w:val="nil"/>
                  </w:tcBorders>
                  <w:noWrap w:val="0"/>
                  <w:vAlign w:val="center"/>
                </w:tcPr>
                <w:p w14:paraId="0B1440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Cs/>
                      <w:color w:val="000000"/>
                      <w:szCs w:val="21"/>
                      <w:lang w:val="en-US" w:eastAsia="zh-CN"/>
                    </w:rPr>
                  </w:pPr>
                  <w:r>
                    <w:rPr>
                      <w:rFonts w:hint="eastAsia" w:cs="Times New Roman"/>
                      <w:bCs/>
                      <w:color w:val="000000"/>
                      <w:szCs w:val="21"/>
                      <w:lang w:val="en-US" w:eastAsia="zh-CN"/>
                    </w:rPr>
                    <w:t>废活</w:t>
                  </w:r>
                </w:p>
                <w:p w14:paraId="772BDE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Cs/>
                      <w:color w:val="000000"/>
                      <w:szCs w:val="21"/>
                      <w:lang w:val="en-US" w:eastAsia="zh-CN"/>
                    </w:rPr>
                  </w:pPr>
                  <w:r>
                    <w:rPr>
                      <w:rFonts w:hint="eastAsia" w:cs="Times New Roman"/>
                      <w:bCs/>
                      <w:color w:val="000000"/>
                      <w:szCs w:val="21"/>
                      <w:lang w:val="en-US" w:eastAsia="zh-CN"/>
                    </w:rPr>
                    <w:t>性炭</w:t>
                  </w:r>
                </w:p>
              </w:tc>
              <w:tc>
                <w:tcPr>
                  <w:tcW w:w="2708" w:type="dxa"/>
                  <w:tcBorders>
                    <w:tl2br w:val="nil"/>
                    <w:tr2bl w:val="nil"/>
                  </w:tcBorders>
                  <w:noWrap w:val="0"/>
                  <w:vAlign w:val="center"/>
                </w:tcPr>
                <w:p w14:paraId="1C7E7C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color w:val="auto"/>
                      <w:kern w:val="2"/>
                      <w:sz w:val="21"/>
                      <w:szCs w:val="21"/>
                      <w:lang w:val="en-US" w:eastAsia="zh-CN" w:bidi="ar-SA"/>
                    </w:rPr>
                  </w:pPr>
                  <w:r>
                    <w:rPr>
                      <w:rFonts w:hint="eastAsia"/>
                      <w:color w:val="000000"/>
                      <w:kern w:val="0"/>
                      <w:sz w:val="21"/>
                      <w:szCs w:val="21"/>
                      <w:lang w:val="en-US" w:eastAsia="zh-CN"/>
                    </w:rPr>
                    <w:t>暂存在危废间再</w:t>
                  </w:r>
                  <w:r>
                    <w:rPr>
                      <w:color w:val="000000"/>
                      <w:kern w:val="0"/>
                      <w:sz w:val="21"/>
                      <w:szCs w:val="21"/>
                      <w:lang w:val="zh-CN"/>
                    </w:rPr>
                    <w:t>由</w:t>
                  </w:r>
                  <w:r>
                    <w:rPr>
                      <w:rFonts w:hint="eastAsia"/>
                      <w:color w:val="000000"/>
                      <w:kern w:val="0"/>
                      <w:sz w:val="21"/>
                      <w:szCs w:val="21"/>
                      <w:lang w:val="en-US" w:eastAsia="zh-CN"/>
                    </w:rPr>
                    <w:t>有</w:t>
                  </w:r>
                  <w:r>
                    <w:rPr>
                      <w:rFonts w:hint="default" w:ascii="Times New Roman" w:hAnsi="Times New Roman" w:eastAsia="宋体" w:cs="Times New Roman"/>
                      <w:color w:val="auto"/>
                      <w:sz w:val="21"/>
                      <w:szCs w:val="21"/>
                      <w:lang w:val="en-US" w:eastAsia="zh-CN"/>
                    </w:rPr>
                    <w:t>资质单位</w:t>
                  </w:r>
                  <w:r>
                    <w:rPr>
                      <w:rFonts w:hint="eastAsia" w:cs="Times New Roman"/>
                      <w:color w:val="auto"/>
                      <w:sz w:val="21"/>
                      <w:szCs w:val="21"/>
                      <w:lang w:val="en-US" w:eastAsia="zh-CN"/>
                    </w:rPr>
                    <w:t>进行安全</w:t>
                  </w:r>
                  <w:r>
                    <w:rPr>
                      <w:rFonts w:hint="default" w:ascii="Times New Roman" w:hAnsi="Times New Roman" w:eastAsia="宋体" w:cs="Times New Roman"/>
                      <w:color w:val="auto"/>
                      <w:sz w:val="21"/>
                      <w:szCs w:val="21"/>
                      <w:lang w:val="en-US" w:eastAsia="zh-CN"/>
                    </w:rPr>
                    <w:t>处理</w:t>
                  </w:r>
                </w:p>
              </w:tc>
              <w:tc>
                <w:tcPr>
                  <w:tcW w:w="2896" w:type="dxa"/>
                  <w:tcBorders>
                    <w:tl2br w:val="nil"/>
                    <w:tr2bl w:val="nil"/>
                  </w:tcBorders>
                  <w:noWrap w:val="0"/>
                  <w:vAlign w:val="center"/>
                </w:tcPr>
                <w:p w14:paraId="6C4A0FFA">
                  <w:pPr>
                    <w:keepNext w:val="0"/>
                    <w:keepLines w:val="0"/>
                    <w:pageBreakBefore w:val="0"/>
                    <w:suppressLineNumbers w:val="0"/>
                    <w:kinsoku/>
                    <w:overflowPunct/>
                    <w:topLinePunct w:val="0"/>
                    <w:autoSpaceDN/>
                    <w:bidi w:val="0"/>
                    <w:spacing w:before="0" w:beforeAutospacing="0" w:after="0" w:afterAutospacing="0" w:line="240" w:lineRule="auto"/>
                    <w:ind w:left="0" w:right="0"/>
                    <w:jc w:val="center"/>
                    <w:rPr>
                      <w:rFonts w:hint="eastAsia"/>
                      <w:color w:val="000000"/>
                      <w:szCs w:val="21"/>
                      <w:u w:val="none"/>
                    </w:rPr>
                  </w:pPr>
                  <w:r>
                    <w:rPr>
                      <w:rFonts w:hint="eastAsia" w:ascii="Times New Roman" w:hAnsi="Times New Roman" w:cs="Times New Roman"/>
                      <w:lang w:val="en-US" w:eastAsia="zh-CN"/>
                    </w:rPr>
                    <w:t>《危险废物贮存污染控制标准》（GB 18597-2023）</w:t>
                  </w:r>
                </w:p>
              </w:tc>
              <w:tc>
                <w:tcPr>
                  <w:tcW w:w="976" w:type="dxa"/>
                  <w:vMerge w:val="continue"/>
                  <w:tcBorders>
                    <w:tl2br w:val="nil"/>
                    <w:tr2bl w:val="nil"/>
                  </w:tcBorders>
                  <w:noWrap w:val="0"/>
                  <w:vAlign w:val="center"/>
                </w:tcPr>
                <w:p w14:paraId="6A92B47C">
                  <w:pPr>
                    <w:spacing w:line="240" w:lineRule="exact"/>
                    <w:jc w:val="center"/>
                    <w:rPr>
                      <w:rFonts w:hint="default"/>
                      <w:color w:val="000000"/>
                      <w:szCs w:val="21"/>
                      <w:u w:val="none"/>
                      <w:lang w:val="en-US" w:eastAsia="zh-CN"/>
                    </w:rPr>
                  </w:pPr>
                </w:p>
              </w:tc>
            </w:tr>
            <w:tr w14:paraId="4625E0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0" w:hRule="atLeast"/>
                <w:jc w:val="center"/>
              </w:trPr>
              <w:tc>
                <w:tcPr>
                  <w:tcW w:w="498" w:type="dxa"/>
                  <w:tcBorders>
                    <w:tl2br w:val="nil"/>
                    <w:tr2bl w:val="nil"/>
                  </w:tcBorders>
                  <w:noWrap w:val="0"/>
                  <w:vAlign w:val="center"/>
                </w:tcPr>
                <w:p w14:paraId="7A2EC64B">
                  <w:pPr>
                    <w:spacing w:line="240" w:lineRule="exact"/>
                    <w:jc w:val="center"/>
                    <w:rPr>
                      <w:color w:val="000000"/>
                      <w:szCs w:val="21"/>
                      <w:u w:val="none"/>
                    </w:rPr>
                  </w:pPr>
                  <w:r>
                    <w:rPr>
                      <w:color w:val="000000"/>
                      <w:szCs w:val="21"/>
                      <w:u w:val="none"/>
                    </w:rPr>
                    <w:t>噪声</w:t>
                  </w:r>
                </w:p>
              </w:tc>
              <w:tc>
                <w:tcPr>
                  <w:tcW w:w="960" w:type="dxa"/>
                  <w:tcBorders>
                    <w:tl2br w:val="nil"/>
                    <w:tr2bl w:val="nil"/>
                  </w:tcBorders>
                  <w:noWrap w:val="0"/>
                  <w:vAlign w:val="center"/>
                </w:tcPr>
                <w:p w14:paraId="523299B4">
                  <w:pPr>
                    <w:spacing w:line="240" w:lineRule="exact"/>
                    <w:jc w:val="center"/>
                    <w:rPr>
                      <w:rFonts w:hint="eastAsia"/>
                      <w:color w:val="000000"/>
                      <w:szCs w:val="21"/>
                      <w:u w:val="none"/>
                      <w:lang w:val="en-US" w:eastAsia="zh-CN"/>
                    </w:rPr>
                  </w:pPr>
                  <w:r>
                    <w:rPr>
                      <w:rFonts w:hint="eastAsia"/>
                      <w:color w:val="000000"/>
                      <w:szCs w:val="21"/>
                      <w:u w:val="none"/>
                      <w:lang w:val="en-US" w:eastAsia="zh-CN"/>
                    </w:rPr>
                    <w:t>生产</w:t>
                  </w:r>
                </w:p>
                <w:p w14:paraId="7CA3D70D">
                  <w:pPr>
                    <w:spacing w:line="240" w:lineRule="exact"/>
                    <w:jc w:val="center"/>
                    <w:rPr>
                      <w:color w:val="000000"/>
                      <w:szCs w:val="21"/>
                      <w:u w:val="none"/>
                    </w:rPr>
                  </w:pPr>
                  <w:r>
                    <w:rPr>
                      <w:color w:val="000000"/>
                      <w:szCs w:val="21"/>
                      <w:u w:val="none"/>
                    </w:rPr>
                    <w:t>设备</w:t>
                  </w:r>
                </w:p>
              </w:tc>
              <w:tc>
                <w:tcPr>
                  <w:tcW w:w="2708" w:type="dxa"/>
                  <w:tcBorders>
                    <w:tl2br w:val="nil"/>
                    <w:tr2bl w:val="nil"/>
                  </w:tcBorders>
                  <w:noWrap w:val="0"/>
                  <w:vAlign w:val="center"/>
                </w:tcPr>
                <w:p w14:paraId="5F5B2958">
                  <w:pPr>
                    <w:spacing w:line="240" w:lineRule="exact"/>
                    <w:jc w:val="center"/>
                    <w:rPr>
                      <w:color w:val="000000"/>
                      <w:szCs w:val="21"/>
                      <w:u w:val="none"/>
                    </w:rPr>
                  </w:pPr>
                  <w:r>
                    <w:rPr>
                      <w:color w:val="000000"/>
                      <w:szCs w:val="21"/>
                      <w:u w:val="none"/>
                    </w:rPr>
                    <w:t>室内布置、基础减震、</w:t>
                  </w:r>
                </w:p>
                <w:p w14:paraId="3B0B22B4">
                  <w:pPr>
                    <w:spacing w:line="240" w:lineRule="exact"/>
                    <w:jc w:val="center"/>
                    <w:rPr>
                      <w:color w:val="000000"/>
                      <w:szCs w:val="21"/>
                      <w:u w:val="none"/>
                    </w:rPr>
                  </w:pPr>
                  <w:r>
                    <w:rPr>
                      <w:color w:val="000000"/>
                      <w:szCs w:val="21"/>
                      <w:u w:val="none"/>
                    </w:rPr>
                    <w:t>厂房隔声</w:t>
                  </w:r>
                </w:p>
              </w:tc>
              <w:tc>
                <w:tcPr>
                  <w:tcW w:w="2896" w:type="dxa"/>
                  <w:tcBorders>
                    <w:tl2br w:val="nil"/>
                    <w:tr2bl w:val="nil"/>
                  </w:tcBorders>
                  <w:noWrap w:val="0"/>
                  <w:vAlign w:val="center"/>
                </w:tcPr>
                <w:p w14:paraId="4EE3A6D2">
                  <w:pPr>
                    <w:spacing w:line="240" w:lineRule="exact"/>
                    <w:jc w:val="center"/>
                    <w:rPr>
                      <w:color w:val="000000"/>
                      <w:szCs w:val="21"/>
                      <w:u w:val="none"/>
                    </w:rPr>
                  </w:pPr>
                  <w:r>
                    <w:rPr>
                      <w:color w:val="000000"/>
                      <w:szCs w:val="21"/>
                      <w:u w:val="none"/>
                    </w:rPr>
                    <w:t>室内布置、基础减震、</w:t>
                  </w:r>
                </w:p>
                <w:p w14:paraId="5F44D38F">
                  <w:pPr>
                    <w:spacing w:line="240" w:lineRule="exact"/>
                    <w:jc w:val="center"/>
                    <w:rPr>
                      <w:color w:val="000000"/>
                      <w:szCs w:val="21"/>
                      <w:u w:val="none"/>
                    </w:rPr>
                  </w:pPr>
                  <w:r>
                    <w:rPr>
                      <w:color w:val="000000"/>
                      <w:szCs w:val="21"/>
                      <w:u w:val="none"/>
                    </w:rPr>
                    <w:t>厂房隔声</w:t>
                  </w:r>
                </w:p>
              </w:tc>
              <w:tc>
                <w:tcPr>
                  <w:tcW w:w="976" w:type="dxa"/>
                  <w:tcBorders>
                    <w:tl2br w:val="nil"/>
                    <w:tr2bl w:val="nil"/>
                  </w:tcBorders>
                  <w:noWrap w:val="0"/>
                  <w:vAlign w:val="center"/>
                </w:tcPr>
                <w:p w14:paraId="757259D4">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2</w:t>
                  </w:r>
                </w:p>
              </w:tc>
            </w:tr>
            <w:tr w14:paraId="3CD588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458" w:type="dxa"/>
                  <w:gridSpan w:val="2"/>
                  <w:tcBorders>
                    <w:tl2br w:val="nil"/>
                    <w:tr2bl w:val="nil"/>
                  </w:tcBorders>
                  <w:noWrap w:val="0"/>
                  <w:vAlign w:val="center"/>
                </w:tcPr>
                <w:p w14:paraId="19F87D78">
                  <w:pPr>
                    <w:adjustRightInd w:val="0"/>
                    <w:snapToGrid w:val="0"/>
                    <w:jc w:val="center"/>
                    <w:rPr>
                      <w:b/>
                      <w:bCs w:val="0"/>
                      <w:color w:val="000000"/>
                      <w:szCs w:val="21"/>
                      <w:u w:val="none"/>
                    </w:rPr>
                  </w:pPr>
                  <w:r>
                    <w:rPr>
                      <w:b w:val="0"/>
                      <w:bCs/>
                      <w:color w:val="000000"/>
                      <w:szCs w:val="21"/>
                      <w:u w:val="none"/>
                    </w:rPr>
                    <w:t>总计</w:t>
                  </w:r>
                </w:p>
              </w:tc>
              <w:tc>
                <w:tcPr>
                  <w:tcW w:w="5604" w:type="dxa"/>
                  <w:gridSpan w:val="2"/>
                  <w:tcBorders>
                    <w:tl2br w:val="nil"/>
                    <w:tr2bl w:val="nil"/>
                  </w:tcBorders>
                  <w:noWrap w:val="0"/>
                  <w:vAlign w:val="center"/>
                </w:tcPr>
                <w:p w14:paraId="75EDF870">
                  <w:pPr>
                    <w:adjustRightInd w:val="0"/>
                    <w:snapToGrid w:val="0"/>
                    <w:jc w:val="center"/>
                    <w:rPr>
                      <w:b/>
                      <w:bCs w:val="0"/>
                      <w:color w:val="000000"/>
                      <w:kern w:val="0"/>
                      <w:szCs w:val="21"/>
                      <w:u w:val="none"/>
                      <w:lang w:val="zh-CN"/>
                    </w:rPr>
                  </w:pPr>
                  <w:r>
                    <w:rPr>
                      <w:rFonts w:hint="eastAsia"/>
                      <w:b/>
                      <w:bCs w:val="0"/>
                      <w:color w:val="000000"/>
                      <w:kern w:val="0"/>
                      <w:szCs w:val="21"/>
                      <w:u w:val="none"/>
                      <w:lang w:val="zh-CN"/>
                    </w:rPr>
                    <w:t>/</w:t>
                  </w:r>
                </w:p>
              </w:tc>
              <w:tc>
                <w:tcPr>
                  <w:tcW w:w="976" w:type="dxa"/>
                  <w:tcBorders>
                    <w:tl2br w:val="nil"/>
                    <w:tr2bl w:val="nil"/>
                  </w:tcBorders>
                  <w:noWrap w:val="0"/>
                  <w:vAlign w:val="center"/>
                </w:tcPr>
                <w:p w14:paraId="0E16F2CE">
                  <w:pPr>
                    <w:spacing w:line="240" w:lineRule="exact"/>
                    <w:jc w:val="center"/>
                    <w:rPr>
                      <w:rFonts w:hint="default" w:eastAsia="宋体"/>
                      <w:color w:val="000000"/>
                      <w:szCs w:val="21"/>
                      <w:u w:val="none"/>
                      <w:lang w:val="en-US" w:eastAsia="zh-CN"/>
                    </w:rPr>
                  </w:pPr>
                  <w:r>
                    <w:rPr>
                      <w:rFonts w:hint="eastAsia"/>
                      <w:color w:val="000000"/>
                      <w:szCs w:val="21"/>
                      <w:u w:val="none"/>
                      <w:lang w:val="en-US" w:eastAsia="zh-CN"/>
                    </w:rPr>
                    <w:t>55</w:t>
                  </w:r>
                </w:p>
              </w:tc>
            </w:tr>
          </w:tbl>
          <w:p w14:paraId="4FEDE964">
            <w:pPr>
              <w:spacing w:line="520" w:lineRule="exact"/>
              <w:ind w:firstLine="480" w:firstLineChars="200"/>
              <w:rPr>
                <w:rFonts w:ascii="Calibri" w:cs="宋体"/>
                <w:kern w:val="0"/>
                <w:sz w:val="24"/>
                <w:szCs w:val="24"/>
              </w:rPr>
            </w:pPr>
          </w:p>
        </w:tc>
      </w:tr>
    </w:tbl>
    <w:p w14:paraId="67B7DFDF">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28CE3FE">
      <w:pPr>
        <w:spacing w:line="360" w:lineRule="auto"/>
        <w:jc w:val="center"/>
        <w:rPr>
          <w:rFonts w:hint="eastAsia" w:ascii="黑体" w:hAnsi="黑体" w:eastAsia="黑体"/>
          <w:snapToGrid w:val="0"/>
          <w:sz w:val="30"/>
          <w:szCs w:val="30"/>
          <w:highlight w:val="none"/>
        </w:rPr>
      </w:pPr>
      <w:r>
        <w:rPr>
          <w:rFonts w:hint="eastAsia"/>
          <w:b/>
          <w:color w:val="auto"/>
          <w:sz w:val="30"/>
          <w:highlight w:val="none"/>
          <w:lang w:val="en-US" w:eastAsia="zh-CN"/>
        </w:rPr>
        <w:t>五、</w:t>
      </w:r>
      <w:r>
        <w:rPr>
          <w:rFonts w:hint="eastAsia" w:ascii="黑体" w:hAnsi="黑体" w:eastAsia="黑体"/>
          <w:snapToGrid w:val="0"/>
          <w:sz w:val="30"/>
          <w:szCs w:val="30"/>
          <w:highlight w:val="none"/>
        </w:rPr>
        <w:t>环境保护措施监督检查清单</w:t>
      </w:r>
    </w:p>
    <w:tbl>
      <w:tblPr>
        <w:tblStyle w:val="21"/>
        <w:tblW w:w="50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288"/>
        <w:gridCol w:w="906"/>
        <w:gridCol w:w="2504"/>
        <w:gridCol w:w="3281"/>
      </w:tblGrid>
      <w:tr w14:paraId="2E5EB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single" w:color="auto" w:sz="4" w:space="0"/>
            </w:tcBorders>
            <w:noWrap w:val="0"/>
            <w:vAlign w:val="center"/>
          </w:tcPr>
          <w:p w14:paraId="432572C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rPr>
              <w:t>内容</w:t>
            </w:r>
          </w:p>
          <w:p w14:paraId="6E09BB8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要素</w:t>
            </w:r>
          </w:p>
        </w:tc>
        <w:tc>
          <w:tcPr>
            <w:tcW w:w="697" w:type="pct"/>
            <w:noWrap w:val="0"/>
            <w:vAlign w:val="center"/>
          </w:tcPr>
          <w:p w14:paraId="52BD18B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排放口</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编号、名称</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/污染源</w:t>
            </w:r>
          </w:p>
        </w:tc>
        <w:tc>
          <w:tcPr>
            <w:tcW w:w="490" w:type="pct"/>
            <w:noWrap w:val="0"/>
            <w:vAlign w:val="center"/>
          </w:tcPr>
          <w:p w14:paraId="6BA0E5B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污染物项目</w:t>
            </w:r>
          </w:p>
        </w:tc>
        <w:tc>
          <w:tcPr>
            <w:tcW w:w="1355" w:type="pct"/>
            <w:noWrap w:val="0"/>
            <w:vAlign w:val="center"/>
          </w:tcPr>
          <w:p w14:paraId="3BE485F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环境保护措施</w:t>
            </w:r>
          </w:p>
        </w:tc>
        <w:tc>
          <w:tcPr>
            <w:tcW w:w="1775" w:type="pct"/>
            <w:noWrap w:val="0"/>
            <w:vAlign w:val="center"/>
          </w:tcPr>
          <w:p w14:paraId="181177D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执行标准</w:t>
            </w:r>
          </w:p>
        </w:tc>
      </w:tr>
      <w:tr w14:paraId="54C50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1" w:type="pct"/>
            <w:vMerge w:val="restart"/>
            <w:noWrap w:val="0"/>
            <w:vAlign w:val="center"/>
          </w:tcPr>
          <w:p w14:paraId="33FA9C1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大气</w:t>
            </w:r>
          </w:p>
          <w:p w14:paraId="58DC55A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环境</w:t>
            </w:r>
          </w:p>
        </w:tc>
        <w:tc>
          <w:tcPr>
            <w:tcW w:w="697" w:type="pct"/>
            <w:noWrap w:val="0"/>
            <w:vAlign w:val="center"/>
          </w:tcPr>
          <w:p w14:paraId="4B484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sz w:val="24"/>
                <w:szCs w:val="24"/>
                <w:lang w:val="en-US" w:eastAsia="zh-CN"/>
              </w:rPr>
            </w:pPr>
            <w:r>
              <w:rPr>
                <w:rFonts w:hint="eastAsia" w:cs="Times New Roman"/>
                <w:sz w:val="24"/>
                <w:szCs w:val="24"/>
                <w:lang w:val="en-US" w:eastAsia="zh-CN"/>
              </w:rPr>
              <w:t>废气</w:t>
            </w:r>
          </w:p>
          <w:p w14:paraId="2A046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排气筒（DA00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w:t>
            </w:r>
          </w:p>
        </w:tc>
        <w:tc>
          <w:tcPr>
            <w:tcW w:w="490" w:type="pct"/>
            <w:noWrap w:val="0"/>
            <w:vAlign w:val="center"/>
          </w:tcPr>
          <w:p w14:paraId="706B5DB3">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颗粒物、SO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vertAlign w:val="baseline"/>
                <w:lang w:val="en-US" w:eastAsia="zh-CN"/>
              </w:rPr>
              <w:t>、</w:t>
            </w:r>
            <w:r>
              <w:rPr>
                <w:rFonts w:hint="default" w:ascii="Times New Roman" w:hAnsi="Times New Roman" w:cs="Times New Roman"/>
                <w:b w:val="0"/>
                <w:bCs w:val="0"/>
                <w:color w:val="auto"/>
                <w:sz w:val="24"/>
                <w:szCs w:val="24"/>
                <w:highlight w:val="none"/>
                <w:u w:val="none"/>
                <w:lang w:val="en-US" w:eastAsia="zh-CN"/>
              </w:rPr>
              <w:t>NO</w:t>
            </w:r>
            <w:r>
              <w:rPr>
                <w:rFonts w:hint="default" w:ascii="Times New Roman" w:hAnsi="Times New Roman" w:cs="Times New Roman"/>
                <w:b w:val="0"/>
                <w:bCs w:val="0"/>
                <w:color w:val="auto"/>
                <w:sz w:val="24"/>
                <w:szCs w:val="24"/>
                <w:highlight w:val="none"/>
                <w:u w:val="none"/>
                <w:vertAlign w:val="subscript"/>
                <w:lang w:val="en-US" w:eastAsia="zh-CN"/>
              </w:rPr>
              <w:t>2</w:t>
            </w:r>
            <w:r>
              <w:rPr>
                <w:rFonts w:hint="default" w:ascii="Times New Roman" w:hAnsi="Times New Roman" w:eastAsia="宋体" w:cs="Times New Roman"/>
                <w:sz w:val="24"/>
                <w:szCs w:val="24"/>
                <w:highlight w:val="none"/>
              </w:rPr>
              <w:t>、</w:t>
            </w:r>
          </w:p>
          <w:p w14:paraId="3E7890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highlight w:val="none"/>
              </w:rPr>
              <w:t>林格曼黑度</w:t>
            </w:r>
          </w:p>
        </w:tc>
        <w:tc>
          <w:tcPr>
            <w:tcW w:w="1355" w:type="pct"/>
            <w:shd w:val="clear" w:color="auto" w:fill="auto"/>
            <w:noWrap w:val="0"/>
            <w:vAlign w:val="center"/>
          </w:tcPr>
          <w:p w14:paraId="2F87108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低氮燃烧</w:t>
            </w:r>
            <w:r>
              <w:rPr>
                <w:rFonts w:hint="eastAsia" w:cs="Times New Roman"/>
                <w:color w:val="auto"/>
                <w:sz w:val="24"/>
                <w:szCs w:val="24"/>
                <w:u w:val="none"/>
                <w:lang w:val="en-US" w:eastAsia="zh-CN"/>
              </w:rPr>
              <w:t>装置</w:t>
            </w:r>
          </w:p>
          <w:p w14:paraId="2189B7C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15m高排气筒排放</w:t>
            </w:r>
          </w:p>
          <w:p w14:paraId="5DAC2AB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4"/>
                <w:szCs w:val="24"/>
                <w:u w:val="none"/>
                <w:lang w:val="en-US" w:eastAsia="zh-CN" w:bidi="ar-SA"/>
              </w:rPr>
            </w:pPr>
            <w:r>
              <w:rPr>
                <w:rFonts w:hint="default" w:ascii="Times New Roman" w:hAnsi="Times New Roman" w:eastAsia="宋体" w:cs="Times New Roman"/>
                <w:color w:val="auto"/>
                <w:sz w:val="24"/>
                <w:szCs w:val="24"/>
                <w:highlight w:val="none"/>
                <w:u w:val="none"/>
                <w:vertAlign w:val="baseline"/>
                <w:lang w:val="en-US" w:eastAsia="zh-CN"/>
              </w:rPr>
              <w:t>（DA001）</w:t>
            </w:r>
          </w:p>
        </w:tc>
        <w:tc>
          <w:tcPr>
            <w:tcW w:w="1775" w:type="pct"/>
            <w:shd w:val="clear" w:color="auto" w:fill="auto"/>
            <w:noWrap w:val="0"/>
            <w:vAlign w:val="center"/>
          </w:tcPr>
          <w:p w14:paraId="50FD8794">
            <w:pPr>
              <w:pStyle w:val="11"/>
              <w:keepNext w:val="0"/>
              <w:keepLines w:val="0"/>
              <w:pageBreakBefore w:val="0"/>
              <w:widowControl w:val="0"/>
              <w:kinsoku/>
              <w:wordWrap w:val="0"/>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color w:val="000000"/>
                <w:kern w:val="0"/>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《河南省锅炉大气污染物排放标准》(DB41/2089—2021)排放</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kern w:val="28"/>
                <w:sz w:val="24"/>
                <w:szCs w:val="24"/>
                <w:highlight w:val="none"/>
                <w:lang w:val="en-US" w:eastAsia="zh-CN" w:bidi="ar-SA"/>
              </w:rPr>
              <w:t>河南省重污染天气通用行业应急减排措施制定技术指南（2021年修订版）</w:t>
            </w:r>
            <w:r>
              <w:rPr>
                <w:rFonts w:hint="default" w:ascii="Times New Roman" w:hAnsi="Times New Roman" w:cs="Times New Roman"/>
                <w:b w:val="0"/>
                <w:bCs w:val="0"/>
                <w:color w:val="auto"/>
                <w:kern w:val="28"/>
                <w:sz w:val="24"/>
                <w:szCs w:val="24"/>
                <w:highlight w:val="none"/>
                <w:lang w:val="en-US" w:eastAsia="zh-CN" w:bidi="ar-SA"/>
              </w:rPr>
              <w:t>》中燃气</w:t>
            </w:r>
            <w:r>
              <w:rPr>
                <w:rFonts w:hint="eastAsia" w:cs="Times New Roman"/>
                <w:b w:val="0"/>
                <w:bCs w:val="0"/>
                <w:color w:val="auto"/>
                <w:kern w:val="28"/>
                <w:sz w:val="24"/>
                <w:szCs w:val="24"/>
                <w:highlight w:val="none"/>
                <w:lang w:val="en-US" w:eastAsia="zh-CN" w:bidi="ar-SA"/>
              </w:rPr>
              <w:t>锅炉</w:t>
            </w:r>
            <w:r>
              <w:rPr>
                <w:rFonts w:hint="default" w:ascii="Times New Roman" w:hAnsi="Times New Roman" w:cs="Times New Roman"/>
                <w:b w:val="0"/>
                <w:bCs w:val="0"/>
                <w:color w:val="auto"/>
                <w:kern w:val="28"/>
                <w:sz w:val="24"/>
                <w:szCs w:val="24"/>
                <w:highlight w:val="none"/>
                <w:lang w:val="en-US" w:eastAsia="zh-CN" w:bidi="ar-SA"/>
              </w:rPr>
              <w:t>要求</w:t>
            </w:r>
          </w:p>
        </w:tc>
      </w:tr>
      <w:tr w14:paraId="027B0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681" w:type="pct"/>
            <w:vMerge w:val="continue"/>
            <w:noWrap w:val="0"/>
            <w:vAlign w:val="center"/>
          </w:tcPr>
          <w:p w14:paraId="58D42F9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p>
        </w:tc>
        <w:tc>
          <w:tcPr>
            <w:tcW w:w="697" w:type="pct"/>
            <w:noWrap w:val="0"/>
            <w:vAlign w:val="center"/>
          </w:tcPr>
          <w:p w14:paraId="2ACB8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sz w:val="24"/>
                <w:szCs w:val="24"/>
                <w:lang w:val="en-US" w:eastAsia="zh-CN"/>
              </w:rPr>
            </w:pPr>
            <w:r>
              <w:rPr>
                <w:rFonts w:hint="eastAsia" w:cs="Times New Roman"/>
                <w:sz w:val="24"/>
                <w:szCs w:val="24"/>
                <w:lang w:val="en-US" w:eastAsia="zh-CN"/>
              </w:rPr>
              <w:t>废气</w:t>
            </w:r>
          </w:p>
          <w:p w14:paraId="0BDF0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排气筒（DA00</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w:t>
            </w:r>
          </w:p>
        </w:tc>
        <w:tc>
          <w:tcPr>
            <w:tcW w:w="490" w:type="pct"/>
            <w:noWrap w:val="0"/>
            <w:vAlign w:val="center"/>
          </w:tcPr>
          <w:p w14:paraId="521E2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油烟</w:t>
            </w:r>
          </w:p>
        </w:tc>
        <w:tc>
          <w:tcPr>
            <w:tcW w:w="1355" w:type="pct"/>
            <w:shd w:val="clear" w:color="auto" w:fill="auto"/>
            <w:noWrap w:val="0"/>
            <w:vAlign w:val="center"/>
          </w:tcPr>
          <w:p w14:paraId="2D05EF66">
            <w:pPr>
              <w:spacing w:line="240" w:lineRule="exact"/>
              <w:jc w:val="center"/>
              <w:rPr>
                <w:rFonts w:hint="default" w:ascii="Times New Roman" w:hAnsi="Times New Roman" w:eastAsia="宋体" w:cs="Times New Roman"/>
                <w:color w:val="000000"/>
                <w:spacing w:val="-6"/>
                <w:kern w:val="2"/>
                <w:sz w:val="24"/>
                <w:szCs w:val="24"/>
                <w:u w:val="none"/>
                <w:lang w:val="en-US" w:eastAsia="zh-CN" w:bidi="ar-SA"/>
              </w:rPr>
            </w:pPr>
            <w:r>
              <w:rPr>
                <w:rFonts w:hint="default" w:ascii="Times New Roman" w:hAnsi="Times New Roman" w:cs="Times New Roman"/>
                <w:color w:val="auto"/>
                <w:sz w:val="24"/>
                <w:szCs w:val="24"/>
                <w:highlight w:val="none"/>
                <w:vertAlign w:val="baseline"/>
                <w:lang w:val="en-US" w:eastAsia="zh-CN"/>
              </w:rPr>
              <w:t>油烟经过集气罩收集后进入油烟净化器处理后</w:t>
            </w:r>
            <w:r>
              <w:rPr>
                <w:rFonts w:hint="default" w:ascii="Times New Roman" w:hAnsi="Times New Roman" w:eastAsia="宋体" w:cs="Times New Roman"/>
                <w:color w:val="auto"/>
                <w:sz w:val="24"/>
                <w:szCs w:val="24"/>
                <w:highlight w:val="none"/>
                <w:vertAlign w:val="baseline"/>
                <w:lang w:val="en-US" w:eastAsia="zh-CN"/>
              </w:rPr>
              <w:t>最终从</w:t>
            </w:r>
            <w:r>
              <w:rPr>
                <w:rFonts w:hint="default" w:ascii="Times New Roman" w:hAnsi="Times New Roman" w:cs="Times New Roman"/>
                <w:color w:val="auto"/>
                <w:sz w:val="24"/>
                <w:szCs w:val="24"/>
                <w:u w:val="none"/>
                <w:lang w:val="en-US" w:eastAsia="zh-CN"/>
              </w:rPr>
              <w:t>15m高排气筒</w:t>
            </w:r>
            <w:r>
              <w:rPr>
                <w:rFonts w:hint="default" w:ascii="Times New Roman" w:hAnsi="Times New Roman" w:eastAsia="宋体" w:cs="Times New Roman"/>
                <w:color w:val="auto"/>
                <w:sz w:val="24"/>
                <w:szCs w:val="24"/>
                <w:highlight w:val="none"/>
                <w:u w:val="none"/>
                <w:vertAlign w:val="baseline"/>
                <w:lang w:val="en-US" w:eastAsia="zh-CN"/>
              </w:rPr>
              <w:t>（DA002）达标排放</w:t>
            </w:r>
          </w:p>
        </w:tc>
        <w:tc>
          <w:tcPr>
            <w:tcW w:w="1775" w:type="pct"/>
            <w:shd w:val="clear" w:color="auto" w:fill="auto"/>
            <w:noWrap w:val="0"/>
            <w:vAlign w:val="center"/>
          </w:tcPr>
          <w:p w14:paraId="147145B2">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kern w:val="0"/>
                <w:sz w:val="24"/>
                <w:szCs w:val="24"/>
                <w:highlight w:val="none"/>
                <w:lang w:val="en-US" w:eastAsia="zh-CN" w:bidi="ar-SA"/>
              </w:rPr>
            </w:pPr>
            <w:r>
              <w:rPr>
                <w:rFonts w:hint="default" w:ascii="Times New Roman" w:hAnsi="Times New Roman" w:cs="Times New Roman"/>
                <w:sz w:val="24"/>
                <w:szCs w:val="24"/>
                <w:highlight w:val="none"/>
                <w:lang w:val="en-US" w:eastAsia="zh-CN"/>
              </w:rPr>
              <w:t>河南省《餐饮业油烟污染物排放标准》（DB41/1604-2018）</w:t>
            </w:r>
            <w:r>
              <w:rPr>
                <w:rFonts w:hint="default" w:ascii="Times New Roman" w:hAnsi="Times New Roman" w:eastAsia="宋体" w:cs="Times New Roman"/>
                <w:kern w:val="2"/>
                <w:sz w:val="24"/>
                <w:szCs w:val="24"/>
                <w:lang w:val="en-US" w:eastAsia="zh-CN" w:bidi="ar-SA"/>
              </w:rPr>
              <w:t>（</w:t>
            </w:r>
            <w:r>
              <w:rPr>
                <w:rFonts w:hint="default" w:ascii="Times New Roman" w:hAnsi="Times New Roman" w:cs="Times New Roman"/>
                <w:kern w:val="2"/>
                <w:sz w:val="24"/>
                <w:szCs w:val="24"/>
                <w:lang w:val="en-US" w:eastAsia="zh-CN" w:bidi="ar-SA"/>
              </w:rPr>
              <w:t>小</w:t>
            </w:r>
            <w:r>
              <w:rPr>
                <w:rFonts w:hint="default" w:ascii="Times New Roman" w:hAnsi="Times New Roman" w:eastAsia="宋体" w:cs="Times New Roman"/>
                <w:kern w:val="2"/>
                <w:sz w:val="24"/>
                <w:szCs w:val="24"/>
                <w:lang w:val="en-US" w:eastAsia="zh-CN" w:bidi="ar-SA"/>
              </w:rPr>
              <w:t>型</w:t>
            </w:r>
            <w:r>
              <w:rPr>
                <w:rFonts w:hint="default"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最低去除效率90%、最高允许排放浓度1.</w:t>
            </w:r>
            <w:r>
              <w:rPr>
                <w:rFonts w:hint="default" w:ascii="Times New Roman" w:hAnsi="Times New Roman"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mg/m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w:t>
            </w:r>
          </w:p>
        </w:tc>
      </w:tr>
      <w:tr w14:paraId="345D4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681" w:type="pct"/>
            <w:vMerge w:val="continue"/>
            <w:noWrap w:val="0"/>
            <w:vAlign w:val="center"/>
          </w:tcPr>
          <w:p w14:paraId="2354D91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p>
        </w:tc>
        <w:tc>
          <w:tcPr>
            <w:tcW w:w="697" w:type="pct"/>
            <w:noWrap w:val="0"/>
            <w:vAlign w:val="center"/>
          </w:tcPr>
          <w:p w14:paraId="0273D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p w14:paraId="0A0E0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排气筒（DA00</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w:t>
            </w:r>
          </w:p>
        </w:tc>
        <w:tc>
          <w:tcPr>
            <w:tcW w:w="490" w:type="pct"/>
            <w:shd w:val="clear" w:color="auto" w:fill="auto"/>
            <w:noWrap w:val="0"/>
            <w:vAlign w:val="center"/>
          </w:tcPr>
          <w:p w14:paraId="1E7AFC4D">
            <w:pPr>
              <w:spacing w:line="240" w:lineRule="exact"/>
              <w:jc w:val="center"/>
              <w:rPr>
                <w:rFonts w:hint="default" w:ascii="Times New Roman" w:hAnsi="Times New Roman" w:eastAsia="宋体" w:cs="Times New Roman"/>
                <w:color w:val="000000"/>
                <w:kern w:val="2"/>
                <w:sz w:val="24"/>
                <w:szCs w:val="24"/>
                <w:u w:val="none"/>
                <w:lang w:val="en-US" w:eastAsia="zh-CN" w:bidi="ar-SA"/>
              </w:rPr>
            </w:pPr>
            <w:r>
              <w:rPr>
                <w:rFonts w:hint="default" w:ascii="Times New Roman" w:hAnsi="Times New Roman" w:eastAsia="宋体" w:cs="Times New Roman"/>
                <w:b w:val="0"/>
                <w:bCs w:val="0"/>
                <w:color w:val="auto"/>
                <w:sz w:val="24"/>
                <w:szCs w:val="24"/>
                <w:highlight w:val="none"/>
                <w:u w:val="none"/>
                <w:vertAlign w:val="baseline"/>
                <w:lang w:val="en-US" w:eastAsia="zh-CN"/>
              </w:rPr>
              <w:t>氨、硫化氢</w:t>
            </w:r>
            <w:r>
              <w:rPr>
                <w:rFonts w:hint="eastAsia" w:cs="Times New Roman"/>
                <w:b w:val="0"/>
                <w:bCs w:val="0"/>
                <w:color w:val="auto"/>
                <w:sz w:val="24"/>
                <w:szCs w:val="24"/>
                <w:highlight w:val="none"/>
                <w:u w:val="none"/>
                <w:vertAlign w:val="baseline"/>
                <w:lang w:val="en-US" w:eastAsia="zh-CN"/>
              </w:rPr>
              <w:t>、</w:t>
            </w:r>
            <w:r>
              <w:rPr>
                <w:rFonts w:hint="default" w:ascii="Times New Roman" w:hAnsi="Times New Roman" w:eastAsia="宋体" w:cs="Times New Roman"/>
                <w:b w:val="0"/>
                <w:bCs w:val="0"/>
                <w:color w:val="auto"/>
                <w:sz w:val="24"/>
                <w:szCs w:val="24"/>
                <w:highlight w:val="none"/>
                <w:u w:val="none"/>
                <w:vertAlign w:val="baseline"/>
                <w:lang w:val="en-US" w:eastAsia="zh-CN"/>
              </w:rPr>
              <w:t>臭气浓度</w:t>
            </w:r>
          </w:p>
        </w:tc>
        <w:tc>
          <w:tcPr>
            <w:tcW w:w="1355" w:type="pct"/>
            <w:shd w:val="clear" w:color="auto" w:fill="auto"/>
            <w:noWrap w:val="0"/>
            <w:vAlign w:val="center"/>
          </w:tcPr>
          <w:p w14:paraId="5A29B10B">
            <w:pPr>
              <w:spacing w:line="240" w:lineRule="exact"/>
              <w:jc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sz w:val="24"/>
                <w:szCs w:val="24"/>
                <w:highlight w:val="none"/>
                <w:vertAlign w:val="baseline"/>
                <w:lang w:val="en-US" w:eastAsia="zh-CN"/>
              </w:rPr>
              <w:t>经集气罩收集后进入活性炭吸附装置处理后最终从</w:t>
            </w:r>
            <w:r>
              <w:rPr>
                <w:rFonts w:hint="default" w:ascii="Times New Roman" w:hAnsi="Times New Roman" w:eastAsia="宋体" w:cs="Times New Roman"/>
                <w:color w:val="auto"/>
                <w:sz w:val="24"/>
                <w:szCs w:val="24"/>
                <w:u w:val="none"/>
                <w:lang w:val="en-US" w:eastAsia="zh-CN"/>
              </w:rPr>
              <w:t>15m高排气筒</w:t>
            </w:r>
            <w:r>
              <w:rPr>
                <w:rFonts w:hint="default" w:ascii="Times New Roman" w:hAnsi="Times New Roman" w:eastAsia="宋体" w:cs="Times New Roman"/>
                <w:color w:val="auto"/>
                <w:sz w:val="24"/>
                <w:szCs w:val="24"/>
                <w:highlight w:val="none"/>
                <w:u w:val="none"/>
                <w:vertAlign w:val="baseline"/>
                <w:lang w:val="en-US" w:eastAsia="zh-CN"/>
              </w:rPr>
              <w:t>（DA00</w:t>
            </w:r>
            <w:r>
              <w:rPr>
                <w:rFonts w:hint="eastAsia" w:cs="Times New Roman"/>
                <w:color w:val="auto"/>
                <w:sz w:val="24"/>
                <w:szCs w:val="24"/>
                <w:highlight w:val="none"/>
                <w:u w:val="none"/>
                <w:vertAlign w:val="baseline"/>
                <w:lang w:val="en-US" w:eastAsia="zh-CN"/>
              </w:rPr>
              <w:t>3</w:t>
            </w:r>
            <w:r>
              <w:rPr>
                <w:rFonts w:hint="default" w:ascii="Times New Roman" w:hAnsi="Times New Roman" w:eastAsia="宋体" w:cs="Times New Roman"/>
                <w:color w:val="auto"/>
                <w:sz w:val="24"/>
                <w:szCs w:val="24"/>
                <w:highlight w:val="none"/>
                <w:u w:val="none"/>
                <w:vertAlign w:val="baseline"/>
                <w:lang w:val="en-US" w:eastAsia="zh-CN"/>
              </w:rPr>
              <w:t>）达标排放</w:t>
            </w:r>
          </w:p>
        </w:tc>
        <w:tc>
          <w:tcPr>
            <w:tcW w:w="1775" w:type="pct"/>
            <w:shd w:val="clear" w:color="auto" w:fill="auto"/>
            <w:noWrap w:val="0"/>
            <w:vAlign w:val="center"/>
          </w:tcPr>
          <w:p w14:paraId="799B1972">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《恶臭污染物排放标准》</w:t>
            </w:r>
          </w:p>
          <w:p w14:paraId="292FFB4D">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sz w:val="24"/>
                <w:szCs w:val="24"/>
                <w:highlight w:val="none"/>
              </w:rPr>
              <w:t>（GB14554-93）要求</w:t>
            </w:r>
          </w:p>
        </w:tc>
      </w:tr>
      <w:tr w14:paraId="4FF9D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681" w:type="pct"/>
            <w:vMerge w:val="continue"/>
            <w:noWrap w:val="0"/>
            <w:vAlign w:val="center"/>
          </w:tcPr>
          <w:p w14:paraId="0A3D999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p>
        </w:tc>
        <w:tc>
          <w:tcPr>
            <w:tcW w:w="697" w:type="pct"/>
            <w:noWrap w:val="0"/>
            <w:vAlign w:val="center"/>
          </w:tcPr>
          <w:p w14:paraId="71D3F635">
            <w:pPr>
              <w:keepNext w:val="0"/>
              <w:keepLines w:val="0"/>
              <w:pageBreakBefore w:val="0"/>
              <w:widowControl w:val="0"/>
              <w:kinsoku/>
              <w:overflowPunct/>
              <w:topLinePunct w:val="0"/>
              <w:autoSpaceDE/>
              <w:autoSpaceDN/>
              <w:bidi w:val="0"/>
              <w:spacing w:line="240" w:lineRule="auto"/>
              <w:jc w:val="center"/>
              <w:textAlignment w:val="auto"/>
              <w:rPr>
                <w:rFonts w:hint="eastAsia" w:cs="Times New Roman"/>
                <w:color w:val="000000"/>
                <w:kern w:val="2"/>
                <w:sz w:val="24"/>
                <w:szCs w:val="24"/>
                <w:u w:val="none"/>
                <w:lang w:val="en-US" w:eastAsia="zh-CN" w:bidi="ar-SA"/>
              </w:rPr>
            </w:pPr>
            <w:r>
              <w:rPr>
                <w:rFonts w:hint="eastAsia" w:cs="Times New Roman"/>
                <w:color w:val="000000"/>
                <w:kern w:val="2"/>
                <w:sz w:val="24"/>
                <w:szCs w:val="24"/>
                <w:u w:val="none"/>
                <w:lang w:val="en-US" w:eastAsia="zh-CN" w:bidi="ar-SA"/>
              </w:rPr>
              <w:t>无组织</w:t>
            </w:r>
          </w:p>
          <w:p w14:paraId="02FBEE17">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宋体" w:cs="Times New Roman"/>
                <w:color w:val="000000"/>
                <w:kern w:val="2"/>
                <w:sz w:val="24"/>
                <w:szCs w:val="24"/>
                <w:u w:val="none"/>
                <w:lang w:val="en-US" w:eastAsia="zh-CN" w:bidi="ar-SA"/>
              </w:rPr>
            </w:pPr>
            <w:r>
              <w:rPr>
                <w:rFonts w:hint="eastAsia" w:cs="Times New Roman"/>
                <w:color w:val="000000"/>
                <w:kern w:val="2"/>
                <w:sz w:val="24"/>
                <w:szCs w:val="24"/>
                <w:u w:val="none"/>
                <w:lang w:val="en-US" w:eastAsia="zh-CN" w:bidi="ar-SA"/>
              </w:rPr>
              <w:t>废气</w:t>
            </w:r>
          </w:p>
        </w:tc>
        <w:tc>
          <w:tcPr>
            <w:tcW w:w="490" w:type="pct"/>
            <w:noWrap w:val="0"/>
            <w:vAlign w:val="center"/>
          </w:tcPr>
          <w:p w14:paraId="4C4A52E7">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 w:val="0"/>
                <w:bCs w:val="0"/>
                <w:color w:val="auto"/>
                <w:sz w:val="24"/>
                <w:szCs w:val="24"/>
                <w:highlight w:val="none"/>
                <w:u w:val="none"/>
                <w:vertAlign w:val="baseline"/>
                <w:lang w:val="en-US" w:eastAsia="zh-CN"/>
              </w:rPr>
            </w:pPr>
            <w:r>
              <w:rPr>
                <w:rFonts w:hint="default" w:ascii="Times New Roman" w:hAnsi="Times New Roman" w:cs="Times New Roman"/>
                <w:b w:val="0"/>
                <w:bCs w:val="0"/>
                <w:color w:val="auto"/>
                <w:sz w:val="24"/>
                <w:szCs w:val="24"/>
                <w:highlight w:val="none"/>
                <w:u w:val="none"/>
                <w:vertAlign w:val="baseline"/>
                <w:lang w:val="en-US" w:eastAsia="zh-CN"/>
              </w:rPr>
              <w:t>颗粒物、</w:t>
            </w:r>
            <w:r>
              <w:rPr>
                <w:rFonts w:hint="default" w:ascii="Times New Roman" w:hAnsi="Times New Roman" w:cs="Times New Roman"/>
                <w:sz w:val="24"/>
                <w:szCs w:val="24"/>
                <w:highlight w:val="none"/>
                <w:lang w:val="en-US" w:eastAsia="zh-CN"/>
              </w:rPr>
              <w:t>SO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vertAlign w:val="baseline"/>
                <w:lang w:val="en-US" w:eastAsia="zh-CN"/>
              </w:rPr>
              <w:t>、</w:t>
            </w:r>
            <w:r>
              <w:rPr>
                <w:rFonts w:hint="default" w:ascii="Times New Roman" w:hAnsi="Times New Roman" w:cs="Times New Roman"/>
                <w:b w:val="0"/>
                <w:bCs w:val="0"/>
                <w:color w:val="auto"/>
                <w:sz w:val="24"/>
                <w:szCs w:val="24"/>
                <w:highlight w:val="none"/>
                <w:u w:val="none"/>
                <w:lang w:val="en-US" w:eastAsia="zh-CN"/>
              </w:rPr>
              <w:t>NO</w:t>
            </w:r>
            <w:r>
              <w:rPr>
                <w:rFonts w:hint="default" w:ascii="Times New Roman" w:hAnsi="Times New Roman" w:cs="Times New Roman"/>
                <w:b w:val="0"/>
                <w:bCs w:val="0"/>
                <w:color w:val="auto"/>
                <w:sz w:val="24"/>
                <w:szCs w:val="24"/>
                <w:highlight w:val="none"/>
                <w:u w:val="none"/>
                <w:vertAlign w:val="subscript"/>
                <w:lang w:val="en-US" w:eastAsia="zh-CN"/>
              </w:rPr>
              <w:t>2</w:t>
            </w:r>
            <w:r>
              <w:rPr>
                <w:rFonts w:hint="default" w:ascii="Times New Roman" w:hAnsi="Times New Roman" w:cs="Times New Roman"/>
                <w:b w:val="0"/>
                <w:bCs w:val="0"/>
                <w:color w:val="auto"/>
                <w:sz w:val="24"/>
                <w:szCs w:val="24"/>
                <w:highlight w:val="none"/>
                <w:u w:val="none"/>
                <w:vertAlign w:val="baseline"/>
                <w:lang w:val="en-US" w:eastAsia="zh-CN"/>
              </w:rPr>
              <w:t>、非甲烷</w:t>
            </w:r>
          </w:p>
          <w:p w14:paraId="6236427E">
            <w:pPr>
              <w:pStyle w:val="11"/>
              <w:keepNext w:val="0"/>
              <w:keepLines w:val="0"/>
              <w:pageBreakBefore w:val="0"/>
              <w:widowControl w:val="0"/>
              <w:kinsoku/>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 w:val="0"/>
                <w:bCs w:val="0"/>
                <w:color w:val="auto"/>
                <w:sz w:val="24"/>
                <w:szCs w:val="24"/>
                <w:highlight w:val="none"/>
                <w:u w:val="none"/>
                <w:vertAlign w:val="baseline"/>
                <w:lang w:val="en-US" w:eastAsia="zh-CN"/>
              </w:rPr>
            </w:pPr>
            <w:r>
              <w:rPr>
                <w:rFonts w:hint="default" w:ascii="Times New Roman" w:hAnsi="Times New Roman" w:cs="Times New Roman"/>
                <w:b w:val="0"/>
                <w:bCs w:val="0"/>
                <w:color w:val="auto"/>
                <w:sz w:val="24"/>
                <w:szCs w:val="24"/>
                <w:highlight w:val="none"/>
                <w:u w:val="none"/>
                <w:vertAlign w:val="baseline"/>
                <w:lang w:val="en-US" w:eastAsia="zh-CN"/>
              </w:rPr>
              <w:t>总烃、</w:t>
            </w:r>
          </w:p>
          <w:p w14:paraId="621CC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val="0"/>
                <w:color w:val="auto"/>
                <w:sz w:val="24"/>
                <w:szCs w:val="24"/>
                <w:highlight w:val="none"/>
                <w:u w:val="none"/>
                <w:vertAlign w:val="baseline"/>
                <w:lang w:val="en-US" w:eastAsia="zh-CN"/>
              </w:rPr>
              <w:t>臭气浓度</w:t>
            </w:r>
            <w:r>
              <w:rPr>
                <w:rFonts w:hint="eastAsia" w:cs="Times New Roman"/>
                <w:b w:val="0"/>
                <w:bCs w:val="0"/>
                <w:color w:val="auto"/>
                <w:sz w:val="24"/>
                <w:szCs w:val="24"/>
                <w:highlight w:val="none"/>
                <w:u w:val="none"/>
                <w:vertAlign w:val="baseline"/>
                <w:lang w:val="en-US" w:eastAsia="zh-CN"/>
              </w:rPr>
              <w:t>、氨、硫化氢</w:t>
            </w:r>
          </w:p>
        </w:tc>
        <w:tc>
          <w:tcPr>
            <w:tcW w:w="1355" w:type="pct"/>
            <w:noWrap w:val="0"/>
            <w:vAlign w:val="center"/>
          </w:tcPr>
          <w:p w14:paraId="025BA328">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4"/>
                <w:szCs w:val="24"/>
                <w:highlight w:val="none"/>
                <w:u w:val="none"/>
                <w:lang w:val="en-US" w:eastAsia="zh-CN" w:bidi="ar-SA"/>
              </w:rPr>
            </w:pPr>
            <w:r>
              <w:rPr>
                <w:rFonts w:hint="eastAsia" w:cs="Times New Roman"/>
                <w:color w:val="000000"/>
                <w:kern w:val="0"/>
                <w:sz w:val="24"/>
                <w:szCs w:val="24"/>
                <w:highlight w:val="none"/>
                <w:u w:val="none"/>
                <w:lang w:val="en-US" w:eastAsia="zh-CN" w:bidi="ar-SA"/>
              </w:rPr>
              <w:t>加强车间内通风</w:t>
            </w:r>
          </w:p>
        </w:tc>
        <w:tc>
          <w:tcPr>
            <w:tcW w:w="1775" w:type="pct"/>
            <w:noWrap w:val="0"/>
            <w:vAlign w:val="center"/>
          </w:tcPr>
          <w:p w14:paraId="60496FB3">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000000"/>
                <w:sz w:val="24"/>
                <w:szCs w:val="24"/>
                <w:highlight w:val="none"/>
              </w:rPr>
              <w:t>《大气污染物综合排放标准》(GB16297</w:t>
            </w:r>
            <w:r>
              <w:rPr>
                <w:rFonts w:hint="default" w:ascii="Times New Roman" w:hAnsi="Times New Roman" w:eastAsia="宋体"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rPr>
              <w:t>1996)表2要求</w:t>
            </w:r>
            <w:r>
              <w:rPr>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kern w:val="2"/>
                <w:sz w:val="24"/>
                <w:szCs w:val="24"/>
                <w:highlight w:val="none"/>
                <w:lang w:val="en-US" w:eastAsia="zh-CN" w:bidi="ar"/>
              </w:rPr>
              <w:t>《关于全省开展工业企业挥发性有机物专项治理工作中排放建议值的通知》（豫环攻坚办〔2017〕162号）</w:t>
            </w:r>
            <w:r>
              <w:rPr>
                <w:rFonts w:hint="default" w:ascii="Times New Roman" w:hAnsi="Times New Roman" w:cs="Times New Roman"/>
                <w:b w:val="0"/>
                <w:bCs w:val="0"/>
                <w:kern w:val="2"/>
                <w:sz w:val="24"/>
                <w:szCs w:val="24"/>
                <w:highlight w:val="none"/>
                <w:lang w:val="en-US" w:eastAsia="zh-CN" w:bidi="ar"/>
              </w:rPr>
              <w:t>中</w:t>
            </w:r>
            <w:r>
              <w:rPr>
                <w:rFonts w:hint="default" w:ascii="Times New Roman" w:hAnsi="Times New Roman" w:eastAsia="宋体" w:cs="Times New Roman"/>
                <w:b w:val="0"/>
                <w:bCs w:val="0"/>
                <w:kern w:val="2"/>
                <w:sz w:val="24"/>
                <w:szCs w:val="24"/>
                <w:highlight w:val="none"/>
                <w:lang w:val="en-US" w:eastAsia="zh-CN" w:bidi="ar"/>
              </w:rPr>
              <w:t>无组织：工业企业边界挥发性有机物排放建议值2.0mg/m</w:t>
            </w:r>
            <w:r>
              <w:rPr>
                <w:rFonts w:hint="default" w:ascii="Times New Roman" w:hAnsi="Times New Roman" w:eastAsia="宋体" w:cs="Times New Roman"/>
                <w:b w:val="0"/>
                <w:bCs w:val="0"/>
                <w:kern w:val="2"/>
                <w:sz w:val="24"/>
                <w:szCs w:val="24"/>
                <w:highlight w:val="none"/>
                <w:vertAlign w:val="superscript"/>
                <w:lang w:val="en-US" w:eastAsia="zh-CN" w:bidi="ar"/>
              </w:rPr>
              <w:t>3</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臭气浓度能够满足《恶臭污染物排放标准》（GB14554-93）排放标准值的要求</w:t>
            </w:r>
          </w:p>
        </w:tc>
      </w:tr>
      <w:tr w14:paraId="7E118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81" w:type="pct"/>
            <w:vMerge w:val="restart"/>
            <w:noWrap w:val="0"/>
            <w:vAlign w:val="center"/>
          </w:tcPr>
          <w:p w14:paraId="5BA9B19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sz w:val="24"/>
                <w:lang w:val="en-US" w:eastAsia="zh-CN"/>
              </w:rPr>
            </w:pPr>
            <w:r>
              <w:rPr>
                <w:rFonts w:hint="eastAsia" w:cs="Times New Roman"/>
                <w:b/>
                <w:bCs/>
                <w:sz w:val="24"/>
                <w:lang w:val="en-US" w:eastAsia="zh-CN"/>
              </w:rPr>
              <w:t>地表水</w:t>
            </w:r>
          </w:p>
          <w:p w14:paraId="08D5DD3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lang w:val="en-US" w:eastAsia="zh-CN"/>
              </w:rPr>
            </w:pPr>
            <w:r>
              <w:rPr>
                <w:rFonts w:hint="eastAsia" w:cs="Times New Roman"/>
                <w:b/>
                <w:bCs/>
                <w:sz w:val="24"/>
                <w:lang w:val="en-US" w:eastAsia="zh-CN"/>
              </w:rPr>
              <w:t>环境</w:t>
            </w:r>
          </w:p>
        </w:tc>
        <w:tc>
          <w:tcPr>
            <w:tcW w:w="697" w:type="pct"/>
            <w:shd w:val="clear" w:color="auto" w:fill="auto"/>
            <w:noWrap w:val="0"/>
            <w:vAlign w:val="center"/>
          </w:tcPr>
          <w:p w14:paraId="783063AC">
            <w:pPr>
              <w:spacing w:line="240" w:lineRule="exact"/>
              <w:jc w:val="center"/>
              <w:rPr>
                <w:rFonts w:hint="default" w:ascii="Times New Roman" w:hAnsi="Times New Roman" w:eastAsia="宋体" w:cs="Times New Roman"/>
                <w:color w:val="000000"/>
                <w:kern w:val="2"/>
                <w:sz w:val="24"/>
                <w:szCs w:val="24"/>
                <w:u w:val="none"/>
                <w:lang w:val="en-US" w:eastAsia="zh-CN" w:bidi="ar-SA"/>
              </w:rPr>
            </w:pPr>
            <w:r>
              <w:rPr>
                <w:rFonts w:hint="eastAsia"/>
                <w:color w:val="000000"/>
                <w:sz w:val="24"/>
                <w:szCs w:val="24"/>
                <w:u w:val="none"/>
                <w:lang w:val="en-US" w:eastAsia="zh-CN"/>
              </w:rPr>
              <w:t>冷却水</w:t>
            </w:r>
          </w:p>
        </w:tc>
        <w:tc>
          <w:tcPr>
            <w:tcW w:w="490" w:type="pct"/>
            <w:noWrap w:val="0"/>
            <w:vAlign w:val="center"/>
          </w:tcPr>
          <w:p w14:paraId="00B439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w:t>
            </w:r>
          </w:p>
        </w:tc>
        <w:tc>
          <w:tcPr>
            <w:tcW w:w="1355" w:type="pct"/>
            <w:shd w:val="clear" w:color="auto" w:fill="auto"/>
            <w:noWrap w:val="0"/>
            <w:vAlign w:val="center"/>
          </w:tcPr>
          <w:p w14:paraId="29588672">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cs="Times New Roman"/>
                <w:sz w:val="24"/>
                <w:szCs w:val="24"/>
                <w:highlight w:val="none"/>
                <w:lang w:val="en-US" w:eastAsia="zh-CN"/>
              </w:rPr>
              <w:t>冷却水在冷却水系统内</w:t>
            </w:r>
            <w:r>
              <w:rPr>
                <w:rFonts w:hint="default" w:ascii="Times New Roman" w:hAnsi="Times New Roman" w:cs="Times New Roman"/>
                <w:sz w:val="24"/>
                <w:szCs w:val="24"/>
                <w:highlight w:val="none"/>
              </w:rPr>
              <w:t>循环利用，不外排</w:t>
            </w:r>
            <w:r>
              <w:rPr>
                <w:rFonts w:hint="eastAsia" w:cs="Times New Roman"/>
                <w:color w:val="auto"/>
                <w:kern w:val="2"/>
                <w:sz w:val="24"/>
                <w:szCs w:val="24"/>
                <w:highlight w:val="none"/>
                <w:u w:val="none"/>
                <w:lang w:val="en-US" w:eastAsia="zh-CN" w:bidi="ar-SA"/>
              </w:rPr>
              <w:t>。</w:t>
            </w:r>
          </w:p>
        </w:tc>
        <w:tc>
          <w:tcPr>
            <w:tcW w:w="1775" w:type="pct"/>
            <w:vMerge w:val="restart"/>
            <w:noWrap w:val="0"/>
            <w:vAlign w:val="center"/>
          </w:tcPr>
          <w:p w14:paraId="700E76E2">
            <w:pPr>
              <w:spacing w:line="24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《污水综合排放标准》（GB8978-1996）表4</w:t>
            </w:r>
          </w:p>
          <w:p w14:paraId="63836B9D">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color w:val="auto"/>
                <w:sz w:val="24"/>
                <w:szCs w:val="24"/>
                <w:highlight w:val="none"/>
              </w:rPr>
              <w:t>三级</w:t>
            </w:r>
            <w:r>
              <w:rPr>
                <w:rFonts w:hint="default" w:ascii="Times New Roman" w:hAnsi="Times New Roman" w:eastAsia="宋体" w:cs="Times New Roman"/>
                <w:color w:val="auto"/>
                <w:sz w:val="24"/>
                <w:szCs w:val="24"/>
                <w:highlight w:val="none"/>
                <w:lang w:val="en-US" w:eastAsia="zh-CN"/>
              </w:rPr>
              <w:t>标准</w:t>
            </w:r>
            <w:r>
              <w:rPr>
                <w:rFonts w:hint="eastAsia" w:cs="Times New Roman"/>
                <w:color w:val="auto"/>
                <w:sz w:val="24"/>
                <w:szCs w:val="24"/>
                <w:highlight w:val="none"/>
                <w:lang w:val="en-US" w:eastAsia="zh-CN"/>
              </w:rPr>
              <w:t>、叶县廉村镇污水处理站进水限值要求</w:t>
            </w:r>
          </w:p>
        </w:tc>
      </w:tr>
      <w:tr w14:paraId="0BC00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81" w:type="pct"/>
            <w:vMerge w:val="continue"/>
            <w:noWrap w:val="0"/>
            <w:vAlign w:val="center"/>
          </w:tcPr>
          <w:p w14:paraId="5EC55A5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p>
        </w:tc>
        <w:tc>
          <w:tcPr>
            <w:tcW w:w="697" w:type="pct"/>
            <w:shd w:val="clear" w:color="auto" w:fill="auto"/>
            <w:noWrap w:val="0"/>
            <w:vAlign w:val="center"/>
          </w:tcPr>
          <w:p w14:paraId="79257CF7">
            <w:pPr>
              <w:spacing w:line="240" w:lineRule="exact"/>
              <w:jc w:val="center"/>
              <w:rPr>
                <w:rFonts w:hint="default"/>
                <w:color w:val="000000"/>
                <w:sz w:val="24"/>
                <w:szCs w:val="24"/>
                <w:u w:val="none"/>
                <w:lang w:val="en-US" w:eastAsia="zh-CN"/>
              </w:rPr>
            </w:pPr>
            <w:r>
              <w:rPr>
                <w:rFonts w:hint="eastAsia"/>
                <w:color w:val="000000"/>
                <w:sz w:val="24"/>
                <w:szCs w:val="24"/>
                <w:u w:val="none"/>
                <w:lang w:val="en-US" w:eastAsia="zh-CN"/>
              </w:rPr>
              <w:t>生产</w:t>
            </w:r>
          </w:p>
          <w:p w14:paraId="450B09CD">
            <w:pPr>
              <w:spacing w:line="240" w:lineRule="exact"/>
              <w:jc w:val="center"/>
              <w:rPr>
                <w:rFonts w:hint="default" w:ascii="Times New Roman" w:hAnsi="Times New Roman" w:eastAsia="宋体" w:cs="Times New Roman"/>
                <w:color w:val="000000"/>
                <w:kern w:val="2"/>
                <w:sz w:val="24"/>
                <w:szCs w:val="24"/>
                <w:u w:val="none"/>
                <w:lang w:val="en-US" w:eastAsia="zh-CN" w:bidi="ar-SA"/>
              </w:rPr>
            </w:pPr>
            <w:r>
              <w:rPr>
                <w:rFonts w:hint="eastAsia"/>
                <w:color w:val="000000"/>
                <w:sz w:val="24"/>
                <w:szCs w:val="24"/>
                <w:u w:val="none"/>
                <w:lang w:val="en-US" w:eastAsia="zh-CN"/>
              </w:rPr>
              <w:t>废水</w:t>
            </w:r>
          </w:p>
        </w:tc>
        <w:tc>
          <w:tcPr>
            <w:tcW w:w="490" w:type="pct"/>
            <w:vMerge w:val="restart"/>
            <w:noWrap w:val="0"/>
            <w:vAlign w:val="center"/>
          </w:tcPr>
          <w:p w14:paraId="5D6578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color w:val="000000"/>
                <w:sz w:val="24"/>
                <w:szCs w:val="24"/>
                <w:u w:val="none"/>
              </w:rPr>
              <w:t>COD、BOD</w:t>
            </w:r>
            <w:r>
              <w:rPr>
                <w:color w:val="000000"/>
                <w:sz w:val="24"/>
                <w:szCs w:val="24"/>
                <w:u w:val="none"/>
                <w:vertAlign w:val="subscript"/>
              </w:rPr>
              <w:t>5</w:t>
            </w:r>
            <w:r>
              <w:rPr>
                <w:color w:val="000000"/>
                <w:sz w:val="24"/>
                <w:szCs w:val="24"/>
                <w:u w:val="none"/>
              </w:rPr>
              <w:t>、SS、NH</w:t>
            </w:r>
            <w:r>
              <w:rPr>
                <w:color w:val="000000"/>
                <w:sz w:val="24"/>
                <w:szCs w:val="24"/>
                <w:u w:val="none"/>
                <w:vertAlign w:val="subscript"/>
              </w:rPr>
              <w:t>3</w:t>
            </w:r>
            <w:r>
              <w:rPr>
                <w:color w:val="000000"/>
                <w:sz w:val="24"/>
                <w:szCs w:val="24"/>
                <w:u w:val="none"/>
              </w:rPr>
              <w:t>-N</w:t>
            </w:r>
          </w:p>
        </w:tc>
        <w:tc>
          <w:tcPr>
            <w:tcW w:w="1355" w:type="pct"/>
            <w:shd w:val="clear" w:color="auto" w:fill="auto"/>
            <w:noWrap w:val="0"/>
            <w:vAlign w:val="center"/>
          </w:tcPr>
          <w:p w14:paraId="32A80328">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sz w:val="24"/>
                <w:szCs w:val="24"/>
                <w:highlight w:val="none"/>
              </w:rPr>
              <w:t>生产废水</w:t>
            </w:r>
            <w:r>
              <w:rPr>
                <w:rFonts w:hint="eastAsia" w:cs="Times New Roman"/>
                <w:sz w:val="24"/>
                <w:szCs w:val="24"/>
                <w:highlight w:val="none"/>
                <w:lang w:val="en-US" w:eastAsia="zh-CN"/>
              </w:rPr>
              <w:t>主要是清洗废水、软化废水和锅炉废水经过隔油池</w:t>
            </w:r>
            <w:r>
              <w:rPr>
                <w:rFonts w:hint="default" w:ascii="Times New Roman" w:hAnsi="Times New Roman" w:cs="Times New Roman"/>
                <w:sz w:val="24"/>
                <w:szCs w:val="24"/>
                <w:highlight w:val="none"/>
                <w:lang w:eastAsia="zh-CN"/>
              </w:rPr>
              <w:t>沉淀后</w:t>
            </w:r>
            <w:r>
              <w:rPr>
                <w:rFonts w:hint="eastAsia" w:cs="Times New Roman"/>
                <w:sz w:val="24"/>
                <w:szCs w:val="24"/>
                <w:highlight w:val="none"/>
                <w:lang w:val="en-US" w:eastAsia="zh-CN"/>
              </w:rPr>
              <w:t>进入污水处理设施内处理再外排到污水管网</w:t>
            </w:r>
          </w:p>
        </w:tc>
        <w:tc>
          <w:tcPr>
            <w:tcW w:w="1775" w:type="pct"/>
            <w:vMerge w:val="continue"/>
            <w:noWrap w:val="0"/>
            <w:vAlign w:val="center"/>
          </w:tcPr>
          <w:p w14:paraId="28C5BB8D">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4"/>
                <w:szCs w:val="24"/>
                <w:lang w:val="en-US" w:eastAsia="zh-CN" w:bidi="ar"/>
              </w:rPr>
            </w:pPr>
          </w:p>
        </w:tc>
      </w:tr>
      <w:tr w14:paraId="0B8D6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1" w:type="pct"/>
            <w:vMerge w:val="continue"/>
            <w:noWrap w:val="0"/>
            <w:vAlign w:val="center"/>
          </w:tcPr>
          <w:p w14:paraId="41B0C8B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p>
        </w:tc>
        <w:tc>
          <w:tcPr>
            <w:tcW w:w="697" w:type="pct"/>
            <w:noWrap w:val="0"/>
            <w:vAlign w:val="center"/>
          </w:tcPr>
          <w:p w14:paraId="1C039AB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宋体" w:cs="Times New Roman"/>
                <w:color w:val="000000"/>
                <w:kern w:val="2"/>
                <w:sz w:val="24"/>
                <w:szCs w:val="24"/>
                <w:u w:val="none"/>
                <w:lang w:val="en-US" w:eastAsia="zh-CN" w:bidi="ar-SA"/>
              </w:rPr>
            </w:pPr>
            <w:r>
              <w:rPr>
                <w:color w:val="000000"/>
                <w:sz w:val="24"/>
                <w:szCs w:val="24"/>
                <w:u w:val="none"/>
              </w:rPr>
              <w:t>生活污水</w:t>
            </w:r>
          </w:p>
        </w:tc>
        <w:tc>
          <w:tcPr>
            <w:tcW w:w="490" w:type="pct"/>
            <w:vMerge w:val="continue"/>
            <w:noWrap w:val="0"/>
            <w:vAlign w:val="center"/>
          </w:tcPr>
          <w:p w14:paraId="2E2AD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p>
        </w:tc>
        <w:tc>
          <w:tcPr>
            <w:tcW w:w="1355" w:type="pct"/>
            <w:shd w:val="clear" w:color="auto" w:fill="auto"/>
            <w:noWrap w:val="0"/>
            <w:vAlign w:val="center"/>
          </w:tcPr>
          <w:p w14:paraId="7C4E62DE">
            <w:pPr>
              <w:keepNext w:val="0"/>
              <w:keepLines w:val="0"/>
              <w:pageBreakBefore w:val="0"/>
              <w:widowControl w:val="0"/>
              <w:kinsoku/>
              <w:overflowPunct/>
              <w:topLinePunct w:val="0"/>
              <w:autoSpaceDE/>
              <w:autoSpaceDN/>
              <w:bidi w:val="0"/>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sz w:val="24"/>
                <w:szCs w:val="24"/>
                <w:highlight w:val="none"/>
                <w:lang w:val="en-US" w:eastAsia="zh-CN"/>
              </w:rPr>
              <w:t>生活污水</w:t>
            </w:r>
            <w:r>
              <w:rPr>
                <w:rFonts w:hint="default" w:ascii="Times New Roman" w:hAnsi="Times New Roman" w:cs="Times New Roman"/>
                <w:color w:val="000000"/>
                <w:sz w:val="24"/>
                <w:szCs w:val="24"/>
                <w:highlight w:val="none"/>
              </w:rPr>
              <w:t>经化粪池</w:t>
            </w:r>
            <w:r>
              <w:rPr>
                <w:rFonts w:hint="eastAsia" w:cs="Times New Roman"/>
                <w:color w:val="000000"/>
                <w:sz w:val="24"/>
                <w:szCs w:val="24"/>
                <w:highlight w:val="none"/>
                <w:lang w:val="en-US" w:eastAsia="zh-CN"/>
              </w:rPr>
              <w:t>（5m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rPr>
              <w:t>处理后</w:t>
            </w:r>
            <w:r>
              <w:rPr>
                <w:rFonts w:hint="eastAsia" w:cs="Times New Roman"/>
                <w:sz w:val="24"/>
                <w:szCs w:val="24"/>
                <w:highlight w:val="none"/>
                <w:lang w:val="en-US" w:eastAsia="zh-CN"/>
              </w:rPr>
              <w:t>外排到污水管网最终排入叶县廉村镇污水处理站</w:t>
            </w:r>
          </w:p>
        </w:tc>
        <w:tc>
          <w:tcPr>
            <w:tcW w:w="1775" w:type="pct"/>
            <w:vMerge w:val="continue"/>
            <w:noWrap w:val="0"/>
            <w:vAlign w:val="center"/>
          </w:tcPr>
          <w:p w14:paraId="62B23F36">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4"/>
                <w:szCs w:val="24"/>
                <w:lang w:val="en-US" w:eastAsia="zh-CN" w:bidi="ar"/>
              </w:rPr>
            </w:pPr>
          </w:p>
        </w:tc>
      </w:tr>
      <w:tr w14:paraId="0474C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81" w:type="pct"/>
            <w:noWrap w:val="0"/>
            <w:vAlign w:val="center"/>
          </w:tcPr>
          <w:p w14:paraId="5600EDE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声环境</w:t>
            </w:r>
          </w:p>
        </w:tc>
        <w:tc>
          <w:tcPr>
            <w:tcW w:w="1187" w:type="pct"/>
            <w:gridSpan w:val="2"/>
            <w:noWrap w:val="0"/>
            <w:vAlign w:val="center"/>
          </w:tcPr>
          <w:p w14:paraId="0F732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各高噪声设备工作时的机械噪声</w:t>
            </w:r>
          </w:p>
        </w:tc>
        <w:tc>
          <w:tcPr>
            <w:tcW w:w="1355" w:type="pct"/>
            <w:noWrap w:val="0"/>
            <w:vAlign w:val="center"/>
          </w:tcPr>
          <w:p w14:paraId="749381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优先选用低噪声设备，通过减震基础、室内隔声及距离衰减等</w:t>
            </w:r>
          </w:p>
        </w:tc>
        <w:tc>
          <w:tcPr>
            <w:tcW w:w="1775" w:type="pct"/>
            <w:noWrap w:val="0"/>
            <w:vAlign w:val="center"/>
          </w:tcPr>
          <w:p w14:paraId="62BAF7D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《工业企业厂界环境噪声排放标准》（GB12</w:t>
            </w:r>
            <w:r>
              <w:rPr>
                <w:rFonts w:hint="eastAsia" w:ascii="Times New Roman" w:hAnsi="Times New Roman" w:eastAsia="宋体" w:cs="Times New Roman"/>
                <w:color w:val="auto"/>
                <w:sz w:val="24"/>
                <w:szCs w:val="24"/>
                <w:highlight w:val="none"/>
                <w:lang w:val="en-US" w:eastAsia="zh-CN"/>
              </w:rPr>
              <w:t>348-2008）</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类</w:t>
            </w:r>
            <w:r>
              <w:rPr>
                <w:rFonts w:hint="eastAsia" w:ascii="Times New Roman" w:hAnsi="Times New Roman" w:eastAsia="宋体" w:cs="Times New Roman"/>
                <w:color w:val="auto"/>
                <w:sz w:val="24"/>
                <w:szCs w:val="24"/>
                <w:highlight w:val="none"/>
                <w:lang w:val="en-US" w:eastAsia="zh-CN"/>
              </w:rPr>
              <w:t>标</w:t>
            </w:r>
            <w:r>
              <w:rPr>
                <w:rFonts w:hint="eastAsia" w:ascii="Times New Roman" w:hAnsi="Times New Roman" w:eastAsia="宋体" w:cs="Times New Roman"/>
                <w:color w:val="auto"/>
                <w:sz w:val="24"/>
                <w:szCs w:val="24"/>
                <w:lang w:val="en-US" w:eastAsia="zh-CN"/>
              </w:rPr>
              <w:t>准</w:t>
            </w:r>
          </w:p>
        </w:tc>
      </w:tr>
      <w:tr w14:paraId="154AE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81" w:type="pct"/>
            <w:noWrap w:val="0"/>
            <w:vAlign w:val="center"/>
          </w:tcPr>
          <w:p w14:paraId="68D75E2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电磁辐射</w:t>
            </w:r>
          </w:p>
        </w:tc>
        <w:tc>
          <w:tcPr>
            <w:tcW w:w="4318" w:type="pct"/>
            <w:gridSpan w:val="4"/>
            <w:noWrap w:val="0"/>
            <w:vAlign w:val="center"/>
          </w:tcPr>
          <w:p w14:paraId="3FA67B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不涉及</w:t>
            </w:r>
          </w:p>
        </w:tc>
      </w:tr>
      <w:tr w14:paraId="01081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681" w:type="pct"/>
            <w:noWrap w:val="0"/>
            <w:vAlign w:val="center"/>
          </w:tcPr>
          <w:p w14:paraId="14B9D8C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固体废物</w:t>
            </w:r>
          </w:p>
        </w:tc>
        <w:tc>
          <w:tcPr>
            <w:tcW w:w="4318" w:type="pct"/>
            <w:gridSpan w:val="4"/>
            <w:noWrap w:val="0"/>
            <w:vAlign w:val="center"/>
          </w:tcPr>
          <w:p w14:paraId="6E8685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cs="Times New Roman"/>
                <w:color w:val="000000"/>
                <w:spacing w:val="5"/>
                <w:sz w:val="24"/>
                <w:szCs w:val="24"/>
                <w:lang w:val="en-US" w:eastAsia="zh-CN"/>
              </w:rPr>
            </w:pPr>
            <w:r>
              <w:rPr>
                <w:rFonts w:hint="eastAsia" w:cs="Times New Roman"/>
                <w:color w:val="000000"/>
                <w:spacing w:val="5"/>
                <w:sz w:val="24"/>
                <w:szCs w:val="24"/>
                <w:lang w:val="en-US" w:eastAsia="zh-CN"/>
              </w:rPr>
              <w:t>①辣椒把和辣椒叶进入</w:t>
            </w:r>
            <w:r>
              <w:rPr>
                <w:rFonts w:hint="eastAsia" w:ascii="Times New Roman" w:hAnsi="Times New Roman" w:cs="Times New Roman"/>
                <w:color w:val="000000"/>
                <w:spacing w:val="5"/>
                <w:sz w:val="24"/>
                <w:szCs w:val="24"/>
                <w:lang w:val="en-US" w:eastAsia="zh-CN"/>
              </w:rPr>
              <w:t>垃圾桶</w:t>
            </w:r>
            <w:r>
              <w:rPr>
                <w:rFonts w:hint="eastAsia" w:cs="Times New Roman"/>
                <w:color w:val="000000"/>
                <w:spacing w:val="5"/>
                <w:sz w:val="24"/>
                <w:szCs w:val="24"/>
                <w:lang w:val="en-US" w:eastAsia="zh-CN"/>
              </w:rPr>
              <w:t>分类</w:t>
            </w:r>
            <w:r>
              <w:rPr>
                <w:rFonts w:hint="eastAsia" w:ascii="Times New Roman" w:hAnsi="Times New Roman" w:cs="Times New Roman"/>
                <w:color w:val="000000"/>
                <w:spacing w:val="5"/>
                <w:sz w:val="24"/>
                <w:szCs w:val="24"/>
                <w:lang w:val="en-US" w:eastAsia="zh-CN"/>
              </w:rPr>
              <w:t>收集后由环卫部门清运处理</w:t>
            </w:r>
            <w:r>
              <w:rPr>
                <w:rFonts w:hint="eastAsia" w:cs="Times New Roman"/>
                <w:color w:val="000000"/>
                <w:spacing w:val="5"/>
                <w:sz w:val="24"/>
                <w:szCs w:val="24"/>
                <w:lang w:val="en-US" w:eastAsia="zh-CN"/>
              </w:rPr>
              <w:t>；</w:t>
            </w:r>
          </w:p>
          <w:p w14:paraId="17FFA56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cs="Times New Roman"/>
                <w:bCs/>
                <w:color w:val="000000"/>
                <w:sz w:val="24"/>
                <w:szCs w:val="24"/>
                <w:lang w:val="en-US" w:eastAsia="zh-CN"/>
              </w:rPr>
            </w:pPr>
            <w:r>
              <w:rPr>
                <w:rFonts w:hint="eastAsia"/>
                <w:color w:val="auto"/>
                <w:sz w:val="24"/>
                <w:szCs w:val="24"/>
                <w:lang w:val="en-US" w:eastAsia="zh-CN"/>
              </w:rPr>
              <w:t>②牛骨残渣集中收集</w:t>
            </w:r>
            <w:r>
              <w:rPr>
                <w:color w:val="000000"/>
                <w:kern w:val="0"/>
                <w:sz w:val="24"/>
                <w:szCs w:val="24"/>
                <w:lang w:val="zh-CN"/>
              </w:rPr>
              <w:t>由环卫部门</w:t>
            </w:r>
            <w:r>
              <w:rPr>
                <w:rFonts w:hint="eastAsia"/>
                <w:color w:val="000000"/>
                <w:kern w:val="0"/>
                <w:sz w:val="24"/>
                <w:szCs w:val="24"/>
                <w:lang w:val="zh-CN"/>
              </w:rPr>
              <w:t>统一</w:t>
            </w:r>
            <w:r>
              <w:rPr>
                <w:color w:val="000000"/>
                <w:kern w:val="0"/>
                <w:sz w:val="24"/>
                <w:szCs w:val="24"/>
                <w:lang w:val="zh-CN"/>
              </w:rPr>
              <w:t>清</w:t>
            </w:r>
            <w:r>
              <w:rPr>
                <w:rFonts w:hint="eastAsia"/>
                <w:color w:val="000000"/>
                <w:kern w:val="0"/>
                <w:sz w:val="24"/>
                <w:szCs w:val="24"/>
                <w:lang w:val="zh-CN"/>
              </w:rPr>
              <w:t>运</w:t>
            </w:r>
            <w:r>
              <w:rPr>
                <w:rFonts w:hint="eastAsia"/>
                <w:color w:val="000000"/>
                <w:kern w:val="0"/>
                <w:sz w:val="24"/>
                <w:szCs w:val="24"/>
                <w:u w:val="none"/>
                <w:lang w:val="en-US" w:eastAsia="zh-CN"/>
              </w:rPr>
              <w:t>或外售至周边养殖户</w:t>
            </w:r>
            <w:r>
              <w:rPr>
                <w:rFonts w:hint="eastAsia" w:cs="Times New Roman"/>
                <w:bCs/>
                <w:color w:val="000000"/>
                <w:sz w:val="24"/>
                <w:szCs w:val="24"/>
                <w:lang w:val="en-US" w:eastAsia="zh-CN"/>
              </w:rPr>
              <w:t>；</w:t>
            </w:r>
          </w:p>
          <w:p w14:paraId="67FAD0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cs="Times New Roman"/>
                <w:color w:val="000000"/>
                <w:spacing w:val="5"/>
                <w:sz w:val="24"/>
                <w:szCs w:val="24"/>
                <w:lang w:val="en-US" w:eastAsia="zh-CN"/>
              </w:rPr>
            </w:pPr>
            <w:r>
              <w:rPr>
                <w:rFonts w:hint="eastAsia" w:cs="Times New Roman"/>
                <w:color w:val="000000"/>
                <w:spacing w:val="5"/>
                <w:sz w:val="24"/>
                <w:szCs w:val="24"/>
                <w:lang w:val="en-US" w:eastAsia="zh-CN"/>
              </w:rPr>
              <w:t>③</w:t>
            </w:r>
            <w:r>
              <w:rPr>
                <w:rFonts w:hint="eastAsia" w:ascii="Times New Roman" w:hAnsi="Times New Roman" w:cs="Times New Roman"/>
                <w:color w:val="000000"/>
                <w:spacing w:val="5"/>
                <w:sz w:val="24"/>
                <w:szCs w:val="24"/>
                <w:lang w:val="en-US" w:eastAsia="zh-CN"/>
              </w:rPr>
              <w:t>生活垃圾</w:t>
            </w:r>
            <w:r>
              <w:rPr>
                <w:rFonts w:hint="eastAsia" w:cs="Times New Roman"/>
                <w:color w:val="000000"/>
                <w:spacing w:val="5"/>
                <w:sz w:val="24"/>
                <w:szCs w:val="24"/>
                <w:lang w:val="en-US" w:eastAsia="zh-CN"/>
              </w:rPr>
              <w:t>进入</w:t>
            </w:r>
            <w:r>
              <w:rPr>
                <w:rFonts w:hint="eastAsia" w:ascii="Times New Roman" w:hAnsi="Times New Roman" w:cs="Times New Roman"/>
                <w:color w:val="000000"/>
                <w:spacing w:val="5"/>
                <w:sz w:val="24"/>
                <w:szCs w:val="24"/>
                <w:lang w:val="en-US" w:eastAsia="zh-CN"/>
              </w:rPr>
              <w:t>垃圾桶</w:t>
            </w:r>
            <w:r>
              <w:rPr>
                <w:rFonts w:hint="eastAsia" w:cs="Times New Roman"/>
                <w:color w:val="000000"/>
                <w:spacing w:val="5"/>
                <w:sz w:val="24"/>
                <w:szCs w:val="24"/>
                <w:lang w:val="en-US" w:eastAsia="zh-CN"/>
              </w:rPr>
              <w:t>分类</w:t>
            </w:r>
            <w:r>
              <w:rPr>
                <w:rFonts w:hint="eastAsia" w:ascii="Times New Roman" w:hAnsi="Times New Roman" w:cs="Times New Roman"/>
                <w:color w:val="000000"/>
                <w:spacing w:val="5"/>
                <w:sz w:val="24"/>
                <w:szCs w:val="24"/>
                <w:lang w:val="en-US" w:eastAsia="zh-CN"/>
              </w:rPr>
              <w:t>收集后由环卫部门清运处理</w:t>
            </w:r>
            <w:r>
              <w:rPr>
                <w:rFonts w:hint="eastAsia" w:cs="Times New Roman"/>
                <w:color w:val="000000"/>
                <w:spacing w:val="5"/>
                <w:sz w:val="24"/>
                <w:szCs w:val="24"/>
                <w:lang w:val="en-US" w:eastAsia="zh-CN"/>
              </w:rPr>
              <w:t>；</w:t>
            </w:r>
          </w:p>
          <w:p w14:paraId="5EFB256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cs="Times New Roman"/>
                <w:bCs/>
                <w:color w:val="000000"/>
                <w:sz w:val="24"/>
                <w:szCs w:val="24"/>
                <w:lang w:val="en-US" w:eastAsia="zh-CN"/>
              </w:rPr>
            </w:pPr>
            <w:r>
              <w:rPr>
                <w:rFonts w:hint="eastAsia"/>
                <w:color w:val="000000"/>
                <w:sz w:val="24"/>
                <w:szCs w:val="24"/>
                <w:lang w:val="en-US" w:eastAsia="zh-CN"/>
              </w:rPr>
              <w:t>④废残渣</w:t>
            </w:r>
            <w:r>
              <w:rPr>
                <w:color w:val="000000"/>
                <w:kern w:val="0"/>
                <w:sz w:val="24"/>
                <w:szCs w:val="24"/>
                <w:lang w:val="zh-CN"/>
              </w:rPr>
              <w:t>由环卫部门</w:t>
            </w:r>
            <w:r>
              <w:rPr>
                <w:rFonts w:hint="eastAsia"/>
                <w:color w:val="000000"/>
                <w:kern w:val="0"/>
                <w:sz w:val="24"/>
                <w:szCs w:val="24"/>
                <w:lang w:val="zh-CN"/>
              </w:rPr>
              <w:t>统一</w:t>
            </w:r>
            <w:r>
              <w:rPr>
                <w:color w:val="000000"/>
                <w:kern w:val="0"/>
                <w:sz w:val="24"/>
                <w:szCs w:val="24"/>
                <w:lang w:val="zh-CN"/>
              </w:rPr>
              <w:t>清</w:t>
            </w:r>
            <w:r>
              <w:rPr>
                <w:rFonts w:hint="eastAsia"/>
                <w:color w:val="000000"/>
                <w:kern w:val="0"/>
                <w:sz w:val="24"/>
                <w:szCs w:val="24"/>
                <w:lang w:val="zh-CN"/>
              </w:rPr>
              <w:t>运</w:t>
            </w:r>
            <w:r>
              <w:rPr>
                <w:rFonts w:hint="eastAsia"/>
                <w:color w:val="000000"/>
                <w:kern w:val="0"/>
                <w:sz w:val="24"/>
                <w:szCs w:val="24"/>
                <w:u w:val="none"/>
                <w:lang w:val="en-US" w:eastAsia="zh-CN"/>
              </w:rPr>
              <w:t>或外售至周边养殖户</w:t>
            </w:r>
            <w:r>
              <w:rPr>
                <w:rFonts w:hint="eastAsia" w:cs="Times New Roman"/>
                <w:bCs/>
                <w:color w:val="000000"/>
                <w:sz w:val="24"/>
                <w:szCs w:val="24"/>
                <w:lang w:val="en-US" w:eastAsia="zh-CN"/>
              </w:rPr>
              <w:t>；</w:t>
            </w:r>
          </w:p>
          <w:p w14:paraId="173219B2">
            <w:pPr>
              <w:adjustRightInd w:val="0"/>
              <w:snapToGrid w:val="0"/>
              <w:spacing w:beforeLines="10"/>
              <w:jc w:val="both"/>
              <w:rPr>
                <w:rFonts w:hint="eastAsia" w:cs="Times New Roman"/>
                <w:bCs/>
                <w:color w:val="000000"/>
                <w:sz w:val="24"/>
                <w:szCs w:val="24"/>
                <w:lang w:val="en-US" w:eastAsia="zh-CN"/>
              </w:rPr>
            </w:pPr>
            <w:r>
              <w:rPr>
                <w:rFonts w:hint="eastAsia"/>
                <w:bCs/>
                <w:color w:val="000000"/>
                <w:sz w:val="24"/>
                <w:szCs w:val="24"/>
                <w:lang w:val="en-US" w:eastAsia="zh-CN"/>
              </w:rPr>
              <w:t>⑤不合格品</w:t>
            </w:r>
            <w:r>
              <w:rPr>
                <w:rFonts w:hint="eastAsia"/>
                <w:color w:val="000000"/>
                <w:kern w:val="0"/>
                <w:sz w:val="24"/>
                <w:szCs w:val="24"/>
                <w:lang w:val="en-US" w:eastAsia="zh-CN"/>
              </w:rPr>
              <w:t>暂存在一般固废间（5m</w:t>
            </w:r>
            <w:r>
              <w:rPr>
                <w:rFonts w:hint="eastAsia"/>
                <w:color w:val="000000"/>
                <w:kern w:val="0"/>
                <w:sz w:val="24"/>
                <w:szCs w:val="24"/>
                <w:vertAlign w:val="superscript"/>
                <w:lang w:val="en-US" w:eastAsia="zh-CN"/>
              </w:rPr>
              <w:t>2</w:t>
            </w:r>
            <w:r>
              <w:rPr>
                <w:rFonts w:hint="eastAsia"/>
                <w:color w:val="000000"/>
                <w:kern w:val="0"/>
                <w:sz w:val="24"/>
                <w:szCs w:val="24"/>
                <w:lang w:val="en-US" w:eastAsia="zh-CN"/>
              </w:rPr>
              <w:t>）再</w:t>
            </w:r>
            <w:r>
              <w:rPr>
                <w:color w:val="000000"/>
                <w:kern w:val="0"/>
                <w:sz w:val="24"/>
                <w:szCs w:val="24"/>
                <w:lang w:val="zh-CN"/>
              </w:rPr>
              <w:t>由环卫部门</w:t>
            </w:r>
            <w:r>
              <w:rPr>
                <w:rFonts w:hint="eastAsia"/>
                <w:color w:val="000000"/>
                <w:kern w:val="0"/>
                <w:sz w:val="24"/>
                <w:szCs w:val="24"/>
                <w:lang w:val="zh-CN"/>
              </w:rPr>
              <w:t>统一</w:t>
            </w:r>
            <w:r>
              <w:rPr>
                <w:color w:val="000000"/>
                <w:kern w:val="0"/>
                <w:sz w:val="24"/>
                <w:szCs w:val="24"/>
                <w:lang w:val="zh-CN"/>
              </w:rPr>
              <w:t>清</w:t>
            </w:r>
            <w:r>
              <w:rPr>
                <w:rFonts w:hint="eastAsia"/>
                <w:color w:val="000000"/>
                <w:kern w:val="0"/>
                <w:sz w:val="24"/>
                <w:szCs w:val="24"/>
                <w:lang w:val="zh-CN"/>
              </w:rPr>
              <w:t>运</w:t>
            </w:r>
            <w:r>
              <w:rPr>
                <w:rFonts w:hint="eastAsia" w:cs="Times New Roman"/>
                <w:bCs/>
                <w:color w:val="000000"/>
                <w:sz w:val="24"/>
                <w:szCs w:val="24"/>
                <w:lang w:val="en-US" w:eastAsia="zh-CN"/>
              </w:rPr>
              <w:t>；</w:t>
            </w:r>
          </w:p>
          <w:p w14:paraId="30B0B8F3">
            <w:pPr>
              <w:adjustRightInd w:val="0"/>
              <w:snapToGrid w:val="0"/>
              <w:spacing w:beforeLines="10"/>
              <w:jc w:val="both"/>
              <w:rPr>
                <w:rFonts w:hint="eastAsia" w:cs="Times New Roman"/>
                <w:color w:val="000000"/>
                <w:sz w:val="24"/>
                <w:szCs w:val="24"/>
                <w:lang w:eastAsia="zh-CN"/>
              </w:rPr>
            </w:pPr>
            <w:r>
              <w:rPr>
                <w:rFonts w:hint="eastAsia"/>
                <w:color w:val="auto"/>
                <w:sz w:val="24"/>
                <w:szCs w:val="24"/>
                <w:lang w:val="en-US" w:eastAsia="zh-CN"/>
              </w:rPr>
              <w:t>⑥沉淀杂质集中收集后</w:t>
            </w:r>
            <w:r>
              <w:rPr>
                <w:rFonts w:hint="eastAsia"/>
                <w:color w:val="000000"/>
                <w:kern w:val="0"/>
                <w:sz w:val="24"/>
                <w:szCs w:val="24"/>
                <w:lang w:val="en-US" w:eastAsia="zh-CN"/>
              </w:rPr>
              <w:t>再</w:t>
            </w:r>
            <w:r>
              <w:rPr>
                <w:color w:val="000000"/>
                <w:kern w:val="0"/>
                <w:sz w:val="24"/>
                <w:szCs w:val="24"/>
                <w:lang w:val="zh-CN"/>
              </w:rPr>
              <w:t>由环卫部门</w:t>
            </w:r>
            <w:r>
              <w:rPr>
                <w:rFonts w:hint="eastAsia"/>
                <w:color w:val="000000"/>
                <w:kern w:val="0"/>
                <w:sz w:val="24"/>
                <w:szCs w:val="24"/>
                <w:lang w:val="zh-CN"/>
              </w:rPr>
              <w:t>统一</w:t>
            </w:r>
            <w:r>
              <w:rPr>
                <w:color w:val="000000"/>
                <w:kern w:val="0"/>
                <w:sz w:val="24"/>
                <w:szCs w:val="24"/>
                <w:lang w:val="zh-CN"/>
              </w:rPr>
              <w:t>清</w:t>
            </w:r>
            <w:r>
              <w:rPr>
                <w:rFonts w:hint="eastAsia"/>
                <w:color w:val="000000"/>
                <w:kern w:val="0"/>
                <w:sz w:val="24"/>
                <w:szCs w:val="24"/>
                <w:lang w:val="zh-CN"/>
              </w:rPr>
              <w:t>运</w:t>
            </w:r>
            <w:r>
              <w:rPr>
                <w:rFonts w:hint="eastAsia"/>
                <w:color w:val="auto"/>
                <w:sz w:val="24"/>
                <w:szCs w:val="24"/>
                <w:lang w:val="en-US" w:eastAsia="zh-CN"/>
              </w:rPr>
              <w:t>；</w:t>
            </w:r>
          </w:p>
          <w:p w14:paraId="69567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color w:val="000000"/>
                <w:kern w:val="0"/>
                <w:sz w:val="24"/>
                <w:szCs w:val="24"/>
                <w:lang w:val="zh-CN"/>
              </w:rPr>
            </w:pPr>
            <w:r>
              <w:rPr>
                <w:rFonts w:hint="eastAsia"/>
                <w:bCs/>
                <w:color w:val="000000"/>
                <w:sz w:val="24"/>
                <w:szCs w:val="24"/>
                <w:lang w:val="en-US" w:eastAsia="zh-CN"/>
              </w:rPr>
              <w:t>⑦废包装材料</w:t>
            </w:r>
            <w:r>
              <w:rPr>
                <w:rFonts w:hint="eastAsia"/>
                <w:color w:val="000000"/>
                <w:kern w:val="0"/>
                <w:sz w:val="24"/>
                <w:szCs w:val="24"/>
                <w:lang w:val="en-US" w:eastAsia="zh-CN"/>
              </w:rPr>
              <w:t>暂存在一般固废间（5m</w:t>
            </w:r>
            <w:r>
              <w:rPr>
                <w:rFonts w:hint="eastAsia"/>
                <w:color w:val="000000"/>
                <w:kern w:val="0"/>
                <w:sz w:val="24"/>
                <w:szCs w:val="24"/>
                <w:vertAlign w:val="superscript"/>
                <w:lang w:val="en-US" w:eastAsia="zh-CN"/>
              </w:rPr>
              <w:t>2</w:t>
            </w:r>
            <w:r>
              <w:rPr>
                <w:rFonts w:hint="eastAsia"/>
                <w:color w:val="000000"/>
                <w:kern w:val="0"/>
                <w:sz w:val="24"/>
                <w:szCs w:val="24"/>
                <w:lang w:val="en-US" w:eastAsia="zh-CN"/>
              </w:rPr>
              <w:t>）再</w:t>
            </w:r>
            <w:r>
              <w:rPr>
                <w:color w:val="000000"/>
                <w:kern w:val="0"/>
                <w:sz w:val="24"/>
                <w:szCs w:val="24"/>
                <w:lang w:val="zh-CN"/>
              </w:rPr>
              <w:t>由环卫部门</w:t>
            </w:r>
            <w:r>
              <w:rPr>
                <w:rFonts w:hint="eastAsia"/>
                <w:color w:val="000000"/>
                <w:kern w:val="0"/>
                <w:sz w:val="24"/>
                <w:szCs w:val="24"/>
                <w:lang w:val="zh-CN"/>
              </w:rPr>
              <w:t>统一</w:t>
            </w:r>
            <w:r>
              <w:rPr>
                <w:color w:val="000000"/>
                <w:kern w:val="0"/>
                <w:sz w:val="24"/>
                <w:szCs w:val="24"/>
                <w:lang w:val="zh-CN"/>
              </w:rPr>
              <w:t>清</w:t>
            </w:r>
            <w:r>
              <w:rPr>
                <w:rFonts w:hint="eastAsia"/>
                <w:color w:val="000000"/>
                <w:kern w:val="0"/>
                <w:sz w:val="24"/>
                <w:szCs w:val="24"/>
                <w:lang w:val="zh-CN"/>
              </w:rPr>
              <w:t>运；</w:t>
            </w:r>
          </w:p>
          <w:p w14:paraId="064F3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cs="Times New Roman"/>
                <w:sz w:val="24"/>
                <w:szCs w:val="24"/>
                <w:lang w:val="en-US"/>
              </w:rPr>
            </w:pPr>
            <w:r>
              <w:rPr>
                <w:rFonts w:hint="eastAsia"/>
                <w:bCs/>
                <w:color w:val="000000"/>
                <w:sz w:val="24"/>
                <w:szCs w:val="24"/>
                <w:lang w:val="en-US" w:eastAsia="zh-CN"/>
              </w:rPr>
              <w:t>⑧废活性炭</w:t>
            </w:r>
            <w:r>
              <w:rPr>
                <w:rFonts w:hint="eastAsia"/>
                <w:color w:val="000000"/>
                <w:kern w:val="0"/>
                <w:sz w:val="24"/>
                <w:szCs w:val="24"/>
                <w:lang w:val="en-US" w:eastAsia="zh-CN"/>
              </w:rPr>
              <w:t>暂存在危废间再</w:t>
            </w:r>
            <w:r>
              <w:rPr>
                <w:color w:val="000000"/>
                <w:kern w:val="0"/>
                <w:sz w:val="24"/>
                <w:szCs w:val="24"/>
                <w:lang w:val="zh-CN"/>
              </w:rPr>
              <w:t>由</w:t>
            </w:r>
            <w:r>
              <w:rPr>
                <w:rFonts w:hint="eastAsia"/>
                <w:color w:val="000000"/>
                <w:kern w:val="0"/>
                <w:sz w:val="24"/>
                <w:szCs w:val="24"/>
                <w:lang w:val="en-US" w:eastAsia="zh-CN"/>
              </w:rPr>
              <w:t>有</w:t>
            </w:r>
            <w:r>
              <w:rPr>
                <w:rFonts w:hint="default" w:ascii="Times New Roman" w:hAnsi="Times New Roman" w:eastAsia="宋体" w:cs="Times New Roman"/>
                <w:color w:val="auto"/>
                <w:sz w:val="24"/>
                <w:szCs w:val="24"/>
                <w:lang w:val="en-US" w:eastAsia="zh-CN"/>
              </w:rPr>
              <w:t>资质单位</w:t>
            </w:r>
            <w:r>
              <w:rPr>
                <w:rFonts w:hint="eastAsia" w:cs="Times New Roman"/>
                <w:color w:val="auto"/>
                <w:sz w:val="24"/>
                <w:szCs w:val="24"/>
                <w:lang w:val="en-US" w:eastAsia="zh-CN"/>
              </w:rPr>
              <w:t>进行安全</w:t>
            </w:r>
            <w:r>
              <w:rPr>
                <w:rFonts w:hint="default" w:ascii="Times New Roman" w:hAnsi="Times New Roman" w:eastAsia="宋体" w:cs="Times New Roman"/>
                <w:color w:val="auto"/>
                <w:sz w:val="24"/>
                <w:szCs w:val="24"/>
                <w:lang w:val="en-US" w:eastAsia="zh-CN"/>
              </w:rPr>
              <w:t>处理</w:t>
            </w:r>
            <w:r>
              <w:rPr>
                <w:rFonts w:hint="eastAsia"/>
                <w:color w:val="000000"/>
                <w:kern w:val="0"/>
                <w:sz w:val="24"/>
                <w:szCs w:val="24"/>
                <w:lang w:val="zh-CN"/>
              </w:rPr>
              <w:t>。</w:t>
            </w:r>
          </w:p>
        </w:tc>
      </w:tr>
      <w:tr w14:paraId="70BED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681" w:type="pct"/>
            <w:noWrap w:val="0"/>
            <w:vAlign w:val="center"/>
          </w:tcPr>
          <w:p w14:paraId="1ED25FB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土壤及地下水污染防治措施</w:t>
            </w:r>
          </w:p>
        </w:tc>
        <w:tc>
          <w:tcPr>
            <w:tcW w:w="4318" w:type="pct"/>
            <w:gridSpan w:val="4"/>
            <w:noWrap w:val="0"/>
            <w:vAlign w:val="center"/>
          </w:tcPr>
          <w:p w14:paraId="22CD874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a、本环评要求企业对</w:t>
            </w:r>
            <w:r>
              <w:rPr>
                <w:rFonts w:hint="eastAsia" w:hAnsi="宋体" w:cs="Times New Roman"/>
                <w:color w:val="auto"/>
                <w:kern w:val="2"/>
                <w:sz w:val="24"/>
                <w:szCs w:val="24"/>
                <w:lang w:val="en-US" w:eastAsia="zh-CN" w:bidi="ar-SA"/>
              </w:rPr>
              <w:t>厂区进行</w:t>
            </w:r>
            <w:r>
              <w:rPr>
                <w:bCs/>
                <w:color w:val="000000"/>
                <w:kern w:val="0"/>
                <w:sz w:val="24"/>
                <w:szCs w:val="24"/>
                <w:u w:val="none"/>
              </w:rPr>
              <w:t>分区防渗，</w:t>
            </w:r>
            <w:r>
              <w:rPr>
                <w:rFonts w:hint="eastAsia"/>
                <w:bCs/>
                <w:color w:val="000000"/>
                <w:kern w:val="0"/>
                <w:sz w:val="24"/>
                <w:szCs w:val="24"/>
                <w:u w:val="none"/>
                <w:lang w:val="en-US" w:eastAsia="zh-CN"/>
              </w:rPr>
              <w:t>危废间进行重点防渗处理，</w:t>
            </w:r>
            <w:r>
              <w:rPr>
                <w:rFonts w:hint="eastAsia"/>
                <w:color w:val="000000"/>
                <w:kern w:val="0"/>
                <w:sz w:val="24"/>
                <w:szCs w:val="24"/>
                <w:u w:val="none"/>
                <w:lang w:val="en-US" w:eastAsia="zh-CN"/>
              </w:rPr>
              <w:t>沉淀池、污水管线为</w:t>
            </w:r>
            <w:r>
              <w:rPr>
                <w:color w:val="000000"/>
                <w:kern w:val="0"/>
                <w:sz w:val="24"/>
                <w:szCs w:val="24"/>
                <w:u w:val="none"/>
                <w:lang w:val="zh-CN"/>
              </w:rPr>
              <w:t>一般防渗区</w:t>
            </w:r>
            <w:r>
              <w:rPr>
                <w:rFonts w:hint="eastAsia"/>
                <w:color w:val="000000"/>
                <w:kern w:val="0"/>
                <w:sz w:val="24"/>
                <w:szCs w:val="24"/>
                <w:u w:val="none"/>
                <w:lang w:val="zh-CN"/>
              </w:rPr>
              <w:t>，</w:t>
            </w:r>
            <w:r>
              <w:rPr>
                <w:color w:val="000000"/>
                <w:sz w:val="24"/>
                <w:szCs w:val="24"/>
                <w:u w:val="none"/>
              </w:rPr>
              <w:t>效黏土防渗层Mb≥1.5m、</w:t>
            </w:r>
            <w:r>
              <w:rPr>
                <w:color w:val="000000"/>
                <w:kern w:val="0"/>
                <w:sz w:val="24"/>
                <w:szCs w:val="24"/>
                <w:u w:val="none"/>
                <w:lang w:val="zh-CN"/>
              </w:rPr>
              <w:t>K≤</w:t>
            </w:r>
            <w:r>
              <w:rPr>
                <w:color w:val="000000"/>
                <w:sz w:val="24"/>
                <w:szCs w:val="24"/>
                <w:u w:val="none"/>
              </w:rPr>
              <w:t>1×10</w:t>
            </w:r>
            <w:r>
              <w:rPr>
                <w:color w:val="000000"/>
                <w:sz w:val="24"/>
                <w:szCs w:val="24"/>
                <w:u w:val="none"/>
                <w:vertAlign w:val="superscript"/>
              </w:rPr>
              <w:t>-7</w:t>
            </w:r>
            <w:r>
              <w:rPr>
                <w:color w:val="000000"/>
                <w:kern w:val="0"/>
                <w:sz w:val="24"/>
                <w:szCs w:val="24"/>
                <w:u w:val="none"/>
                <w:lang w:val="zh-CN"/>
              </w:rPr>
              <w:t>cm/s；</w:t>
            </w:r>
            <w:r>
              <w:rPr>
                <w:rFonts w:hint="eastAsia"/>
                <w:color w:val="000000"/>
                <w:kern w:val="0"/>
                <w:sz w:val="24"/>
                <w:szCs w:val="24"/>
                <w:u w:val="none"/>
                <w:lang w:val="en-US" w:eastAsia="zh-CN"/>
              </w:rPr>
              <w:t>厂区其他地面为</w:t>
            </w:r>
            <w:r>
              <w:rPr>
                <w:color w:val="000000"/>
                <w:kern w:val="0"/>
                <w:sz w:val="24"/>
                <w:szCs w:val="24"/>
                <w:u w:val="none"/>
                <w:lang w:val="zh-CN"/>
              </w:rPr>
              <w:t>简单防渗区</w:t>
            </w:r>
            <w:r>
              <w:rPr>
                <w:rFonts w:hint="eastAsia"/>
                <w:color w:val="000000"/>
                <w:kern w:val="0"/>
                <w:sz w:val="24"/>
                <w:szCs w:val="24"/>
                <w:u w:val="none"/>
                <w:lang w:val="en-US" w:eastAsia="zh-CN"/>
              </w:rPr>
              <w:t>需将</w:t>
            </w:r>
            <w:r>
              <w:rPr>
                <w:color w:val="000000"/>
                <w:kern w:val="0"/>
                <w:sz w:val="24"/>
                <w:szCs w:val="24"/>
                <w:u w:val="none"/>
                <w:lang w:val="zh-CN"/>
              </w:rPr>
              <w:t>地面混凝土硬化</w:t>
            </w:r>
            <w:r>
              <w:rPr>
                <w:rFonts w:hint="eastAsia"/>
                <w:color w:val="000000"/>
                <w:kern w:val="0"/>
                <w:sz w:val="24"/>
                <w:szCs w:val="24"/>
                <w:u w:val="none"/>
                <w:lang w:val="zh-CN"/>
              </w:rPr>
              <w:t>。</w:t>
            </w:r>
            <w:r>
              <w:rPr>
                <w:rFonts w:hint="eastAsia" w:ascii="Times New Roman" w:hAnsi="宋体" w:eastAsia="宋体" w:cs="Times New Roman"/>
                <w:color w:val="auto"/>
                <w:kern w:val="2"/>
                <w:sz w:val="24"/>
                <w:szCs w:val="24"/>
                <w:lang w:val="en-US" w:eastAsia="zh-CN" w:bidi="ar-SA"/>
              </w:rPr>
              <w:t>保证满足相关安全设计规范，保证泄漏物料不发生溢出情况。</w:t>
            </w:r>
          </w:p>
          <w:p w14:paraId="192D6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Times New Roman" w:hAnsi="Times New Roman" w:eastAsia="宋体" w:cs="Times New Roman"/>
                <w:lang w:val="en-US" w:eastAsia="zh-CN"/>
              </w:rPr>
            </w:pPr>
            <w:r>
              <w:rPr>
                <w:rFonts w:hint="eastAsia" w:ascii="Times New Roman" w:hAnsi="宋体" w:eastAsia="宋体" w:cs="Times New Roman"/>
                <w:color w:val="auto"/>
                <w:kern w:val="2"/>
                <w:sz w:val="24"/>
                <w:szCs w:val="24"/>
                <w:lang w:val="en-US" w:eastAsia="zh-CN" w:bidi="ar-SA"/>
              </w:rPr>
              <w:t>b、发现地面破裂及时进行处理和维护。</w:t>
            </w:r>
          </w:p>
        </w:tc>
      </w:tr>
      <w:tr w14:paraId="5E3BB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81" w:type="pct"/>
            <w:noWrap w:val="0"/>
            <w:vAlign w:val="center"/>
          </w:tcPr>
          <w:p w14:paraId="7B5ED5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生态保护措施</w:t>
            </w:r>
          </w:p>
        </w:tc>
        <w:tc>
          <w:tcPr>
            <w:tcW w:w="4318" w:type="pct"/>
            <w:gridSpan w:val="4"/>
            <w:noWrap w:val="0"/>
            <w:vAlign w:val="center"/>
          </w:tcPr>
          <w:p w14:paraId="71F021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不涉及</w:t>
            </w:r>
          </w:p>
        </w:tc>
      </w:tr>
      <w:tr w14:paraId="24ED3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81" w:type="pct"/>
            <w:noWrap w:val="0"/>
            <w:vAlign w:val="center"/>
          </w:tcPr>
          <w:p w14:paraId="5BCA8D6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环境风险</w:t>
            </w:r>
          </w:p>
          <w:p w14:paraId="5AF6368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防范措施</w:t>
            </w:r>
          </w:p>
        </w:tc>
        <w:tc>
          <w:tcPr>
            <w:tcW w:w="4318" w:type="pct"/>
            <w:gridSpan w:val="4"/>
            <w:noWrap w:val="0"/>
            <w:vAlign w:val="center"/>
          </w:tcPr>
          <w:p w14:paraId="7B705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A-</w:t>
            </w:r>
            <w:r>
              <w:rPr>
                <w:rFonts w:hint="eastAsia" w:hAnsi="宋体" w:cs="Times New Roman"/>
                <w:color w:val="auto"/>
                <w:kern w:val="2"/>
                <w:sz w:val="24"/>
                <w:szCs w:val="24"/>
                <w:lang w:val="en-US" w:eastAsia="zh-CN" w:bidi="ar-SA"/>
              </w:rPr>
              <w:t>废水</w:t>
            </w:r>
            <w:r>
              <w:rPr>
                <w:rFonts w:hint="eastAsia" w:ascii="Times New Roman" w:hAnsi="宋体" w:eastAsia="宋体" w:cs="Times New Roman"/>
                <w:color w:val="auto"/>
                <w:kern w:val="2"/>
                <w:sz w:val="24"/>
                <w:szCs w:val="24"/>
                <w:lang w:val="en-US" w:eastAsia="zh-CN" w:bidi="ar-SA"/>
              </w:rPr>
              <w:t>防范措施</w:t>
            </w:r>
          </w:p>
          <w:p w14:paraId="675C70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default" w:ascii="Times New Roman" w:hAnsi="Times New Roman" w:eastAsia="宋体" w:cs="Times New Roman"/>
                <w:bCs/>
                <w:color w:val="auto"/>
                <w:sz w:val="24"/>
                <w:u w:val="none"/>
                <w:lang w:val="en-US" w:eastAsia="zh-CN"/>
              </w:rPr>
            </w:pPr>
            <w:r>
              <w:rPr>
                <w:rFonts w:hint="eastAsia" w:cs="Times New Roman"/>
                <w:bCs/>
                <w:color w:val="auto"/>
                <w:sz w:val="24"/>
                <w:u w:val="none"/>
                <w:lang w:val="en-US" w:eastAsia="zh-CN"/>
              </w:rPr>
              <w:t>本项目废水容易发生泄漏的主要有生产废水，当隔油池或污水处理设施发生破损时或防渗措施未做到位的情况下，会出现废水泄漏事件。当发现废水泄漏时应该立即将废水再收集起来或采取补漏措施来防止更多的废水发生外泄，对地表水和土壤或者周围环境造成污染影响。厂区</w:t>
            </w:r>
            <w:r>
              <w:rPr>
                <w:rFonts w:hint="eastAsia"/>
                <w:color w:val="000000"/>
                <w:sz w:val="24"/>
                <w:u w:val="none"/>
                <w:lang w:val="en-US" w:eastAsia="zh-CN"/>
              </w:rPr>
              <w:t>中储存污水的污水设施、隔油池、</w:t>
            </w:r>
            <w:r>
              <w:rPr>
                <w:rFonts w:hint="eastAsia"/>
                <w:color w:val="000000"/>
                <w:sz w:val="24"/>
                <w:highlight w:val="none"/>
                <w:u w:val="none"/>
                <w:lang w:val="en-US" w:eastAsia="zh-CN"/>
              </w:rPr>
              <w:t>沉淀池以及污水管线等区域进行了防渗处理来避免或减少废水外泄的风险。如厂区发生火灾会有大量的消防废水产生，对于这类废水首先要先集中收集避免进入附近的地表水体造成污染影响，</w:t>
            </w:r>
            <w:r>
              <w:rPr>
                <w:rFonts w:hint="eastAsia" w:ascii="Times New Roman" w:hAnsi="Times New Roman" w:eastAsia="宋体" w:cs="Times New Roman"/>
                <w:color w:val="000000"/>
                <w:sz w:val="24"/>
                <w:u w:val="none"/>
                <w:lang w:val="en-US" w:eastAsia="zh-CN"/>
              </w:rPr>
              <w:t>厂区</w:t>
            </w:r>
            <w:r>
              <w:rPr>
                <w:rFonts w:hint="eastAsia" w:cs="Times New Roman"/>
                <w:color w:val="000000"/>
                <w:sz w:val="24"/>
                <w:u w:val="none"/>
                <w:lang w:val="en-US" w:eastAsia="zh-CN"/>
              </w:rPr>
              <w:t>内</w:t>
            </w:r>
            <w:r>
              <w:rPr>
                <w:rFonts w:hint="eastAsia" w:ascii="Times New Roman" w:hAnsi="Times New Roman" w:eastAsia="宋体" w:cs="Times New Roman"/>
                <w:color w:val="000000"/>
                <w:sz w:val="24"/>
                <w:u w:val="none"/>
                <w:lang w:val="en-US" w:eastAsia="zh-CN"/>
              </w:rPr>
              <w:t>设置</w:t>
            </w:r>
            <w:r>
              <w:rPr>
                <w:rFonts w:hint="eastAsia" w:cs="Times New Roman"/>
                <w:color w:val="000000"/>
                <w:sz w:val="24"/>
                <w:u w:val="none"/>
                <w:lang w:val="en-US" w:eastAsia="zh-CN"/>
              </w:rPr>
              <w:t>临时沉淀池来代替</w:t>
            </w:r>
            <w:r>
              <w:rPr>
                <w:rFonts w:hint="eastAsia" w:ascii="Times New Roman" w:hAnsi="Times New Roman" w:eastAsia="宋体" w:cs="Times New Roman"/>
                <w:color w:val="000000"/>
                <w:sz w:val="24"/>
                <w:u w:val="none"/>
                <w:lang w:val="en-US" w:eastAsia="zh-CN"/>
              </w:rPr>
              <w:t>事故池，确保事故状态下的生产废水不外排</w:t>
            </w:r>
            <w:r>
              <w:rPr>
                <w:rFonts w:hint="eastAsia" w:cs="Times New Roman"/>
                <w:color w:val="000000"/>
                <w:sz w:val="24"/>
                <w:u w:val="none"/>
                <w:lang w:val="en-US" w:eastAsia="zh-CN"/>
              </w:rPr>
              <w:t>。</w:t>
            </w:r>
          </w:p>
          <w:p w14:paraId="10859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hAnsi="宋体" w:cs="Times New Roman"/>
                <w:color w:val="auto"/>
                <w:kern w:val="2"/>
                <w:sz w:val="24"/>
                <w:szCs w:val="24"/>
                <w:lang w:val="en-US" w:eastAsia="zh-CN" w:bidi="ar-SA"/>
              </w:rPr>
              <w:t>B</w:t>
            </w:r>
            <w:r>
              <w:rPr>
                <w:rFonts w:hint="eastAsia" w:ascii="Times New Roman" w:hAnsi="宋体" w:eastAsia="宋体" w:cs="Times New Roman"/>
                <w:color w:val="auto"/>
                <w:kern w:val="2"/>
                <w:sz w:val="24"/>
                <w:szCs w:val="24"/>
                <w:lang w:val="en-US" w:eastAsia="zh-CN" w:bidi="ar-SA"/>
              </w:rPr>
              <w:t>-</w:t>
            </w:r>
            <w:r>
              <w:rPr>
                <w:rFonts w:hint="eastAsia" w:hAnsi="宋体" w:cs="Times New Roman"/>
                <w:color w:val="auto"/>
                <w:kern w:val="2"/>
                <w:sz w:val="24"/>
                <w:szCs w:val="24"/>
                <w:lang w:val="en-US" w:eastAsia="zh-CN" w:bidi="ar-SA"/>
              </w:rPr>
              <w:t>火灾</w:t>
            </w:r>
            <w:r>
              <w:rPr>
                <w:rFonts w:hint="eastAsia" w:ascii="Times New Roman" w:hAnsi="宋体" w:eastAsia="宋体" w:cs="Times New Roman"/>
                <w:color w:val="auto"/>
                <w:kern w:val="2"/>
                <w:sz w:val="24"/>
                <w:szCs w:val="24"/>
                <w:lang w:val="en-US" w:eastAsia="zh-CN" w:bidi="ar-SA"/>
              </w:rPr>
              <w:t>环境风险防范措施</w:t>
            </w:r>
          </w:p>
          <w:p w14:paraId="519439D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宋体" w:cs="Times New Roman"/>
                <w:color w:val="auto"/>
                <w:sz w:val="24"/>
                <w:highlight w:val="none"/>
              </w:rPr>
            </w:pPr>
            <w:r>
              <w:rPr>
                <w:rFonts w:hint="eastAsia" w:ascii="Times New Roman" w:hAnsi="宋体" w:cs="Times New Roman"/>
                <w:color w:val="auto"/>
                <w:sz w:val="24"/>
                <w:highlight w:val="none"/>
              </w:rPr>
              <w:t>在</w:t>
            </w:r>
            <w:r>
              <w:rPr>
                <w:rFonts w:hint="eastAsia" w:hAnsi="宋体" w:cs="Times New Roman"/>
                <w:color w:val="auto"/>
                <w:sz w:val="24"/>
                <w:highlight w:val="none"/>
                <w:lang w:val="en-US" w:eastAsia="zh-CN"/>
              </w:rPr>
              <w:t>燃</w:t>
            </w:r>
            <w:r>
              <w:rPr>
                <w:rFonts w:hint="eastAsia" w:ascii="Times New Roman" w:hAnsi="宋体" w:cs="Times New Roman"/>
                <w:color w:val="auto"/>
                <w:sz w:val="24"/>
                <w:highlight w:val="none"/>
              </w:rPr>
              <w:t>料输送环节上尽可能地</w:t>
            </w:r>
            <w:r>
              <w:rPr>
                <w:rFonts w:hint="eastAsia" w:hAnsi="宋体" w:cs="Times New Roman"/>
                <w:color w:val="auto"/>
                <w:sz w:val="24"/>
                <w:highlight w:val="none"/>
                <w:lang w:val="en-US" w:eastAsia="zh-CN"/>
              </w:rPr>
              <w:t>提前发现风险隐患</w:t>
            </w:r>
            <w:r>
              <w:rPr>
                <w:rFonts w:hint="eastAsia" w:ascii="Times New Roman" w:hAnsi="宋体" w:cs="Times New Roman"/>
                <w:color w:val="auto"/>
                <w:sz w:val="24"/>
                <w:highlight w:val="none"/>
              </w:rPr>
              <w:t>，如</w:t>
            </w:r>
            <w:r>
              <w:rPr>
                <w:rFonts w:hint="eastAsia" w:hAnsi="宋体" w:cs="Times New Roman"/>
                <w:color w:val="auto"/>
                <w:sz w:val="24"/>
                <w:highlight w:val="none"/>
                <w:lang w:val="en-US" w:eastAsia="zh-CN"/>
              </w:rPr>
              <w:t>管道破损</w:t>
            </w:r>
            <w:r>
              <w:rPr>
                <w:rFonts w:hint="eastAsia" w:ascii="Times New Roman" w:hAnsi="宋体" w:cs="Times New Roman"/>
                <w:color w:val="auto"/>
                <w:sz w:val="24"/>
                <w:highlight w:val="none"/>
              </w:rPr>
              <w:t>，</w:t>
            </w:r>
            <w:r>
              <w:rPr>
                <w:rFonts w:hint="eastAsia" w:hAnsi="宋体" w:cs="Times New Roman"/>
                <w:color w:val="auto"/>
                <w:sz w:val="24"/>
                <w:highlight w:val="none"/>
                <w:lang w:val="en-US" w:eastAsia="zh-CN"/>
              </w:rPr>
              <w:t>员工</w:t>
            </w:r>
            <w:r>
              <w:rPr>
                <w:rFonts w:hint="eastAsia" w:ascii="Times New Roman" w:hAnsi="宋体" w:cs="Times New Roman"/>
                <w:color w:val="auto"/>
                <w:sz w:val="24"/>
                <w:highlight w:val="none"/>
              </w:rPr>
              <w:t>误操作等，加强监督管理，严格看管检查制度，避免事故的发生</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highlight w:val="none"/>
              </w:rPr>
              <w:t>最大程度减少引起火灾的可能。</w:t>
            </w:r>
          </w:p>
          <w:p w14:paraId="2F33320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①</w:t>
            </w:r>
            <w:r>
              <w:rPr>
                <w:rFonts w:hint="eastAsia" w:ascii="Times New Roman" w:hAnsi="宋体" w:cs="Times New Roman"/>
                <w:color w:val="auto"/>
                <w:sz w:val="24"/>
                <w:highlight w:val="none"/>
              </w:rPr>
              <w:t>同时采取设置的移动式消防器材及固定式消防设施进行灭火。小火灾时用干粉或二氧化碳灭火器，大火灾时用水幕、雾状水或常规泡沫灭火。尽可能远距离灭火或使用遥控水枪、水炮等扑救，切勿直接对泄漏口或安全阀门喷水，防止产生冻结。</w:t>
            </w:r>
          </w:p>
          <w:p w14:paraId="026ABF4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②</w:t>
            </w:r>
            <w:r>
              <w:rPr>
                <w:rFonts w:hint="eastAsia" w:ascii="Times New Roman" w:hAnsi="宋体" w:cs="Times New Roman"/>
                <w:color w:val="auto"/>
                <w:sz w:val="24"/>
                <w:highlight w:val="none"/>
              </w:rPr>
              <w:t>一般建筑物火灾主要采用水灭火，利用消防栓、消防车、消防水枪并配合其他消防器材进行扑救。</w:t>
            </w:r>
          </w:p>
          <w:p w14:paraId="1702F2A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③</w:t>
            </w:r>
            <w:r>
              <w:rPr>
                <w:rFonts w:hint="eastAsia" w:ascii="Times New Roman" w:hAnsi="宋体" w:cs="Times New Roman"/>
                <w:color w:val="auto"/>
                <w:sz w:val="24"/>
                <w:highlight w:val="none"/>
              </w:rPr>
              <w:t>隔离、疏散、转移遇险人员到安全区域，按消防专业的要求警戒区，并在通往事故现场的主要干道上实行交通管制，除消防及应急处理人员外，其他人员禁止进入警戒区，并迅速撤离无关人员。</w:t>
            </w:r>
          </w:p>
          <w:p w14:paraId="5C3AC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highlight w:val="none"/>
                <w:lang w:val="en-US" w:eastAsia="zh-CN" w:bidi="ar-SA"/>
              </w:rPr>
            </w:pPr>
            <w:r>
              <w:rPr>
                <w:rFonts w:hint="eastAsia" w:hAnsi="宋体" w:cs="Times New Roman"/>
                <w:color w:val="auto"/>
                <w:kern w:val="2"/>
                <w:sz w:val="24"/>
                <w:szCs w:val="24"/>
                <w:highlight w:val="none"/>
                <w:lang w:val="en-US" w:eastAsia="zh-CN" w:bidi="ar-SA"/>
              </w:rPr>
              <w:t>C</w:t>
            </w:r>
            <w:r>
              <w:rPr>
                <w:rFonts w:hint="eastAsia" w:ascii="Times New Roman" w:hAnsi="宋体" w:eastAsia="宋体" w:cs="Times New Roman"/>
                <w:color w:val="auto"/>
                <w:kern w:val="2"/>
                <w:sz w:val="24"/>
                <w:szCs w:val="24"/>
                <w:highlight w:val="none"/>
                <w:lang w:val="en-US" w:eastAsia="zh-CN" w:bidi="ar-SA"/>
              </w:rPr>
              <w:t>-大气事故风险防范措施</w:t>
            </w:r>
          </w:p>
          <w:p w14:paraId="73883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hAnsi="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highlight w:val="none"/>
                <w:lang w:val="en-US" w:eastAsia="zh-CN" w:bidi="ar-SA"/>
              </w:rPr>
              <w:t>①加强对厂区原料储存过程的管理，规范操作和使用规范，降低</w:t>
            </w:r>
            <w:r>
              <w:rPr>
                <w:rFonts w:hint="eastAsia" w:hAnsi="宋体" w:cs="Times New Roman"/>
                <w:color w:val="auto"/>
                <w:kern w:val="2"/>
                <w:sz w:val="24"/>
                <w:szCs w:val="24"/>
                <w:highlight w:val="none"/>
                <w:lang w:val="en-US" w:eastAsia="zh-CN" w:bidi="ar-SA"/>
              </w:rPr>
              <w:t>原料不合格使用的</w:t>
            </w:r>
            <w:r>
              <w:rPr>
                <w:rFonts w:hint="eastAsia" w:ascii="Times New Roman" w:hAnsi="宋体" w:eastAsia="宋体" w:cs="Times New Roman"/>
                <w:color w:val="auto"/>
                <w:kern w:val="2"/>
                <w:sz w:val="24"/>
                <w:szCs w:val="24"/>
                <w:highlight w:val="none"/>
                <w:lang w:val="en-US" w:eastAsia="zh-CN" w:bidi="ar-SA"/>
              </w:rPr>
              <w:t>概率；避免阳光直射、暴晒，</w:t>
            </w:r>
            <w:r>
              <w:rPr>
                <w:rFonts w:hint="eastAsia" w:hAnsi="宋体" w:cs="Times New Roman"/>
                <w:color w:val="auto"/>
                <w:kern w:val="2"/>
                <w:sz w:val="24"/>
                <w:szCs w:val="24"/>
                <w:highlight w:val="none"/>
                <w:lang w:val="en-US" w:eastAsia="zh-CN" w:bidi="ar-SA"/>
              </w:rPr>
              <w:t>干燥状</w:t>
            </w:r>
            <w:r>
              <w:rPr>
                <w:rFonts w:hint="eastAsia" w:hAnsi="宋体" w:cs="Times New Roman"/>
                <w:color w:val="auto"/>
                <w:kern w:val="2"/>
                <w:sz w:val="24"/>
                <w:szCs w:val="24"/>
                <w:lang w:val="en-US" w:eastAsia="zh-CN" w:bidi="ar-SA"/>
              </w:rPr>
              <w:t>态或低温状态存放。</w:t>
            </w:r>
          </w:p>
          <w:p w14:paraId="6D860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②设置管理台账，入库时应检验物品质量、数量、包装等情况；入库后采取适当的防护措施，定期检查，并建立严格的入库管理制度；</w:t>
            </w:r>
          </w:p>
          <w:p w14:paraId="0AE10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③设置原料的购置要求，采购的原辅材料品质必须符合</w:t>
            </w:r>
            <w:r>
              <w:rPr>
                <w:rFonts w:hint="eastAsia" w:hAnsi="宋体" w:cs="Times New Roman"/>
                <w:color w:val="auto"/>
                <w:kern w:val="2"/>
                <w:sz w:val="24"/>
                <w:szCs w:val="24"/>
                <w:lang w:val="en-US" w:eastAsia="zh-CN" w:bidi="ar-SA"/>
              </w:rPr>
              <w:t>食品</w:t>
            </w:r>
            <w:r>
              <w:rPr>
                <w:rFonts w:hint="eastAsia" w:ascii="Times New Roman" w:hAnsi="宋体" w:eastAsia="宋体" w:cs="Times New Roman"/>
                <w:color w:val="auto"/>
                <w:kern w:val="2"/>
                <w:sz w:val="24"/>
                <w:szCs w:val="24"/>
                <w:lang w:val="en-US" w:eastAsia="zh-CN" w:bidi="ar-SA"/>
              </w:rPr>
              <w:t>安全和材质证明所规定的各项要求；要求供应商提供</w:t>
            </w:r>
            <w:r>
              <w:rPr>
                <w:rFonts w:hint="eastAsia" w:hAnsi="宋体" w:cs="Times New Roman"/>
                <w:color w:val="auto"/>
                <w:kern w:val="2"/>
                <w:sz w:val="24"/>
                <w:szCs w:val="24"/>
                <w:lang w:val="en-US" w:eastAsia="zh-CN" w:bidi="ar-SA"/>
              </w:rPr>
              <w:t>食品许可</w:t>
            </w:r>
            <w:r>
              <w:rPr>
                <w:rFonts w:hint="eastAsia" w:ascii="Times New Roman" w:hAnsi="宋体" w:eastAsia="宋体" w:cs="Times New Roman"/>
                <w:color w:val="auto"/>
                <w:kern w:val="2"/>
                <w:sz w:val="24"/>
                <w:szCs w:val="24"/>
                <w:lang w:val="en-US" w:eastAsia="zh-CN" w:bidi="ar-SA"/>
              </w:rPr>
              <w:t>说明书；</w:t>
            </w:r>
          </w:p>
          <w:p w14:paraId="05231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hAnsi="宋体" w:cs="Times New Roman"/>
                <w:color w:val="auto"/>
                <w:kern w:val="2"/>
                <w:sz w:val="24"/>
                <w:szCs w:val="24"/>
                <w:lang w:val="en-US" w:eastAsia="zh-CN" w:bidi="ar-SA"/>
              </w:rPr>
              <w:t>④</w:t>
            </w:r>
            <w:r>
              <w:rPr>
                <w:rFonts w:hint="eastAsia" w:ascii="Times New Roman" w:hAnsi="宋体" w:eastAsia="宋体" w:cs="Times New Roman"/>
                <w:color w:val="auto"/>
                <w:kern w:val="2"/>
                <w:sz w:val="24"/>
                <w:szCs w:val="24"/>
                <w:lang w:val="en-US" w:eastAsia="zh-CN" w:bidi="ar-SA"/>
              </w:rPr>
              <w:t>配备必要的火灾应急救援器材、设备，对消防措施定期检查。若发生火灾，迅速转移人员，并用一切可能的消防器材全力灭火，及时拨打火灾报警电话。严禁火源进入</w:t>
            </w:r>
            <w:r>
              <w:rPr>
                <w:rFonts w:hint="eastAsia" w:hAnsi="宋体" w:cs="Times New Roman"/>
                <w:color w:val="auto"/>
                <w:kern w:val="2"/>
                <w:sz w:val="24"/>
                <w:szCs w:val="24"/>
                <w:lang w:val="en-US" w:eastAsia="zh-CN" w:bidi="ar-SA"/>
              </w:rPr>
              <w:t>锅炉区域</w:t>
            </w:r>
            <w:r>
              <w:rPr>
                <w:rFonts w:hint="eastAsia" w:ascii="Times New Roman" w:hAnsi="宋体" w:eastAsia="宋体" w:cs="Times New Roman"/>
                <w:color w:val="auto"/>
                <w:kern w:val="2"/>
                <w:sz w:val="24"/>
                <w:szCs w:val="24"/>
                <w:lang w:val="en-US" w:eastAsia="zh-CN" w:bidi="ar-SA"/>
              </w:rPr>
              <w:t>，对明火严格控制，明火发生源为火柴、打火机等，维修用火控制，对设备维修检查，需进行维修焊接，应经安全部门确认、准许，并有记录在案。</w:t>
            </w:r>
          </w:p>
          <w:p w14:paraId="0143C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另外如果废气处理设施发生故障的，会造成工艺废气直排入环境中，造成大气污染。一旦造成废气事故排放时，就可能对车间的工人、周围居民、其他厂工人、大气环境产生影响。建设单位必须严加管理，杜绝事故排放的事故发生。建设单位应认真做好设备的保养，定期维护、保修工作，使处理设施达到预期效果。为确保不发生事故性废气排放，建议建设单位采取一定的事故性防范保护措施：</w:t>
            </w:r>
          </w:p>
          <w:p w14:paraId="08504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①生产车间应做到相对密闭状态，加强对各生产设备的维修及保养，设置设备管理人员，提高管理人员素质，并设置生产车间事故应急措施及管理制度，确保设备长期处于良好状态。日常环保工作中加大废气处理的力度和加强环保设施管理工作，按时对</w:t>
            </w:r>
            <w:r>
              <w:rPr>
                <w:rFonts w:hint="eastAsia" w:hAnsi="宋体" w:cs="Times New Roman"/>
                <w:color w:val="auto"/>
                <w:kern w:val="2"/>
                <w:sz w:val="24"/>
                <w:szCs w:val="24"/>
                <w:lang w:val="en-US" w:eastAsia="zh-CN" w:bidi="ar-SA"/>
              </w:rPr>
              <w:t>油烟净化器</w:t>
            </w:r>
            <w:r>
              <w:rPr>
                <w:rFonts w:hint="eastAsia" w:ascii="Times New Roman" w:hAnsi="宋体" w:eastAsia="宋体" w:cs="Times New Roman"/>
                <w:color w:val="auto"/>
                <w:kern w:val="2"/>
                <w:sz w:val="24"/>
                <w:szCs w:val="24"/>
                <w:lang w:val="en-US" w:eastAsia="zh-CN" w:bidi="ar-SA"/>
              </w:rPr>
              <w:t>处理装置进行维护保养，保证废气处理设施能有效运转。严禁出现风机失效、废气未收集无组织排放的工况。一旦出现事故性排放应及时停止生产操作，待修复后再进行生产；</w:t>
            </w:r>
          </w:p>
          <w:p w14:paraId="32DBF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default" w:ascii="Times New Roman" w:hAnsi="Times New Roman" w:cs="Times New Roman"/>
                <w:sz w:val="24"/>
                <w:szCs w:val="24"/>
              </w:rPr>
            </w:pPr>
            <w:r>
              <w:rPr>
                <w:rFonts w:hint="eastAsia" w:ascii="Times New Roman" w:hAnsi="宋体" w:eastAsia="宋体" w:cs="Times New Roman"/>
                <w:color w:val="auto"/>
                <w:kern w:val="2"/>
                <w:sz w:val="24"/>
                <w:szCs w:val="24"/>
                <w:lang w:val="en-US" w:eastAsia="zh-CN" w:bidi="ar-SA"/>
              </w:rPr>
              <w:t>②现场</w:t>
            </w:r>
            <w:r>
              <w:rPr>
                <w:rFonts w:hint="eastAsia" w:hAnsi="宋体" w:cs="Times New Roman"/>
                <w:color w:val="auto"/>
                <w:kern w:val="2"/>
                <w:sz w:val="24"/>
                <w:szCs w:val="24"/>
                <w:lang w:val="en-US" w:eastAsia="zh-CN" w:bidi="ar-SA"/>
              </w:rPr>
              <w:t>工作</w:t>
            </w:r>
            <w:r>
              <w:rPr>
                <w:rFonts w:hint="eastAsia" w:ascii="Times New Roman" w:hAnsi="宋体" w:eastAsia="宋体" w:cs="Times New Roman"/>
                <w:color w:val="auto"/>
                <w:kern w:val="2"/>
                <w:sz w:val="24"/>
                <w:szCs w:val="24"/>
                <w:lang w:val="en-US" w:eastAsia="zh-CN" w:bidi="ar-SA"/>
              </w:rPr>
              <w:t>人员定时记录废气处理状况，如对废气处理设施的抽风机等设备进行点检工作，并派专人巡视，遇不良工作状况立即停止生产，维修正常后再开始作业，杜绝事故性废气直排，并及时呈报单位主管</w:t>
            </w:r>
            <w:r>
              <w:rPr>
                <w:rFonts w:hint="eastAsia" w:hAnsi="宋体" w:cs="Times New Roman"/>
                <w:color w:val="auto"/>
                <w:kern w:val="2"/>
                <w:sz w:val="24"/>
                <w:szCs w:val="24"/>
                <w:lang w:val="en-US" w:eastAsia="zh-CN" w:bidi="ar-SA"/>
              </w:rPr>
              <w:t>。</w:t>
            </w:r>
          </w:p>
        </w:tc>
      </w:tr>
      <w:tr w14:paraId="572AE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2" w:hRule="atLeast"/>
          <w:jc w:val="center"/>
        </w:trPr>
        <w:tc>
          <w:tcPr>
            <w:tcW w:w="681" w:type="pct"/>
            <w:noWrap w:val="0"/>
            <w:vAlign w:val="center"/>
          </w:tcPr>
          <w:p w14:paraId="23168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pacing w:val="-8"/>
                <w:sz w:val="24"/>
                <w:szCs w:val="24"/>
              </w:rPr>
            </w:pPr>
            <w:r>
              <w:rPr>
                <w:rFonts w:hint="default" w:ascii="Times New Roman" w:hAnsi="Times New Roman" w:cs="Times New Roman"/>
                <w:b/>
                <w:bCs/>
                <w:spacing w:val="-8"/>
                <w:sz w:val="24"/>
                <w:szCs w:val="24"/>
              </w:rPr>
              <w:t>其他环境</w:t>
            </w:r>
          </w:p>
          <w:p w14:paraId="1FC89F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pacing w:val="-8"/>
                <w:sz w:val="24"/>
                <w:szCs w:val="24"/>
              </w:rPr>
            </w:pPr>
            <w:r>
              <w:rPr>
                <w:rFonts w:hint="default" w:ascii="Times New Roman" w:hAnsi="Times New Roman" w:cs="Times New Roman"/>
                <w:b/>
                <w:bCs/>
                <w:spacing w:val="-8"/>
                <w:sz w:val="24"/>
                <w:szCs w:val="24"/>
              </w:rPr>
              <w:t>管理要求</w:t>
            </w:r>
          </w:p>
        </w:tc>
        <w:tc>
          <w:tcPr>
            <w:tcW w:w="4318" w:type="pct"/>
            <w:gridSpan w:val="4"/>
            <w:noWrap w:val="0"/>
            <w:vAlign w:val="center"/>
          </w:tcPr>
          <w:p w14:paraId="0FBF5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40" w:firstLineChars="1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rPr>
              <w:t>（1）项目建设过程中主体工程、环保设施应同时设计、同时施工、同时投产运行；项目建成后按照《建设项目竣工环境保护验收暂行办法》（国环规环评【2017】4号）要求开展项目竣工环境保护验收工作。</w:t>
            </w:r>
          </w:p>
          <w:p w14:paraId="40A2A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40" w:firstLineChars="1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rPr>
              <w:t>（2）按照《排污许可管理条例》（国务院令第736号）的相关要求开展固定污染源排污许可</w:t>
            </w:r>
            <w:r>
              <w:rPr>
                <w:rFonts w:hint="eastAsia" w:cs="Times New Roman"/>
                <w:sz w:val="24"/>
                <w:szCs w:val="24"/>
                <w:lang w:val="en-US" w:eastAsia="zh-CN"/>
              </w:rPr>
              <w:t>办理</w:t>
            </w:r>
            <w:r>
              <w:rPr>
                <w:rFonts w:hint="eastAsia" w:ascii="Times New Roman" w:hAnsi="Times New Roman" w:cs="Times New Roman"/>
                <w:sz w:val="24"/>
                <w:szCs w:val="24"/>
              </w:rPr>
              <w:t>。</w:t>
            </w:r>
          </w:p>
          <w:p w14:paraId="0188D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40" w:firstLineChars="1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rPr>
              <w:t>（3）项目营运过程中建立环境管理台账制度，落实环境管理台账记录的责任人，明确工作职责，包括台账的记录、整理、维护和管理等。台账记录频次和内容须满足排污许可证环境管理要求，并对台账记录结果的真实性、完整性和规范性负责。台账按照电子化储存和纸质储存两种形式同步管理，台账保存期限不得少于五年。</w:t>
            </w:r>
          </w:p>
          <w:p w14:paraId="18311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40" w:firstLineChars="100"/>
              <w:jc w:val="left"/>
              <w:textAlignment w:val="auto"/>
              <w:rPr>
                <w:rFonts w:hint="default" w:ascii="Times New Roman" w:hAnsi="Times New Roman" w:cs="Times New Roman"/>
                <w:sz w:val="24"/>
                <w:szCs w:val="24"/>
                <w:lang w:val="en-US"/>
              </w:rPr>
            </w:pPr>
            <w:r>
              <w:rPr>
                <w:rFonts w:hint="eastAsia" w:ascii="Times New Roman" w:hAnsi="Times New Roman" w:cs="Times New Roman"/>
                <w:sz w:val="24"/>
                <w:szCs w:val="24"/>
                <w:highlight w:val="none"/>
              </w:rPr>
              <w:t>（4）</w:t>
            </w:r>
            <w:r>
              <w:rPr>
                <w:rFonts w:hint="default" w:ascii="Times New Roman" w:hAnsi="Times New Roman" w:eastAsia="宋体" w:cs="Times New Roman"/>
                <w:color w:val="auto"/>
                <w:sz w:val="24"/>
                <w:szCs w:val="24"/>
                <w:highlight w:val="none"/>
                <w:lang w:val="en-US" w:eastAsia="zh-CN"/>
              </w:rPr>
              <w:t>制定环境监测计划：有组织废气</w:t>
            </w:r>
            <w:r>
              <w:rPr>
                <w:rFonts w:hint="eastAsia" w:cs="Times New Roman"/>
                <w:color w:val="auto"/>
                <w:sz w:val="24"/>
                <w:szCs w:val="24"/>
                <w:highlight w:val="none"/>
                <w:lang w:val="en-US" w:eastAsia="zh-CN"/>
              </w:rPr>
              <w:t>NO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每月</w:t>
            </w:r>
            <w:r>
              <w:rPr>
                <w:rFonts w:hint="default" w:ascii="Times New Roman" w:hAnsi="Times New Roman" w:eastAsia="宋体" w:cs="Times New Roman"/>
                <w:color w:val="auto"/>
                <w:sz w:val="24"/>
                <w:szCs w:val="24"/>
                <w:highlight w:val="none"/>
                <w:lang w:val="en-US" w:eastAsia="zh-CN"/>
              </w:rPr>
              <w:t>检测一次</w:t>
            </w:r>
            <w:r>
              <w:rPr>
                <w:rFonts w:hint="eastAsia" w:cs="Times New Roman"/>
                <w:color w:val="auto"/>
                <w:sz w:val="24"/>
                <w:szCs w:val="24"/>
                <w:highlight w:val="none"/>
                <w:lang w:val="en-US" w:eastAsia="zh-CN"/>
              </w:rPr>
              <w:t>，有组织其他污染因子每年或每半年检测一次</w:t>
            </w:r>
            <w:r>
              <w:rPr>
                <w:rFonts w:hint="default" w:ascii="Times New Roman" w:hAnsi="Times New Roman" w:eastAsia="宋体" w:cs="Times New Roman"/>
                <w:color w:val="auto"/>
                <w:sz w:val="24"/>
                <w:szCs w:val="24"/>
                <w:highlight w:val="none"/>
                <w:lang w:val="en-US" w:eastAsia="zh-CN"/>
              </w:rPr>
              <w:t>，无组织废气</w:t>
            </w:r>
            <w:r>
              <w:rPr>
                <w:rFonts w:hint="eastAsia" w:cs="Times New Roman"/>
                <w:color w:val="auto"/>
                <w:sz w:val="24"/>
                <w:szCs w:val="24"/>
                <w:highlight w:val="none"/>
                <w:lang w:val="en-US" w:eastAsia="zh-CN"/>
              </w:rPr>
              <w:t>每半年</w:t>
            </w:r>
            <w:r>
              <w:rPr>
                <w:rFonts w:hint="default" w:ascii="Times New Roman" w:hAnsi="Times New Roman" w:eastAsia="宋体" w:cs="Times New Roman"/>
                <w:color w:val="auto"/>
                <w:sz w:val="24"/>
                <w:szCs w:val="24"/>
                <w:highlight w:val="none"/>
                <w:lang w:val="en-US" w:eastAsia="zh-CN"/>
              </w:rPr>
              <w:t>检测一次</w:t>
            </w:r>
            <w:r>
              <w:rPr>
                <w:rFonts w:hint="eastAsia" w:cs="Times New Roman"/>
                <w:color w:val="auto"/>
                <w:sz w:val="24"/>
                <w:szCs w:val="24"/>
                <w:highlight w:val="none"/>
                <w:lang w:val="en-US" w:eastAsia="zh-CN"/>
              </w:rPr>
              <w:t>，废水每半年检测一次，</w:t>
            </w:r>
            <w:r>
              <w:rPr>
                <w:rFonts w:hint="default" w:ascii="Times New Roman" w:hAnsi="Times New Roman" w:eastAsia="宋体" w:cs="Times New Roman"/>
                <w:color w:val="auto"/>
                <w:sz w:val="24"/>
                <w:szCs w:val="24"/>
                <w:highlight w:val="none"/>
                <w:lang w:val="en-US" w:eastAsia="zh-CN"/>
              </w:rPr>
              <w:t>噪声每季度检测一次</w:t>
            </w:r>
            <w:r>
              <w:rPr>
                <w:rFonts w:hint="eastAsia" w:cs="Times New Roman"/>
                <w:color w:val="auto"/>
                <w:sz w:val="24"/>
                <w:szCs w:val="24"/>
                <w:highlight w:val="none"/>
                <w:lang w:val="en-US" w:eastAsia="zh-CN"/>
              </w:rPr>
              <w:t>。</w:t>
            </w:r>
          </w:p>
        </w:tc>
      </w:tr>
    </w:tbl>
    <w:p w14:paraId="3C0144AF">
      <w:pPr>
        <w:pStyle w:val="17"/>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14:paraId="042A5BF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center"/>
          </w:tcPr>
          <w:p w14:paraId="2C14C9B0">
            <w:pPr>
              <w:spacing w:line="520" w:lineRule="exact"/>
              <w:ind w:firstLine="480" w:firstLineChars="200"/>
              <w:rPr>
                <w:rFonts w:hint="eastAsia"/>
                <w:b w:val="0"/>
                <w:bCs w:val="0"/>
                <w:sz w:val="24"/>
                <w:szCs w:val="24"/>
              </w:rPr>
            </w:pPr>
            <w:r>
              <w:rPr>
                <w:rFonts w:hint="eastAsia"/>
                <w:b w:val="0"/>
                <w:bCs w:val="0"/>
                <w:sz w:val="24"/>
                <w:szCs w:val="24"/>
              </w:rPr>
              <w:t>综上所述，评价认为，</w:t>
            </w:r>
            <w:r>
              <w:rPr>
                <w:rFonts w:hint="eastAsia"/>
                <w:b w:val="0"/>
                <w:bCs w:val="0"/>
                <w:sz w:val="24"/>
                <w:szCs w:val="24"/>
                <w:lang w:val="en-US" w:eastAsia="zh-CN"/>
              </w:rPr>
              <w:t>叶县嘉航食品有限公司叶县廉村镇沙渡口清真牛骨高汤系列、辣椒酱系列（复合调味料）加工项目</w:t>
            </w:r>
            <w:r>
              <w:rPr>
                <w:rFonts w:hint="eastAsia"/>
                <w:b w:val="0"/>
                <w:bCs w:val="0"/>
                <w:sz w:val="24"/>
                <w:szCs w:val="24"/>
              </w:rPr>
              <w:t>符合国家产业政策，符合</w:t>
            </w:r>
            <w:r>
              <w:rPr>
                <w:rFonts w:hint="eastAsia"/>
                <w:b w:val="0"/>
                <w:bCs w:val="0"/>
                <w:sz w:val="24"/>
                <w:szCs w:val="24"/>
                <w:lang w:val="en-US" w:eastAsia="zh-CN"/>
              </w:rPr>
              <w:t>叶县“三线一单”要求，项目</w:t>
            </w:r>
            <w:r>
              <w:rPr>
                <w:rFonts w:hint="eastAsia"/>
                <w:b w:val="0"/>
                <w:bCs w:val="0"/>
                <w:sz w:val="24"/>
                <w:szCs w:val="24"/>
              </w:rPr>
              <w:t>选址可行；本项目采取的</w:t>
            </w:r>
            <w:r>
              <w:rPr>
                <w:rFonts w:hint="eastAsia"/>
                <w:b w:val="0"/>
                <w:bCs w:val="0"/>
                <w:sz w:val="24"/>
                <w:szCs w:val="24"/>
                <w:lang w:eastAsia="zh-CN"/>
              </w:rPr>
              <w:t>废气、</w:t>
            </w:r>
            <w:r>
              <w:rPr>
                <w:rFonts w:hint="eastAsia"/>
                <w:b w:val="0"/>
                <w:bCs w:val="0"/>
                <w:sz w:val="24"/>
                <w:szCs w:val="24"/>
              </w:rPr>
              <w:t>噪声、污水、固废处理措施均经济、技术可行，措施有效，项目采取本报告表中提出的环保措施后，项目营运过程中污染物可做到达标排放；项目周围环境质量较好。从</w:t>
            </w:r>
            <w:r>
              <w:rPr>
                <w:rFonts w:hint="eastAsia" w:ascii="Times New Roman" w:hAnsi="Times New Roman" w:eastAsia="宋体" w:cs="Times New Roman"/>
                <w:b w:val="0"/>
                <w:bCs w:val="0"/>
                <w:sz w:val="24"/>
                <w:szCs w:val="24"/>
              </w:rPr>
              <w:t>环境保护角度</w:t>
            </w:r>
            <w:r>
              <w:rPr>
                <w:rFonts w:hint="eastAsia"/>
                <w:b w:val="0"/>
                <w:bCs w:val="0"/>
                <w:sz w:val="24"/>
                <w:szCs w:val="24"/>
              </w:rPr>
              <w:t>分析，项目建设</w:t>
            </w:r>
            <w:r>
              <w:rPr>
                <w:rFonts w:hint="eastAsia"/>
                <w:b w:val="0"/>
                <w:bCs w:val="0"/>
                <w:sz w:val="24"/>
                <w:szCs w:val="24"/>
                <w:lang w:eastAsia="zh-CN"/>
              </w:rPr>
              <w:t>是</w:t>
            </w:r>
            <w:r>
              <w:rPr>
                <w:rFonts w:hint="eastAsia"/>
                <w:b w:val="0"/>
                <w:bCs w:val="0"/>
                <w:sz w:val="24"/>
                <w:szCs w:val="24"/>
              </w:rPr>
              <w:t>可行</w:t>
            </w:r>
            <w:r>
              <w:rPr>
                <w:rFonts w:hint="eastAsia"/>
                <w:b w:val="0"/>
                <w:bCs w:val="0"/>
                <w:sz w:val="24"/>
                <w:szCs w:val="24"/>
                <w:lang w:eastAsia="zh-CN"/>
              </w:rPr>
              <w:t>的</w:t>
            </w:r>
            <w:r>
              <w:rPr>
                <w:rFonts w:hint="eastAsia"/>
                <w:b w:val="0"/>
                <w:bCs w:val="0"/>
                <w:sz w:val="24"/>
                <w:szCs w:val="24"/>
              </w:rPr>
              <w:t>。</w:t>
            </w:r>
          </w:p>
          <w:p w14:paraId="608A8EE2">
            <w:pPr>
              <w:pStyle w:val="2"/>
              <w:rPr>
                <w:rFonts w:hint="eastAsia"/>
                <w:b w:val="0"/>
                <w:bCs w:val="0"/>
                <w:sz w:val="24"/>
                <w:szCs w:val="24"/>
              </w:rPr>
            </w:pPr>
          </w:p>
          <w:p w14:paraId="75017E85">
            <w:pPr>
              <w:rPr>
                <w:rFonts w:hint="eastAsia"/>
                <w:b w:val="0"/>
                <w:bCs w:val="0"/>
                <w:sz w:val="24"/>
                <w:szCs w:val="24"/>
              </w:rPr>
            </w:pPr>
          </w:p>
          <w:p w14:paraId="60409E8C">
            <w:pPr>
              <w:pStyle w:val="2"/>
            </w:pPr>
          </w:p>
        </w:tc>
      </w:tr>
    </w:tbl>
    <w:p w14:paraId="38405DDE">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01883B9">
      <w:pPr>
        <w:pStyle w:val="17"/>
        <w:adjustRightInd w:val="0"/>
        <w:snapToGrid w:val="0"/>
        <w:spacing w:before="0" w:beforeAutospacing="0" w:after="0" w:afterAutospacing="0"/>
        <w:outlineLvl w:val="0"/>
        <w:rPr>
          <w:rFonts w:ascii="黑体" w:hAnsi="黑体" w:eastAsia="黑体"/>
          <w:snapToGrid w:val="0"/>
          <w:sz w:val="32"/>
          <w:szCs w:val="32"/>
        </w:rPr>
      </w:pPr>
      <w:r>
        <w:rPr>
          <w:rFonts w:hint="eastAsia" w:ascii="黑体" w:hAnsi="黑体" w:eastAsia="黑体"/>
          <w:snapToGrid w:val="0"/>
          <w:sz w:val="32"/>
          <w:szCs w:val="32"/>
        </w:rPr>
        <w:t>附表</w:t>
      </w:r>
    </w:p>
    <w:p w14:paraId="525DFAD7">
      <w:pPr>
        <w:pStyle w:val="17"/>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1"/>
        <w:tblW w:w="1381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840"/>
        <w:gridCol w:w="1436"/>
        <w:gridCol w:w="1224"/>
        <w:gridCol w:w="1632"/>
        <w:gridCol w:w="1497"/>
        <w:gridCol w:w="1691"/>
        <w:gridCol w:w="1882"/>
        <w:gridCol w:w="1373"/>
      </w:tblGrid>
      <w:tr w14:paraId="0D0DB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239" w:type="dxa"/>
            <w:tcBorders>
              <w:tl2br w:val="single" w:color="auto" w:sz="4" w:space="0"/>
            </w:tcBorders>
            <w:noWrap w:val="0"/>
            <w:tcMar>
              <w:left w:w="28" w:type="dxa"/>
              <w:right w:w="28" w:type="dxa"/>
            </w:tcMar>
            <w:vAlign w:val="center"/>
          </w:tcPr>
          <w:p w14:paraId="2016072F">
            <w:pPr>
              <w:pStyle w:val="45"/>
              <w:spacing w:beforeLines="0" w:afterLines="0" w:line="240" w:lineRule="auto"/>
              <w:jc w:val="right"/>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项目</w:t>
            </w:r>
          </w:p>
          <w:p w14:paraId="6CCC1BF7">
            <w:pPr>
              <w:pStyle w:val="45"/>
              <w:spacing w:beforeLines="0" w:afterLines="0" w:line="240" w:lineRule="auto"/>
              <w:jc w:val="left"/>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分类</w:t>
            </w:r>
          </w:p>
        </w:tc>
        <w:tc>
          <w:tcPr>
            <w:tcW w:w="1840" w:type="dxa"/>
            <w:noWrap w:val="0"/>
            <w:tcMar>
              <w:left w:w="28" w:type="dxa"/>
              <w:right w:w="28" w:type="dxa"/>
            </w:tcMar>
            <w:vAlign w:val="center"/>
          </w:tcPr>
          <w:p w14:paraId="2C422E91">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污染物名称</w:t>
            </w:r>
          </w:p>
        </w:tc>
        <w:tc>
          <w:tcPr>
            <w:tcW w:w="1436" w:type="dxa"/>
            <w:noWrap w:val="0"/>
            <w:tcMar>
              <w:left w:w="28" w:type="dxa"/>
              <w:right w:w="28" w:type="dxa"/>
            </w:tcMar>
            <w:vAlign w:val="center"/>
          </w:tcPr>
          <w:p w14:paraId="68C8A251">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现有工程</w:t>
            </w:r>
          </w:p>
          <w:p w14:paraId="4B285F8D">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排放量（固体废物产生量）</w:t>
            </w:r>
            <w:r>
              <w:rPr>
                <w:rFonts w:hint="default" w:ascii="Times New Roman" w:hAnsi="Times New Roman" w:eastAsia="黑体" w:cs="Times New Roman"/>
                <w:snapToGrid w:val="0"/>
                <w:spacing w:val="-6"/>
                <w:kern w:val="21"/>
                <w:szCs w:val="21"/>
                <w:lang w:val="en-US" w:eastAsia="zh-CN"/>
              </w:rPr>
              <w:fldChar w:fldCharType="begin"/>
            </w:r>
            <w:r>
              <w:rPr>
                <w:rFonts w:hint="default" w:ascii="Times New Roman" w:hAnsi="Times New Roman" w:eastAsia="黑体" w:cs="Times New Roman"/>
                <w:snapToGrid w:val="0"/>
                <w:spacing w:val="-6"/>
                <w:kern w:val="21"/>
                <w:szCs w:val="21"/>
                <w:lang w:val="en-US" w:eastAsia="zh-CN"/>
              </w:rPr>
              <w:instrText xml:space="preserve"> = 1 \* GB3 \* MERGEFORMAT </w:instrText>
            </w:r>
            <w:r>
              <w:rPr>
                <w:rFonts w:hint="default" w:ascii="Times New Roman" w:hAnsi="Times New Roman" w:eastAsia="黑体" w:cs="Times New Roman"/>
                <w:snapToGrid w:val="0"/>
                <w:spacing w:val="-6"/>
                <w:kern w:val="21"/>
                <w:szCs w:val="21"/>
                <w:lang w:val="en-US" w:eastAsia="zh-CN"/>
              </w:rPr>
              <w:fldChar w:fldCharType="separate"/>
            </w:r>
            <w:r>
              <w:rPr>
                <w:rFonts w:hint="default" w:ascii="Times New Roman" w:hAnsi="Times New Roman" w:eastAsia="黑体" w:cs="Times New Roman"/>
                <w:kern w:val="2"/>
                <w:szCs w:val="21"/>
                <w:lang w:val="en-US" w:eastAsia="zh-CN"/>
              </w:rPr>
              <w:t>①</w:t>
            </w:r>
            <w:r>
              <w:rPr>
                <w:rFonts w:hint="default" w:ascii="Times New Roman" w:hAnsi="Times New Roman" w:eastAsia="黑体" w:cs="Times New Roman"/>
                <w:snapToGrid w:val="0"/>
                <w:spacing w:val="-6"/>
                <w:kern w:val="21"/>
                <w:szCs w:val="21"/>
                <w:lang w:val="en-US" w:eastAsia="zh-CN"/>
              </w:rPr>
              <w:fldChar w:fldCharType="end"/>
            </w:r>
          </w:p>
        </w:tc>
        <w:tc>
          <w:tcPr>
            <w:tcW w:w="1224" w:type="dxa"/>
            <w:noWrap w:val="0"/>
            <w:tcMar>
              <w:left w:w="28" w:type="dxa"/>
              <w:right w:w="28" w:type="dxa"/>
            </w:tcMar>
            <w:vAlign w:val="center"/>
          </w:tcPr>
          <w:p w14:paraId="3BB585B0">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现有工程</w:t>
            </w:r>
          </w:p>
          <w:p w14:paraId="4EF24DF4">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许可排放量</w:t>
            </w:r>
          </w:p>
          <w:p w14:paraId="36B95B11">
            <w:pPr>
              <w:pStyle w:val="45"/>
              <w:spacing w:beforeLines="0" w:afterLines="0"/>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fldChar w:fldCharType="begin"/>
            </w:r>
            <w:r>
              <w:rPr>
                <w:rFonts w:hint="default" w:ascii="Times New Roman" w:hAnsi="Times New Roman" w:eastAsia="黑体" w:cs="Times New Roman"/>
                <w:snapToGrid w:val="0"/>
                <w:spacing w:val="-6"/>
                <w:kern w:val="21"/>
                <w:szCs w:val="21"/>
                <w:lang w:val="en-US" w:eastAsia="zh-CN"/>
              </w:rPr>
              <w:instrText xml:space="preserve"> = 2 \* GB3 \* MERGEFORMAT </w:instrText>
            </w:r>
            <w:r>
              <w:rPr>
                <w:rFonts w:hint="default" w:ascii="Times New Roman" w:hAnsi="Times New Roman" w:eastAsia="黑体" w:cs="Times New Roman"/>
                <w:snapToGrid w:val="0"/>
                <w:spacing w:val="-6"/>
                <w:kern w:val="21"/>
                <w:szCs w:val="21"/>
                <w:lang w:val="en-US" w:eastAsia="zh-CN"/>
              </w:rPr>
              <w:fldChar w:fldCharType="separate"/>
            </w:r>
            <w:r>
              <w:rPr>
                <w:rFonts w:hint="default" w:ascii="Times New Roman" w:hAnsi="Times New Roman" w:eastAsia="黑体" w:cs="Times New Roman"/>
                <w:snapToGrid w:val="0"/>
                <w:spacing w:val="-6"/>
                <w:kern w:val="21"/>
                <w:szCs w:val="21"/>
                <w:lang w:val="en-US" w:eastAsia="zh-CN"/>
              </w:rPr>
              <w:t>②</w:t>
            </w:r>
            <w:r>
              <w:rPr>
                <w:rFonts w:hint="default" w:ascii="Times New Roman" w:hAnsi="Times New Roman" w:eastAsia="黑体" w:cs="Times New Roman"/>
                <w:snapToGrid w:val="0"/>
                <w:spacing w:val="-6"/>
                <w:kern w:val="21"/>
                <w:szCs w:val="21"/>
                <w:lang w:val="en-US" w:eastAsia="zh-CN"/>
              </w:rPr>
              <w:fldChar w:fldCharType="end"/>
            </w:r>
          </w:p>
        </w:tc>
        <w:tc>
          <w:tcPr>
            <w:tcW w:w="1632" w:type="dxa"/>
            <w:noWrap w:val="0"/>
            <w:tcMar>
              <w:left w:w="28" w:type="dxa"/>
              <w:right w:w="28" w:type="dxa"/>
            </w:tcMar>
            <w:vAlign w:val="center"/>
          </w:tcPr>
          <w:p w14:paraId="5D17B2C9">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在建工程</w:t>
            </w:r>
          </w:p>
          <w:p w14:paraId="6944D339">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排放量（固体废物产生量）</w:t>
            </w:r>
            <w:r>
              <w:rPr>
                <w:rFonts w:hint="default" w:ascii="Times New Roman" w:hAnsi="Times New Roman" w:eastAsia="黑体" w:cs="Times New Roman"/>
                <w:snapToGrid w:val="0"/>
                <w:spacing w:val="-6"/>
                <w:kern w:val="21"/>
                <w:szCs w:val="21"/>
                <w:lang w:val="en-US" w:eastAsia="zh-CN"/>
              </w:rPr>
              <w:fldChar w:fldCharType="begin"/>
            </w:r>
            <w:r>
              <w:rPr>
                <w:rFonts w:hint="default" w:ascii="Times New Roman" w:hAnsi="Times New Roman" w:eastAsia="黑体" w:cs="Times New Roman"/>
                <w:snapToGrid w:val="0"/>
                <w:spacing w:val="-6"/>
                <w:kern w:val="21"/>
                <w:szCs w:val="21"/>
                <w:lang w:val="en-US" w:eastAsia="zh-CN"/>
              </w:rPr>
              <w:instrText xml:space="preserve"> = 3 \* GB3 \* MERGEFORMAT </w:instrText>
            </w:r>
            <w:r>
              <w:rPr>
                <w:rFonts w:hint="default" w:ascii="Times New Roman" w:hAnsi="Times New Roman" w:eastAsia="黑体" w:cs="Times New Roman"/>
                <w:snapToGrid w:val="0"/>
                <w:spacing w:val="-6"/>
                <w:kern w:val="21"/>
                <w:szCs w:val="21"/>
                <w:lang w:val="en-US" w:eastAsia="zh-CN"/>
              </w:rPr>
              <w:fldChar w:fldCharType="separate"/>
            </w:r>
            <w:r>
              <w:rPr>
                <w:rFonts w:hint="default" w:ascii="Times New Roman" w:hAnsi="Times New Roman" w:eastAsia="黑体" w:cs="Times New Roman"/>
                <w:kern w:val="2"/>
                <w:szCs w:val="21"/>
                <w:lang w:val="en-US" w:eastAsia="zh-CN"/>
              </w:rPr>
              <w:t>③</w:t>
            </w:r>
            <w:r>
              <w:rPr>
                <w:rFonts w:hint="default" w:ascii="Times New Roman" w:hAnsi="Times New Roman" w:eastAsia="黑体" w:cs="Times New Roman"/>
                <w:snapToGrid w:val="0"/>
                <w:spacing w:val="-6"/>
                <w:kern w:val="21"/>
                <w:szCs w:val="21"/>
                <w:lang w:val="en-US" w:eastAsia="zh-CN"/>
              </w:rPr>
              <w:fldChar w:fldCharType="end"/>
            </w:r>
          </w:p>
        </w:tc>
        <w:tc>
          <w:tcPr>
            <w:tcW w:w="1497" w:type="dxa"/>
            <w:noWrap w:val="0"/>
            <w:tcMar>
              <w:left w:w="28" w:type="dxa"/>
              <w:right w:w="28" w:type="dxa"/>
            </w:tcMar>
            <w:vAlign w:val="center"/>
          </w:tcPr>
          <w:p w14:paraId="43595908">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本项目</w:t>
            </w:r>
          </w:p>
          <w:p w14:paraId="6AE91444">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排放量（固体废物产生量）</w:t>
            </w:r>
            <w:r>
              <w:rPr>
                <w:rFonts w:hint="default" w:ascii="Times New Roman" w:hAnsi="Times New Roman" w:eastAsia="黑体" w:cs="Times New Roman"/>
                <w:snapToGrid w:val="0"/>
                <w:spacing w:val="-6"/>
                <w:kern w:val="21"/>
                <w:szCs w:val="21"/>
                <w:lang w:val="en-US" w:eastAsia="zh-CN"/>
              </w:rPr>
              <w:fldChar w:fldCharType="begin"/>
            </w:r>
            <w:r>
              <w:rPr>
                <w:rFonts w:hint="default" w:ascii="Times New Roman" w:hAnsi="Times New Roman" w:eastAsia="黑体" w:cs="Times New Roman"/>
                <w:snapToGrid w:val="0"/>
                <w:spacing w:val="-6"/>
                <w:kern w:val="21"/>
                <w:szCs w:val="21"/>
                <w:lang w:val="en-US" w:eastAsia="zh-CN"/>
              </w:rPr>
              <w:instrText xml:space="preserve"> = 4 \* GB3 \* MERGEFORMAT </w:instrText>
            </w:r>
            <w:r>
              <w:rPr>
                <w:rFonts w:hint="default" w:ascii="Times New Roman" w:hAnsi="Times New Roman" w:eastAsia="黑体" w:cs="Times New Roman"/>
                <w:snapToGrid w:val="0"/>
                <w:spacing w:val="-6"/>
                <w:kern w:val="21"/>
                <w:szCs w:val="21"/>
                <w:lang w:val="en-US" w:eastAsia="zh-CN"/>
              </w:rPr>
              <w:fldChar w:fldCharType="separate"/>
            </w:r>
            <w:r>
              <w:rPr>
                <w:rFonts w:hint="default" w:ascii="Times New Roman" w:hAnsi="Times New Roman" w:eastAsia="黑体" w:cs="Times New Roman"/>
                <w:kern w:val="2"/>
                <w:szCs w:val="21"/>
                <w:lang w:val="en-US" w:eastAsia="zh-CN"/>
              </w:rPr>
              <w:t>④</w:t>
            </w:r>
            <w:r>
              <w:rPr>
                <w:rFonts w:hint="default" w:ascii="Times New Roman" w:hAnsi="Times New Roman" w:eastAsia="黑体" w:cs="Times New Roman"/>
                <w:snapToGrid w:val="0"/>
                <w:spacing w:val="-6"/>
                <w:kern w:val="21"/>
                <w:szCs w:val="21"/>
                <w:lang w:val="en-US" w:eastAsia="zh-CN"/>
              </w:rPr>
              <w:fldChar w:fldCharType="end"/>
            </w:r>
          </w:p>
        </w:tc>
        <w:tc>
          <w:tcPr>
            <w:tcW w:w="1691" w:type="dxa"/>
            <w:noWrap w:val="0"/>
            <w:tcMar>
              <w:left w:w="28" w:type="dxa"/>
              <w:right w:w="28" w:type="dxa"/>
            </w:tcMar>
            <w:vAlign w:val="center"/>
          </w:tcPr>
          <w:p w14:paraId="37DA835A">
            <w:pPr>
              <w:pStyle w:val="45"/>
              <w:spacing w:beforeLines="0" w:afterLines="0" w:line="240" w:lineRule="auto"/>
              <w:rPr>
                <w:rFonts w:hint="default" w:ascii="Times New Roman" w:hAnsi="Times New Roman" w:eastAsia="黑体" w:cs="Times New Roman"/>
                <w:snapToGrid w:val="0"/>
                <w:spacing w:val="-16"/>
                <w:kern w:val="21"/>
                <w:szCs w:val="21"/>
                <w:lang w:val="en-US" w:eastAsia="zh-CN"/>
              </w:rPr>
            </w:pPr>
            <w:r>
              <w:rPr>
                <w:rFonts w:hint="default" w:ascii="Times New Roman" w:hAnsi="Times New Roman" w:eastAsia="黑体" w:cs="Times New Roman"/>
                <w:snapToGrid w:val="0"/>
                <w:spacing w:val="-16"/>
                <w:kern w:val="21"/>
                <w:szCs w:val="21"/>
                <w:lang w:val="en-US" w:eastAsia="zh-CN"/>
              </w:rPr>
              <w:t>以新带老削减量</w:t>
            </w:r>
          </w:p>
          <w:p w14:paraId="682E02A1">
            <w:pPr>
              <w:pStyle w:val="45"/>
              <w:spacing w:beforeLines="0" w:afterLines="0" w:line="240" w:lineRule="auto"/>
              <w:rPr>
                <w:rFonts w:hint="default" w:ascii="Times New Roman" w:hAnsi="Times New Roman" w:eastAsia="黑体" w:cs="Times New Roman"/>
                <w:snapToGrid w:val="0"/>
                <w:spacing w:val="-16"/>
                <w:kern w:val="21"/>
                <w:szCs w:val="21"/>
                <w:lang w:val="en-US" w:eastAsia="zh-CN"/>
              </w:rPr>
            </w:pPr>
            <w:r>
              <w:rPr>
                <w:rFonts w:hint="default" w:ascii="Times New Roman" w:hAnsi="Times New Roman" w:eastAsia="黑体" w:cs="Times New Roman"/>
                <w:snapToGrid w:val="0"/>
                <w:spacing w:val="-16"/>
                <w:kern w:val="21"/>
                <w:szCs w:val="21"/>
                <w:lang w:val="en-US" w:eastAsia="zh-CN"/>
              </w:rPr>
              <w:t>（新建项目不填）</w:t>
            </w:r>
            <w:r>
              <w:rPr>
                <w:rFonts w:hint="default" w:ascii="Times New Roman" w:hAnsi="Times New Roman" w:eastAsia="黑体" w:cs="Times New Roman"/>
                <w:snapToGrid w:val="0"/>
                <w:spacing w:val="-16"/>
                <w:kern w:val="21"/>
                <w:szCs w:val="21"/>
                <w:lang w:val="en-US" w:eastAsia="zh-CN"/>
              </w:rPr>
              <w:fldChar w:fldCharType="begin"/>
            </w:r>
            <w:r>
              <w:rPr>
                <w:rFonts w:hint="default" w:ascii="Times New Roman" w:hAnsi="Times New Roman" w:eastAsia="黑体" w:cs="Times New Roman"/>
                <w:snapToGrid w:val="0"/>
                <w:spacing w:val="-16"/>
                <w:kern w:val="21"/>
                <w:szCs w:val="21"/>
                <w:lang w:val="en-US" w:eastAsia="zh-CN"/>
              </w:rPr>
              <w:instrText xml:space="preserve"> = 5 \* GB3 \* MERGEFORMAT </w:instrText>
            </w:r>
            <w:r>
              <w:rPr>
                <w:rFonts w:hint="default" w:ascii="Times New Roman" w:hAnsi="Times New Roman" w:eastAsia="黑体" w:cs="Times New Roman"/>
                <w:snapToGrid w:val="0"/>
                <w:spacing w:val="-16"/>
                <w:kern w:val="21"/>
                <w:szCs w:val="21"/>
                <w:lang w:val="en-US" w:eastAsia="zh-CN"/>
              </w:rPr>
              <w:fldChar w:fldCharType="separate"/>
            </w:r>
            <w:r>
              <w:rPr>
                <w:rFonts w:hint="default" w:ascii="Times New Roman" w:hAnsi="Times New Roman" w:eastAsia="黑体" w:cs="Times New Roman"/>
                <w:kern w:val="2"/>
                <w:szCs w:val="21"/>
                <w:lang w:val="en-US" w:eastAsia="zh-CN"/>
              </w:rPr>
              <w:t>⑤</w:t>
            </w:r>
            <w:r>
              <w:rPr>
                <w:rFonts w:hint="default" w:ascii="Times New Roman" w:hAnsi="Times New Roman" w:eastAsia="黑体" w:cs="Times New Roman"/>
                <w:snapToGrid w:val="0"/>
                <w:spacing w:val="-16"/>
                <w:kern w:val="21"/>
                <w:szCs w:val="21"/>
                <w:lang w:val="en-US" w:eastAsia="zh-CN"/>
              </w:rPr>
              <w:fldChar w:fldCharType="end"/>
            </w:r>
          </w:p>
        </w:tc>
        <w:tc>
          <w:tcPr>
            <w:tcW w:w="1882" w:type="dxa"/>
            <w:noWrap w:val="0"/>
            <w:tcMar>
              <w:left w:w="28" w:type="dxa"/>
              <w:right w:w="28" w:type="dxa"/>
            </w:tcMar>
            <w:vAlign w:val="center"/>
          </w:tcPr>
          <w:p w14:paraId="3F68208E">
            <w:pPr>
              <w:pStyle w:val="45"/>
              <w:spacing w:beforeLines="0" w:afterLines="0" w:line="240" w:lineRule="auto"/>
              <w:rPr>
                <w:rFonts w:hint="default" w:ascii="Times New Roman" w:hAnsi="Times New Roman" w:eastAsia="黑体" w:cs="Times New Roman"/>
                <w:snapToGrid w:val="0"/>
                <w:spacing w:val="-16"/>
                <w:kern w:val="21"/>
                <w:szCs w:val="21"/>
                <w:lang w:val="en-US" w:eastAsia="zh-CN"/>
              </w:rPr>
            </w:pPr>
            <w:r>
              <w:rPr>
                <w:rFonts w:hint="default" w:ascii="Times New Roman" w:hAnsi="Times New Roman" w:eastAsia="黑体" w:cs="Times New Roman"/>
                <w:snapToGrid w:val="0"/>
                <w:spacing w:val="-16"/>
                <w:kern w:val="21"/>
                <w:szCs w:val="21"/>
                <w:lang w:val="en-US" w:eastAsia="zh-CN"/>
              </w:rPr>
              <w:t>本项目建成后</w:t>
            </w:r>
          </w:p>
          <w:p w14:paraId="280CA01E">
            <w:pPr>
              <w:pStyle w:val="45"/>
              <w:spacing w:beforeLines="0" w:afterLines="0" w:line="240" w:lineRule="auto"/>
              <w:rPr>
                <w:rFonts w:hint="default" w:ascii="Times New Roman" w:hAnsi="Times New Roman" w:eastAsia="黑体" w:cs="Times New Roman"/>
                <w:snapToGrid w:val="0"/>
                <w:spacing w:val="-16"/>
                <w:kern w:val="21"/>
                <w:szCs w:val="21"/>
                <w:lang w:val="en-US" w:eastAsia="zh-CN"/>
              </w:rPr>
            </w:pPr>
            <w:r>
              <w:rPr>
                <w:rFonts w:hint="default" w:ascii="Times New Roman" w:hAnsi="Times New Roman" w:eastAsia="黑体" w:cs="Times New Roman"/>
                <w:snapToGrid w:val="0"/>
                <w:spacing w:val="-16"/>
                <w:kern w:val="21"/>
                <w:szCs w:val="21"/>
                <w:lang w:val="en-US" w:eastAsia="zh-CN"/>
              </w:rPr>
              <w:t>全厂排放量（固体废物产生量）</w:t>
            </w:r>
            <w:r>
              <w:rPr>
                <w:rFonts w:hint="default" w:ascii="Times New Roman" w:hAnsi="Times New Roman" w:eastAsia="黑体" w:cs="Times New Roman"/>
                <w:snapToGrid w:val="0"/>
                <w:spacing w:val="-16"/>
                <w:kern w:val="21"/>
                <w:szCs w:val="21"/>
                <w:lang w:val="en-US" w:eastAsia="zh-CN"/>
              </w:rPr>
              <w:fldChar w:fldCharType="begin"/>
            </w:r>
            <w:r>
              <w:rPr>
                <w:rFonts w:hint="default" w:ascii="Times New Roman" w:hAnsi="Times New Roman" w:eastAsia="黑体" w:cs="Times New Roman"/>
                <w:snapToGrid w:val="0"/>
                <w:spacing w:val="-16"/>
                <w:kern w:val="21"/>
                <w:szCs w:val="21"/>
                <w:lang w:val="en-US" w:eastAsia="zh-CN"/>
              </w:rPr>
              <w:instrText xml:space="preserve"> = 6 \* GB3 \* MERGEFORMAT </w:instrText>
            </w:r>
            <w:r>
              <w:rPr>
                <w:rFonts w:hint="default" w:ascii="Times New Roman" w:hAnsi="Times New Roman" w:eastAsia="黑体" w:cs="Times New Roman"/>
                <w:snapToGrid w:val="0"/>
                <w:spacing w:val="-16"/>
                <w:kern w:val="21"/>
                <w:szCs w:val="21"/>
                <w:lang w:val="en-US" w:eastAsia="zh-CN"/>
              </w:rPr>
              <w:fldChar w:fldCharType="separate"/>
            </w:r>
            <w:r>
              <w:rPr>
                <w:rFonts w:hint="default" w:ascii="Times New Roman" w:hAnsi="Times New Roman" w:eastAsia="黑体" w:cs="Times New Roman"/>
                <w:kern w:val="2"/>
                <w:szCs w:val="21"/>
                <w:lang w:val="en-US" w:eastAsia="zh-CN"/>
              </w:rPr>
              <w:t>⑥</w:t>
            </w:r>
            <w:r>
              <w:rPr>
                <w:rFonts w:hint="default" w:ascii="Times New Roman" w:hAnsi="Times New Roman" w:eastAsia="黑体" w:cs="Times New Roman"/>
                <w:snapToGrid w:val="0"/>
                <w:spacing w:val="-16"/>
                <w:kern w:val="21"/>
                <w:szCs w:val="21"/>
                <w:lang w:val="en-US" w:eastAsia="zh-CN"/>
              </w:rPr>
              <w:fldChar w:fldCharType="end"/>
            </w:r>
          </w:p>
        </w:tc>
        <w:tc>
          <w:tcPr>
            <w:tcW w:w="1373" w:type="dxa"/>
            <w:noWrap w:val="0"/>
            <w:tcMar>
              <w:left w:w="28" w:type="dxa"/>
              <w:right w:w="28" w:type="dxa"/>
            </w:tcMar>
            <w:vAlign w:val="center"/>
          </w:tcPr>
          <w:p w14:paraId="7EB3E9A3">
            <w:pPr>
              <w:pStyle w:val="45"/>
              <w:spacing w:beforeLines="0" w:afterLines="0" w:line="240" w:lineRule="auto"/>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变化量</w:t>
            </w:r>
            <w:r>
              <w:rPr>
                <w:rFonts w:hint="default" w:ascii="Times New Roman" w:hAnsi="Times New Roman" w:eastAsia="黑体" w:cs="Times New Roman"/>
                <w:snapToGrid w:val="0"/>
                <w:spacing w:val="-6"/>
                <w:kern w:val="21"/>
                <w:szCs w:val="21"/>
                <w:lang w:val="en-US" w:eastAsia="zh-CN"/>
              </w:rPr>
              <w:fldChar w:fldCharType="begin"/>
            </w:r>
            <w:r>
              <w:rPr>
                <w:rFonts w:hint="default" w:ascii="Times New Roman" w:hAnsi="Times New Roman" w:eastAsia="黑体" w:cs="Times New Roman"/>
                <w:snapToGrid w:val="0"/>
                <w:spacing w:val="-6"/>
                <w:kern w:val="21"/>
                <w:szCs w:val="21"/>
                <w:lang w:val="en-US" w:eastAsia="zh-CN"/>
              </w:rPr>
              <w:instrText xml:space="preserve"> = 7 \* GB3 \* MERGEFORMAT </w:instrText>
            </w:r>
            <w:r>
              <w:rPr>
                <w:rFonts w:hint="default" w:ascii="Times New Roman" w:hAnsi="Times New Roman" w:eastAsia="黑体" w:cs="Times New Roman"/>
                <w:snapToGrid w:val="0"/>
                <w:spacing w:val="-6"/>
                <w:kern w:val="21"/>
                <w:szCs w:val="21"/>
                <w:lang w:val="en-US" w:eastAsia="zh-CN"/>
              </w:rPr>
              <w:fldChar w:fldCharType="separate"/>
            </w:r>
            <w:r>
              <w:rPr>
                <w:rFonts w:hint="default" w:ascii="Times New Roman" w:hAnsi="Times New Roman" w:eastAsia="黑体" w:cs="Times New Roman"/>
                <w:kern w:val="2"/>
                <w:szCs w:val="21"/>
                <w:lang w:val="en-US" w:eastAsia="zh-CN"/>
              </w:rPr>
              <w:t>⑦</w:t>
            </w:r>
            <w:r>
              <w:rPr>
                <w:rFonts w:hint="default" w:ascii="Times New Roman" w:hAnsi="Times New Roman" w:eastAsia="黑体" w:cs="Times New Roman"/>
                <w:snapToGrid w:val="0"/>
                <w:spacing w:val="-6"/>
                <w:kern w:val="21"/>
                <w:szCs w:val="21"/>
                <w:lang w:val="en-US" w:eastAsia="zh-CN"/>
              </w:rPr>
              <w:fldChar w:fldCharType="end"/>
            </w:r>
          </w:p>
        </w:tc>
      </w:tr>
      <w:tr w14:paraId="5EC8A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39" w:type="dxa"/>
            <w:vMerge w:val="restart"/>
            <w:noWrap w:val="0"/>
            <w:vAlign w:val="center"/>
          </w:tcPr>
          <w:p w14:paraId="053C9801">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cs="Times New Roman"/>
                <w:snapToGrid w:val="0"/>
                <w:kern w:val="21"/>
                <w:szCs w:val="21"/>
                <w:highlight w:val="none"/>
                <w:lang w:val="en-US" w:eastAsia="zh-CN"/>
              </w:rPr>
              <w:t>废气</w:t>
            </w:r>
          </w:p>
        </w:tc>
        <w:tc>
          <w:tcPr>
            <w:tcW w:w="1840" w:type="dxa"/>
            <w:noWrap w:val="0"/>
            <w:vAlign w:val="center"/>
          </w:tcPr>
          <w:p w14:paraId="4178D414">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油烟</w:t>
            </w:r>
          </w:p>
        </w:tc>
        <w:tc>
          <w:tcPr>
            <w:tcW w:w="1436" w:type="dxa"/>
            <w:noWrap w:val="0"/>
            <w:vAlign w:val="center"/>
          </w:tcPr>
          <w:p w14:paraId="28A8C13C">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081B1664">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63E63BD1">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19114888">
            <w:pPr>
              <w:jc w:val="center"/>
              <w:rPr>
                <w:rFonts w:hint="default" w:ascii="Times New Roman" w:hAnsi="Times New Roman" w:eastAsia="宋体" w:cs="Times New Roman"/>
                <w:lang w:val="en-US" w:eastAsia="zh-CN"/>
              </w:rPr>
            </w:pPr>
            <w:r>
              <w:rPr>
                <w:rFonts w:hint="eastAsia" w:cs="Times New Roman"/>
                <w:snapToGrid w:val="0"/>
                <w:kern w:val="21"/>
                <w:szCs w:val="21"/>
                <w:lang w:val="en-US" w:eastAsia="zh-CN"/>
              </w:rPr>
              <w:t>0.0649</w:t>
            </w:r>
            <w:r>
              <w:rPr>
                <w:rFonts w:hint="default" w:ascii="Times New Roman" w:hAnsi="Times New Roman" w:cs="Times New Roman"/>
                <w:snapToGrid w:val="0"/>
                <w:kern w:val="21"/>
                <w:szCs w:val="21"/>
                <w:lang w:val="en-US" w:eastAsia="zh-CN"/>
              </w:rPr>
              <w:t>t/a</w:t>
            </w:r>
          </w:p>
        </w:tc>
        <w:tc>
          <w:tcPr>
            <w:tcW w:w="1691" w:type="dxa"/>
            <w:noWrap w:val="0"/>
            <w:vAlign w:val="center"/>
          </w:tcPr>
          <w:p w14:paraId="3F3CFC77">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2C15AF90">
            <w:pPr>
              <w:jc w:val="center"/>
              <w:rPr>
                <w:rFonts w:hint="default" w:ascii="Times New Roman" w:hAnsi="Times New Roman" w:eastAsia="宋体" w:cs="Times New Roman"/>
                <w:kern w:val="2"/>
                <w:sz w:val="21"/>
                <w:szCs w:val="21"/>
                <w:lang w:val="en-US" w:eastAsia="zh-CN" w:bidi="ar-SA"/>
              </w:rPr>
            </w:pPr>
            <w:r>
              <w:rPr>
                <w:rFonts w:hint="eastAsia" w:cs="Times New Roman"/>
                <w:snapToGrid w:val="0"/>
                <w:kern w:val="21"/>
                <w:szCs w:val="21"/>
                <w:lang w:val="en-US" w:eastAsia="zh-CN"/>
              </w:rPr>
              <w:t>0.0649</w:t>
            </w:r>
            <w:r>
              <w:rPr>
                <w:rFonts w:hint="default" w:ascii="Times New Roman" w:hAnsi="Times New Roman" w:cs="Times New Roman"/>
                <w:snapToGrid w:val="0"/>
                <w:kern w:val="21"/>
                <w:szCs w:val="21"/>
                <w:lang w:val="en-US" w:eastAsia="zh-CN"/>
              </w:rPr>
              <w:t>t/a</w:t>
            </w:r>
          </w:p>
        </w:tc>
        <w:tc>
          <w:tcPr>
            <w:tcW w:w="1373" w:type="dxa"/>
            <w:shd w:val="clear" w:color="auto" w:fill="auto"/>
            <w:noWrap w:val="0"/>
            <w:vAlign w:val="center"/>
          </w:tcPr>
          <w:p w14:paraId="52D44D37">
            <w:pPr>
              <w:jc w:val="center"/>
              <w:rPr>
                <w:rFonts w:hint="default" w:ascii="Times New Roman" w:hAnsi="Times New Roman" w:eastAsia="宋体" w:cs="Times New Roman"/>
                <w:kern w:val="2"/>
                <w:sz w:val="21"/>
                <w:szCs w:val="21"/>
                <w:lang w:val="en-US" w:eastAsia="zh-CN" w:bidi="ar-SA"/>
              </w:rPr>
            </w:pPr>
            <w:r>
              <w:rPr>
                <w:rFonts w:hint="eastAsia" w:cs="Times New Roman"/>
                <w:snapToGrid w:val="0"/>
                <w:kern w:val="21"/>
                <w:szCs w:val="21"/>
                <w:lang w:val="en-US" w:eastAsia="zh-CN"/>
              </w:rPr>
              <w:t>+0.0649</w:t>
            </w:r>
            <w:r>
              <w:rPr>
                <w:rFonts w:hint="default" w:ascii="Times New Roman" w:hAnsi="Times New Roman" w:cs="Times New Roman"/>
                <w:snapToGrid w:val="0"/>
                <w:kern w:val="21"/>
                <w:szCs w:val="21"/>
                <w:lang w:val="en-US" w:eastAsia="zh-CN"/>
              </w:rPr>
              <w:t>t/a</w:t>
            </w:r>
          </w:p>
        </w:tc>
      </w:tr>
      <w:tr w14:paraId="55A10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39" w:type="dxa"/>
            <w:vMerge w:val="continue"/>
            <w:noWrap w:val="0"/>
            <w:vAlign w:val="center"/>
          </w:tcPr>
          <w:p w14:paraId="3764E0FF">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3C347D71">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eastAsia="宋体" w:cs="Times New Roman"/>
                <w:snapToGrid w:val="0"/>
                <w:kern w:val="21"/>
                <w:szCs w:val="21"/>
                <w:highlight w:val="none"/>
                <w:lang w:val="en-US" w:eastAsia="zh-CN"/>
              </w:rPr>
              <w:t>颗粒物</w:t>
            </w:r>
          </w:p>
        </w:tc>
        <w:tc>
          <w:tcPr>
            <w:tcW w:w="1436" w:type="dxa"/>
            <w:noWrap w:val="0"/>
            <w:vAlign w:val="center"/>
          </w:tcPr>
          <w:p w14:paraId="633A2DCB">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1CFD936A">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6128972A">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105192E8">
            <w:pPr>
              <w:jc w:val="center"/>
              <w:rPr>
                <w:rFonts w:hint="default" w:ascii="Times New Roman" w:hAnsi="Times New Roman" w:cs="Times New Roman"/>
                <w:kern w:val="0"/>
                <w:lang w:val="en-US" w:eastAsia="zh-CN"/>
              </w:rPr>
            </w:pPr>
            <w:r>
              <w:rPr>
                <w:rFonts w:hint="eastAsia" w:cs="Times New Roman"/>
                <w:snapToGrid w:val="0"/>
                <w:kern w:val="21"/>
                <w:szCs w:val="21"/>
                <w:lang w:val="en-US" w:eastAsia="zh-CN"/>
              </w:rPr>
              <w:t>0.0053</w:t>
            </w:r>
            <w:r>
              <w:rPr>
                <w:rFonts w:hint="default" w:ascii="Times New Roman" w:hAnsi="Times New Roman" w:cs="Times New Roman"/>
                <w:snapToGrid w:val="0"/>
                <w:kern w:val="21"/>
                <w:szCs w:val="21"/>
                <w:lang w:val="en-US" w:eastAsia="zh-CN"/>
              </w:rPr>
              <w:t>t/a</w:t>
            </w:r>
          </w:p>
        </w:tc>
        <w:tc>
          <w:tcPr>
            <w:tcW w:w="1691" w:type="dxa"/>
            <w:noWrap w:val="0"/>
            <w:vAlign w:val="center"/>
          </w:tcPr>
          <w:p w14:paraId="3C586F23">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2EE16FB4">
            <w:pPr>
              <w:jc w:val="center"/>
              <w:rPr>
                <w:rFonts w:hint="default" w:ascii="Times New Roman" w:hAnsi="Times New Roman" w:eastAsia="宋体" w:cs="Times New Roman"/>
                <w:kern w:val="0"/>
                <w:sz w:val="21"/>
                <w:szCs w:val="21"/>
                <w:lang w:val="en-US" w:eastAsia="zh-CN" w:bidi="ar-SA"/>
              </w:rPr>
            </w:pPr>
            <w:r>
              <w:rPr>
                <w:rFonts w:hint="eastAsia" w:cs="Times New Roman"/>
                <w:snapToGrid w:val="0"/>
                <w:kern w:val="21"/>
                <w:szCs w:val="21"/>
                <w:lang w:val="en-US" w:eastAsia="zh-CN"/>
              </w:rPr>
              <w:t>0.0053</w:t>
            </w:r>
            <w:r>
              <w:rPr>
                <w:rFonts w:hint="default" w:ascii="Times New Roman" w:hAnsi="Times New Roman" w:cs="Times New Roman"/>
                <w:snapToGrid w:val="0"/>
                <w:kern w:val="21"/>
                <w:szCs w:val="21"/>
                <w:lang w:val="en-US" w:eastAsia="zh-CN"/>
              </w:rPr>
              <w:t>t/a</w:t>
            </w:r>
          </w:p>
        </w:tc>
        <w:tc>
          <w:tcPr>
            <w:tcW w:w="1373" w:type="dxa"/>
            <w:shd w:val="clear" w:color="auto" w:fill="auto"/>
            <w:noWrap w:val="0"/>
            <w:vAlign w:val="center"/>
          </w:tcPr>
          <w:p w14:paraId="4E97CB18">
            <w:pPr>
              <w:jc w:val="center"/>
              <w:rPr>
                <w:rFonts w:hint="default" w:ascii="Times New Roman" w:hAnsi="Times New Roman" w:eastAsia="宋体" w:cs="Times New Roman"/>
                <w:kern w:val="0"/>
                <w:sz w:val="21"/>
                <w:szCs w:val="21"/>
                <w:lang w:val="en-US" w:eastAsia="zh-CN" w:bidi="ar-SA"/>
              </w:rPr>
            </w:pPr>
            <w:r>
              <w:rPr>
                <w:rFonts w:hint="eastAsia" w:cs="Times New Roman"/>
                <w:snapToGrid w:val="0"/>
                <w:kern w:val="21"/>
                <w:szCs w:val="21"/>
                <w:lang w:val="en-US" w:eastAsia="zh-CN"/>
              </w:rPr>
              <w:t>+0.0053</w:t>
            </w:r>
            <w:r>
              <w:rPr>
                <w:rFonts w:hint="default" w:ascii="Times New Roman" w:hAnsi="Times New Roman" w:cs="Times New Roman"/>
                <w:snapToGrid w:val="0"/>
                <w:kern w:val="21"/>
                <w:szCs w:val="21"/>
                <w:lang w:val="en-US" w:eastAsia="zh-CN"/>
              </w:rPr>
              <w:t>t/a</w:t>
            </w:r>
          </w:p>
        </w:tc>
      </w:tr>
      <w:tr w14:paraId="2D330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39" w:type="dxa"/>
            <w:vMerge w:val="continue"/>
            <w:noWrap w:val="0"/>
            <w:vAlign w:val="center"/>
          </w:tcPr>
          <w:p w14:paraId="6E8E92C5">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5430BB32">
            <w:pPr>
              <w:pStyle w:val="45"/>
              <w:spacing w:beforeLines="0" w:afterLines="0" w:line="240" w:lineRule="auto"/>
              <w:rPr>
                <w:rFonts w:hint="default" w:ascii="Times New Roman" w:hAnsi="Times New Roman" w:eastAsia="宋体"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二氧化硫</w:t>
            </w:r>
          </w:p>
        </w:tc>
        <w:tc>
          <w:tcPr>
            <w:tcW w:w="1436" w:type="dxa"/>
            <w:noWrap w:val="0"/>
            <w:vAlign w:val="center"/>
          </w:tcPr>
          <w:p w14:paraId="0F9C6AC9">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512667AE">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079936D3">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0B8CED43">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0.008</w:t>
            </w:r>
            <w:r>
              <w:rPr>
                <w:rFonts w:hint="default" w:ascii="Times New Roman" w:hAnsi="Times New Roman" w:cs="Times New Roman"/>
                <w:snapToGrid w:val="0"/>
                <w:kern w:val="21"/>
                <w:szCs w:val="21"/>
                <w:lang w:val="en-US" w:eastAsia="zh-CN"/>
              </w:rPr>
              <w:t>t/a</w:t>
            </w:r>
          </w:p>
        </w:tc>
        <w:tc>
          <w:tcPr>
            <w:tcW w:w="1691" w:type="dxa"/>
            <w:noWrap w:val="0"/>
            <w:vAlign w:val="center"/>
          </w:tcPr>
          <w:p w14:paraId="59192E01">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368C606D">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0.008</w:t>
            </w:r>
            <w:r>
              <w:rPr>
                <w:rFonts w:hint="default" w:ascii="Times New Roman" w:hAnsi="Times New Roman" w:cs="Times New Roman"/>
                <w:snapToGrid w:val="0"/>
                <w:kern w:val="21"/>
                <w:szCs w:val="21"/>
                <w:lang w:val="en-US" w:eastAsia="zh-CN"/>
              </w:rPr>
              <w:t>t/a</w:t>
            </w:r>
          </w:p>
        </w:tc>
        <w:tc>
          <w:tcPr>
            <w:tcW w:w="1373" w:type="dxa"/>
            <w:shd w:val="clear" w:color="auto" w:fill="auto"/>
            <w:noWrap w:val="0"/>
            <w:vAlign w:val="center"/>
          </w:tcPr>
          <w:p w14:paraId="70E21476">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+0.008</w:t>
            </w:r>
            <w:r>
              <w:rPr>
                <w:rFonts w:hint="default" w:ascii="Times New Roman" w:hAnsi="Times New Roman" w:cs="Times New Roman"/>
                <w:snapToGrid w:val="0"/>
                <w:kern w:val="21"/>
                <w:szCs w:val="21"/>
                <w:lang w:val="en-US" w:eastAsia="zh-CN"/>
              </w:rPr>
              <w:t>t/a</w:t>
            </w:r>
          </w:p>
        </w:tc>
      </w:tr>
      <w:tr w14:paraId="1B7FE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39" w:type="dxa"/>
            <w:vMerge w:val="continue"/>
            <w:noWrap w:val="0"/>
            <w:vAlign w:val="center"/>
          </w:tcPr>
          <w:p w14:paraId="661E8D3F">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73D4E5C5">
            <w:pPr>
              <w:pStyle w:val="45"/>
              <w:spacing w:beforeLines="0" w:afterLines="0" w:line="240" w:lineRule="auto"/>
              <w:rPr>
                <w:rFonts w:hint="default" w:ascii="Times New Roman" w:hAnsi="Times New Roman" w:eastAsia="宋体"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二氧化氮</w:t>
            </w:r>
          </w:p>
        </w:tc>
        <w:tc>
          <w:tcPr>
            <w:tcW w:w="1436" w:type="dxa"/>
            <w:noWrap w:val="0"/>
            <w:vAlign w:val="center"/>
          </w:tcPr>
          <w:p w14:paraId="3ED8D8D6">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3A1D1DE3">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5CDD05BD">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5D58BDD2">
            <w:pPr>
              <w:jc w:val="center"/>
              <w:rPr>
                <w:rFonts w:hint="eastAsia" w:ascii="Times New Roman" w:hAnsi="Times New Roman" w:eastAsia="宋体" w:cs="Times New Roman"/>
                <w:kern w:val="0"/>
                <w:sz w:val="21"/>
                <w:szCs w:val="21"/>
                <w:lang w:val="en-US" w:eastAsia="zh-CN" w:bidi="ar-SA"/>
              </w:rPr>
            </w:pPr>
            <w:r>
              <w:rPr>
                <w:rFonts w:hint="eastAsia" w:cs="Times New Roman"/>
                <w:snapToGrid w:val="0"/>
                <w:kern w:val="21"/>
                <w:szCs w:val="21"/>
                <w:lang w:val="en-US" w:eastAsia="zh-CN"/>
              </w:rPr>
              <w:t>0.0303</w:t>
            </w:r>
            <w:r>
              <w:rPr>
                <w:rFonts w:hint="default" w:ascii="Times New Roman" w:hAnsi="Times New Roman" w:cs="Times New Roman"/>
                <w:snapToGrid w:val="0"/>
                <w:kern w:val="21"/>
                <w:szCs w:val="21"/>
                <w:lang w:val="en-US" w:eastAsia="zh-CN"/>
              </w:rPr>
              <w:t>t/a</w:t>
            </w:r>
          </w:p>
        </w:tc>
        <w:tc>
          <w:tcPr>
            <w:tcW w:w="1691" w:type="dxa"/>
            <w:noWrap w:val="0"/>
            <w:vAlign w:val="center"/>
          </w:tcPr>
          <w:p w14:paraId="260F84C9">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73B6F04B">
            <w:pPr>
              <w:jc w:val="center"/>
              <w:rPr>
                <w:rFonts w:hint="eastAsia" w:ascii="Times New Roman" w:hAnsi="Times New Roman" w:eastAsia="宋体" w:cs="Times New Roman"/>
                <w:kern w:val="0"/>
                <w:sz w:val="21"/>
                <w:szCs w:val="21"/>
                <w:lang w:val="en-US" w:eastAsia="zh-CN" w:bidi="ar-SA"/>
              </w:rPr>
            </w:pPr>
            <w:r>
              <w:rPr>
                <w:rFonts w:hint="eastAsia" w:cs="Times New Roman"/>
                <w:snapToGrid w:val="0"/>
                <w:kern w:val="21"/>
                <w:szCs w:val="21"/>
                <w:lang w:val="en-US" w:eastAsia="zh-CN"/>
              </w:rPr>
              <w:t>0.0303</w:t>
            </w:r>
            <w:r>
              <w:rPr>
                <w:rFonts w:hint="default" w:ascii="Times New Roman" w:hAnsi="Times New Roman" w:cs="Times New Roman"/>
                <w:snapToGrid w:val="0"/>
                <w:kern w:val="21"/>
                <w:szCs w:val="21"/>
                <w:lang w:val="en-US" w:eastAsia="zh-CN"/>
              </w:rPr>
              <w:t>t/a</w:t>
            </w:r>
          </w:p>
        </w:tc>
        <w:tc>
          <w:tcPr>
            <w:tcW w:w="1373" w:type="dxa"/>
            <w:shd w:val="clear" w:color="auto" w:fill="auto"/>
            <w:noWrap w:val="0"/>
            <w:vAlign w:val="center"/>
          </w:tcPr>
          <w:p w14:paraId="5A31EF6B">
            <w:pPr>
              <w:jc w:val="center"/>
              <w:rPr>
                <w:rFonts w:hint="eastAsia" w:ascii="Times New Roman" w:hAnsi="Times New Roman" w:eastAsia="宋体" w:cs="Times New Roman"/>
                <w:kern w:val="0"/>
                <w:sz w:val="21"/>
                <w:szCs w:val="21"/>
                <w:lang w:val="en-US" w:eastAsia="zh-CN" w:bidi="ar-SA"/>
              </w:rPr>
            </w:pPr>
            <w:r>
              <w:rPr>
                <w:rFonts w:hint="eastAsia" w:cs="Times New Roman"/>
                <w:snapToGrid w:val="0"/>
                <w:kern w:val="21"/>
                <w:szCs w:val="21"/>
                <w:lang w:val="en-US" w:eastAsia="zh-CN"/>
              </w:rPr>
              <w:t>+0.0303</w:t>
            </w:r>
            <w:r>
              <w:rPr>
                <w:rFonts w:hint="default" w:ascii="Times New Roman" w:hAnsi="Times New Roman" w:cs="Times New Roman"/>
                <w:snapToGrid w:val="0"/>
                <w:kern w:val="21"/>
                <w:szCs w:val="21"/>
                <w:lang w:val="en-US" w:eastAsia="zh-CN"/>
              </w:rPr>
              <w:t>t/a</w:t>
            </w:r>
          </w:p>
        </w:tc>
      </w:tr>
      <w:tr w14:paraId="49EF9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39" w:type="dxa"/>
            <w:vMerge w:val="continue"/>
            <w:noWrap w:val="0"/>
            <w:vAlign w:val="center"/>
          </w:tcPr>
          <w:p w14:paraId="61EFDD15">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6E4BE851">
            <w:pPr>
              <w:pStyle w:val="45"/>
              <w:spacing w:beforeLines="0" w:afterLines="0" w:line="240" w:lineRule="auto"/>
              <w:rPr>
                <w:rFonts w:hint="default" w:asci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氨</w:t>
            </w:r>
          </w:p>
        </w:tc>
        <w:tc>
          <w:tcPr>
            <w:tcW w:w="1436" w:type="dxa"/>
            <w:noWrap w:val="0"/>
            <w:vAlign w:val="center"/>
          </w:tcPr>
          <w:p w14:paraId="700D4E3A">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2ACDFA17">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0A5B122E">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18219803">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highlight w:val="none"/>
                <w:lang w:val="en-US" w:eastAsia="zh-CN"/>
              </w:rPr>
              <w:t>0.00039</w:t>
            </w:r>
            <w:r>
              <w:rPr>
                <w:rFonts w:hint="default" w:ascii="Times New Roman" w:hAnsi="Times New Roman" w:cs="Times New Roman"/>
                <w:highlight w:val="none"/>
              </w:rPr>
              <w:t>t/a</w:t>
            </w:r>
          </w:p>
        </w:tc>
        <w:tc>
          <w:tcPr>
            <w:tcW w:w="1691" w:type="dxa"/>
            <w:shd w:val="clear" w:color="auto" w:fill="auto"/>
            <w:noWrap w:val="0"/>
            <w:vAlign w:val="center"/>
          </w:tcPr>
          <w:p w14:paraId="4B53DC5E">
            <w:pPr>
              <w:pStyle w:val="45"/>
              <w:spacing w:beforeLines="0" w:afterLines="0" w:line="240" w:lineRule="auto"/>
              <w:rPr>
                <w:rFonts w:hint="default" w:ascii="Times New Roman" w:hAnsi="Times New Roman" w:eastAsia="宋体" w:cs="Times New Roman"/>
                <w:snapToGrid w:val="0"/>
                <w:kern w:val="21"/>
                <w:sz w:val="21"/>
                <w:szCs w:val="21"/>
                <w:lang w:val="en-US" w:eastAsia="zh-CN" w:bidi="ar-SA"/>
              </w:rPr>
            </w:pPr>
          </w:p>
        </w:tc>
        <w:tc>
          <w:tcPr>
            <w:tcW w:w="1882" w:type="dxa"/>
            <w:shd w:val="clear" w:color="auto" w:fill="auto"/>
            <w:noWrap w:val="0"/>
            <w:vAlign w:val="center"/>
          </w:tcPr>
          <w:p w14:paraId="1D8A50A4">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0.00039</w:t>
            </w:r>
            <w:r>
              <w:rPr>
                <w:rFonts w:hint="default" w:ascii="Times New Roman" w:hAnsi="Times New Roman" w:cs="Times New Roman"/>
                <w:highlight w:val="none"/>
              </w:rPr>
              <w:t>t/a</w:t>
            </w:r>
          </w:p>
        </w:tc>
        <w:tc>
          <w:tcPr>
            <w:tcW w:w="1373" w:type="dxa"/>
            <w:shd w:val="clear" w:color="auto" w:fill="auto"/>
            <w:noWrap w:val="0"/>
            <w:vAlign w:val="center"/>
          </w:tcPr>
          <w:p w14:paraId="53CB28D6">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lang w:val="en-US" w:eastAsia="zh-CN"/>
              </w:rPr>
              <w:t>+</w:t>
            </w:r>
            <w:r>
              <w:rPr>
                <w:rFonts w:hint="eastAsia" w:cs="Times New Roman"/>
                <w:highlight w:val="none"/>
                <w:lang w:val="en-US" w:eastAsia="zh-CN"/>
              </w:rPr>
              <w:t>0.00039</w:t>
            </w:r>
            <w:r>
              <w:rPr>
                <w:rFonts w:hint="default" w:ascii="Times New Roman" w:hAnsi="Times New Roman" w:cs="Times New Roman"/>
                <w:highlight w:val="none"/>
              </w:rPr>
              <w:t>t/a</w:t>
            </w:r>
          </w:p>
        </w:tc>
      </w:tr>
      <w:tr w14:paraId="664E1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39" w:type="dxa"/>
            <w:vMerge w:val="continue"/>
            <w:noWrap w:val="0"/>
            <w:vAlign w:val="center"/>
          </w:tcPr>
          <w:p w14:paraId="2CA1FC15">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4B33EF32">
            <w:pPr>
              <w:pStyle w:val="45"/>
              <w:spacing w:beforeLines="0" w:afterLines="0" w:line="240" w:lineRule="auto"/>
              <w:rPr>
                <w:rFonts w:hint="default" w:asci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硫化氢</w:t>
            </w:r>
          </w:p>
        </w:tc>
        <w:tc>
          <w:tcPr>
            <w:tcW w:w="1436" w:type="dxa"/>
            <w:noWrap w:val="0"/>
            <w:vAlign w:val="center"/>
          </w:tcPr>
          <w:p w14:paraId="22B1ED89">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21FB9250">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67877CFC">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436A07AC">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0.000027</w:t>
            </w:r>
            <w:r>
              <w:rPr>
                <w:rFonts w:hint="default" w:ascii="Times New Roman" w:hAnsi="Times New Roman" w:cs="Times New Roman"/>
                <w:highlight w:val="none"/>
              </w:rPr>
              <w:t>t/a</w:t>
            </w:r>
          </w:p>
        </w:tc>
        <w:tc>
          <w:tcPr>
            <w:tcW w:w="1691" w:type="dxa"/>
            <w:shd w:val="clear" w:color="auto" w:fill="auto"/>
            <w:noWrap w:val="0"/>
            <w:vAlign w:val="center"/>
          </w:tcPr>
          <w:p w14:paraId="7663D97D">
            <w:pPr>
              <w:pStyle w:val="45"/>
              <w:spacing w:beforeLines="0" w:afterLines="0" w:line="240" w:lineRule="auto"/>
              <w:rPr>
                <w:rFonts w:hint="default" w:ascii="Times New Roman" w:hAnsi="Times New Roman" w:eastAsia="宋体" w:cs="Times New Roman"/>
                <w:snapToGrid w:val="0"/>
                <w:kern w:val="21"/>
                <w:sz w:val="21"/>
                <w:szCs w:val="21"/>
                <w:lang w:val="en-US" w:eastAsia="zh-CN" w:bidi="ar-SA"/>
              </w:rPr>
            </w:pPr>
          </w:p>
        </w:tc>
        <w:tc>
          <w:tcPr>
            <w:tcW w:w="1882" w:type="dxa"/>
            <w:shd w:val="clear" w:color="auto" w:fill="auto"/>
            <w:noWrap w:val="0"/>
            <w:vAlign w:val="center"/>
          </w:tcPr>
          <w:p w14:paraId="3F278217">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0.000027</w:t>
            </w:r>
            <w:r>
              <w:rPr>
                <w:rFonts w:hint="default" w:ascii="Times New Roman" w:hAnsi="Times New Roman" w:cs="Times New Roman"/>
                <w:highlight w:val="none"/>
              </w:rPr>
              <w:t>t/a</w:t>
            </w:r>
          </w:p>
        </w:tc>
        <w:tc>
          <w:tcPr>
            <w:tcW w:w="1373" w:type="dxa"/>
            <w:shd w:val="clear" w:color="auto" w:fill="auto"/>
            <w:noWrap w:val="0"/>
            <w:vAlign w:val="center"/>
          </w:tcPr>
          <w:p w14:paraId="48B818C0">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lang w:val="en-US" w:eastAsia="zh-CN"/>
              </w:rPr>
              <w:t>+</w:t>
            </w:r>
            <w:r>
              <w:rPr>
                <w:rFonts w:hint="eastAsia" w:cs="Times New Roman"/>
                <w:highlight w:val="none"/>
                <w:lang w:val="en-US" w:eastAsia="zh-CN"/>
              </w:rPr>
              <w:t>0.000027</w:t>
            </w:r>
            <w:r>
              <w:rPr>
                <w:rFonts w:hint="default" w:ascii="Times New Roman" w:hAnsi="Times New Roman" w:cs="Times New Roman"/>
                <w:highlight w:val="none"/>
              </w:rPr>
              <w:t>t/a</w:t>
            </w:r>
          </w:p>
        </w:tc>
      </w:tr>
      <w:tr w14:paraId="00DEF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39" w:type="dxa"/>
            <w:vMerge w:val="continue"/>
            <w:noWrap w:val="0"/>
            <w:vAlign w:val="center"/>
          </w:tcPr>
          <w:p w14:paraId="124A8E95">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0616E87D">
            <w:pPr>
              <w:pStyle w:val="45"/>
              <w:spacing w:beforeLines="0" w:afterLines="0" w:line="240" w:lineRule="auto"/>
              <w:rPr>
                <w:rFonts w:hint="eastAsia" w:asci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非甲烷总烃</w:t>
            </w:r>
          </w:p>
          <w:p w14:paraId="23115335">
            <w:pPr>
              <w:pStyle w:val="45"/>
              <w:spacing w:beforeLines="0" w:afterLines="0" w:line="240" w:lineRule="auto"/>
              <w:rPr>
                <w:rFonts w:hint="default" w:asci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（无组织）</w:t>
            </w:r>
          </w:p>
        </w:tc>
        <w:tc>
          <w:tcPr>
            <w:tcW w:w="1436" w:type="dxa"/>
            <w:noWrap w:val="0"/>
            <w:vAlign w:val="center"/>
          </w:tcPr>
          <w:p w14:paraId="6BE1AA66">
            <w:pPr>
              <w:pStyle w:val="45"/>
              <w:spacing w:beforeLines="0" w:afterLines="0" w:line="240" w:lineRule="auto"/>
              <w:rPr>
                <w:rFonts w:hint="default" w:ascii="Times New Roman" w:hAnsi="Times New Roman" w:cs="Times New Roman"/>
                <w:snapToGrid w:val="0"/>
                <w:kern w:val="21"/>
                <w:szCs w:val="21"/>
                <w:highlight w:val="yellow"/>
                <w:lang w:val="en-US" w:eastAsia="zh-CN"/>
              </w:rPr>
            </w:pPr>
          </w:p>
        </w:tc>
        <w:tc>
          <w:tcPr>
            <w:tcW w:w="1224" w:type="dxa"/>
            <w:noWrap w:val="0"/>
            <w:vAlign w:val="center"/>
          </w:tcPr>
          <w:p w14:paraId="25F73781">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05BF04F5">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64E46C0E">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0.0875kg</w:t>
            </w:r>
            <w:r>
              <w:rPr>
                <w:rFonts w:hint="default" w:ascii="Times New Roman" w:hAnsi="Times New Roman" w:cs="Times New Roman"/>
                <w:snapToGrid w:val="0"/>
                <w:kern w:val="21"/>
                <w:szCs w:val="21"/>
                <w:lang w:val="en-US" w:eastAsia="zh-CN"/>
              </w:rPr>
              <w:t>/a</w:t>
            </w:r>
          </w:p>
        </w:tc>
        <w:tc>
          <w:tcPr>
            <w:tcW w:w="1691" w:type="dxa"/>
            <w:noWrap w:val="0"/>
            <w:vAlign w:val="center"/>
          </w:tcPr>
          <w:p w14:paraId="763DA02C">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200668E0">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0.0875kg</w:t>
            </w:r>
            <w:r>
              <w:rPr>
                <w:rFonts w:hint="default" w:ascii="Times New Roman" w:hAnsi="Times New Roman" w:cs="Times New Roman"/>
                <w:snapToGrid w:val="0"/>
                <w:kern w:val="21"/>
                <w:szCs w:val="21"/>
                <w:lang w:val="en-US" w:eastAsia="zh-CN"/>
              </w:rPr>
              <w:t>/a</w:t>
            </w:r>
          </w:p>
        </w:tc>
        <w:tc>
          <w:tcPr>
            <w:tcW w:w="1373" w:type="dxa"/>
            <w:shd w:val="clear" w:color="auto" w:fill="auto"/>
            <w:noWrap w:val="0"/>
            <w:vAlign w:val="center"/>
          </w:tcPr>
          <w:p w14:paraId="70BD8F47">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napToGrid w:val="0"/>
                <w:kern w:val="21"/>
                <w:szCs w:val="21"/>
                <w:lang w:val="en-US" w:eastAsia="zh-CN"/>
              </w:rPr>
              <w:t>+0.0875kg</w:t>
            </w:r>
            <w:r>
              <w:rPr>
                <w:rFonts w:hint="default" w:ascii="Times New Roman" w:hAnsi="Times New Roman" w:cs="Times New Roman"/>
                <w:snapToGrid w:val="0"/>
                <w:kern w:val="21"/>
                <w:szCs w:val="21"/>
                <w:lang w:val="en-US" w:eastAsia="zh-CN"/>
              </w:rPr>
              <w:t>/a</w:t>
            </w:r>
          </w:p>
        </w:tc>
      </w:tr>
      <w:tr w14:paraId="6D400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39" w:type="dxa"/>
            <w:vMerge w:val="restart"/>
            <w:noWrap w:val="0"/>
            <w:vAlign w:val="center"/>
          </w:tcPr>
          <w:p w14:paraId="35DE2D76">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eastAsia" w:ascii="Times New Roman" w:hAnsi="Times New Roman" w:cs="Times New Roman"/>
                <w:snapToGrid w:val="0"/>
                <w:kern w:val="21"/>
                <w:szCs w:val="21"/>
                <w:highlight w:val="none"/>
                <w:lang w:val="en-US" w:eastAsia="zh-CN"/>
              </w:rPr>
              <w:t>废水</w:t>
            </w:r>
          </w:p>
        </w:tc>
        <w:tc>
          <w:tcPr>
            <w:tcW w:w="1840" w:type="dxa"/>
            <w:noWrap w:val="0"/>
            <w:vAlign w:val="center"/>
          </w:tcPr>
          <w:p w14:paraId="1398082E">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cs="Times New Roman"/>
                <w:snapToGrid w:val="0"/>
                <w:kern w:val="21"/>
                <w:szCs w:val="21"/>
                <w:highlight w:val="none"/>
                <w:lang w:val="en-US" w:eastAsia="zh-CN"/>
              </w:rPr>
              <w:t>COD</w:t>
            </w:r>
          </w:p>
        </w:tc>
        <w:tc>
          <w:tcPr>
            <w:tcW w:w="1436" w:type="dxa"/>
            <w:noWrap w:val="0"/>
            <w:vAlign w:val="center"/>
          </w:tcPr>
          <w:p w14:paraId="59446AD8">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224" w:type="dxa"/>
            <w:noWrap w:val="0"/>
            <w:vAlign w:val="center"/>
          </w:tcPr>
          <w:p w14:paraId="0A3FCA77">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632" w:type="dxa"/>
            <w:noWrap w:val="0"/>
            <w:vAlign w:val="center"/>
          </w:tcPr>
          <w:p w14:paraId="14189869">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497" w:type="dxa"/>
            <w:shd w:val="clear" w:color="auto" w:fill="auto"/>
            <w:noWrap w:val="0"/>
            <w:vAlign w:val="center"/>
          </w:tcPr>
          <w:p w14:paraId="5F47F772">
            <w:pPr>
              <w:jc w:val="center"/>
              <w:rPr>
                <w:rFonts w:hint="default" w:ascii="Times New Roman" w:hAnsi="Times New Roman" w:eastAsia="宋体" w:cs="Times New Roman"/>
                <w:kern w:val="0"/>
                <w:sz w:val="21"/>
                <w:szCs w:val="21"/>
                <w:highlight w:val="none"/>
                <w:lang w:val="en-US" w:eastAsia="zh-CN" w:bidi="ar-SA"/>
              </w:rPr>
            </w:pPr>
            <w:r>
              <w:rPr>
                <w:rFonts w:hint="eastAsia" w:cs="Times New Roman"/>
                <w:snapToGrid w:val="0"/>
                <w:kern w:val="21"/>
                <w:szCs w:val="21"/>
                <w:highlight w:val="none"/>
                <w:lang w:val="en-US" w:eastAsia="zh-CN"/>
              </w:rPr>
              <w:t>0.7242</w:t>
            </w:r>
            <w:r>
              <w:rPr>
                <w:rFonts w:hint="default" w:ascii="Times New Roman" w:hAnsi="Times New Roman" w:cs="Times New Roman"/>
                <w:snapToGrid w:val="0"/>
                <w:kern w:val="21"/>
                <w:szCs w:val="21"/>
                <w:highlight w:val="none"/>
                <w:lang w:val="en-US" w:eastAsia="zh-CN"/>
              </w:rPr>
              <w:t>t/a</w:t>
            </w:r>
          </w:p>
        </w:tc>
        <w:tc>
          <w:tcPr>
            <w:tcW w:w="1691" w:type="dxa"/>
            <w:noWrap w:val="0"/>
            <w:vAlign w:val="center"/>
          </w:tcPr>
          <w:p w14:paraId="025F871F">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82" w:type="dxa"/>
            <w:shd w:val="clear" w:color="auto" w:fill="auto"/>
            <w:noWrap w:val="0"/>
            <w:vAlign w:val="center"/>
          </w:tcPr>
          <w:p w14:paraId="10F5529A">
            <w:pPr>
              <w:jc w:val="center"/>
              <w:rPr>
                <w:rFonts w:hint="default" w:ascii="Times New Roman" w:hAnsi="Times New Roman" w:eastAsia="宋体" w:cs="Times New Roman"/>
                <w:kern w:val="0"/>
                <w:sz w:val="21"/>
                <w:szCs w:val="21"/>
                <w:highlight w:val="none"/>
                <w:lang w:val="en-US" w:eastAsia="zh-CN" w:bidi="ar-SA"/>
              </w:rPr>
            </w:pPr>
            <w:r>
              <w:rPr>
                <w:rFonts w:hint="eastAsia" w:cs="Times New Roman"/>
                <w:snapToGrid w:val="0"/>
                <w:kern w:val="21"/>
                <w:szCs w:val="21"/>
                <w:highlight w:val="none"/>
                <w:lang w:val="en-US" w:eastAsia="zh-CN"/>
              </w:rPr>
              <w:t>0.7242</w:t>
            </w:r>
            <w:r>
              <w:rPr>
                <w:rFonts w:hint="default" w:ascii="Times New Roman" w:hAnsi="Times New Roman" w:cs="Times New Roman"/>
                <w:snapToGrid w:val="0"/>
                <w:kern w:val="21"/>
                <w:szCs w:val="21"/>
                <w:highlight w:val="none"/>
                <w:lang w:val="en-US" w:eastAsia="zh-CN"/>
              </w:rPr>
              <w:t>t/a</w:t>
            </w:r>
          </w:p>
        </w:tc>
        <w:tc>
          <w:tcPr>
            <w:tcW w:w="1373" w:type="dxa"/>
            <w:shd w:val="clear" w:color="auto" w:fill="auto"/>
            <w:noWrap w:val="0"/>
            <w:vAlign w:val="center"/>
          </w:tcPr>
          <w:p w14:paraId="3F22B3D6">
            <w:pPr>
              <w:jc w:val="center"/>
              <w:rPr>
                <w:rFonts w:hint="default" w:ascii="Times New Roman" w:hAnsi="Times New Roman" w:eastAsia="宋体" w:cs="Times New Roman"/>
                <w:kern w:val="0"/>
                <w:sz w:val="21"/>
                <w:szCs w:val="21"/>
                <w:highlight w:val="none"/>
                <w:lang w:val="en-US" w:eastAsia="zh-CN" w:bidi="ar-SA"/>
              </w:rPr>
            </w:pPr>
            <w:r>
              <w:rPr>
                <w:rFonts w:hint="eastAsia" w:cs="Times New Roman"/>
                <w:snapToGrid w:val="0"/>
                <w:kern w:val="21"/>
                <w:szCs w:val="21"/>
                <w:highlight w:val="none"/>
                <w:lang w:val="en-US" w:eastAsia="zh-CN"/>
              </w:rPr>
              <w:t>+0.7242</w:t>
            </w:r>
            <w:r>
              <w:rPr>
                <w:rFonts w:hint="default" w:ascii="Times New Roman" w:hAnsi="Times New Roman" w:cs="Times New Roman"/>
                <w:snapToGrid w:val="0"/>
                <w:kern w:val="21"/>
                <w:szCs w:val="21"/>
                <w:highlight w:val="none"/>
                <w:lang w:val="en-US" w:eastAsia="zh-CN"/>
              </w:rPr>
              <w:t>t/a</w:t>
            </w:r>
          </w:p>
        </w:tc>
      </w:tr>
      <w:tr w14:paraId="1EB6E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39" w:type="dxa"/>
            <w:vMerge w:val="continue"/>
            <w:noWrap w:val="0"/>
            <w:vAlign w:val="center"/>
          </w:tcPr>
          <w:p w14:paraId="122F4BE4">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noWrap w:val="0"/>
            <w:vAlign w:val="center"/>
          </w:tcPr>
          <w:p w14:paraId="2A77FB1C">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cs="Times New Roman"/>
                <w:snapToGrid w:val="0"/>
                <w:kern w:val="21"/>
                <w:szCs w:val="21"/>
                <w:highlight w:val="none"/>
                <w:lang w:val="en-US" w:eastAsia="zh-CN"/>
              </w:rPr>
              <w:t>氨氮</w:t>
            </w:r>
          </w:p>
        </w:tc>
        <w:tc>
          <w:tcPr>
            <w:tcW w:w="1436" w:type="dxa"/>
            <w:noWrap w:val="0"/>
            <w:vAlign w:val="center"/>
          </w:tcPr>
          <w:p w14:paraId="14408626">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224" w:type="dxa"/>
            <w:noWrap w:val="0"/>
            <w:vAlign w:val="center"/>
          </w:tcPr>
          <w:p w14:paraId="5A0EAF90">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632" w:type="dxa"/>
            <w:noWrap w:val="0"/>
            <w:vAlign w:val="center"/>
          </w:tcPr>
          <w:p w14:paraId="1B09BB46">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497" w:type="dxa"/>
            <w:noWrap w:val="0"/>
            <w:vAlign w:val="center"/>
          </w:tcPr>
          <w:p w14:paraId="235F0ADB">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eastAsia" w:ascii="Times New Roman" w:cs="Times New Roman"/>
                <w:snapToGrid w:val="0"/>
                <w:kern w:val="21"/>
                <w:szCs w:val="21"/>
                <w:highlight w:val="none"/>
                <w:lang w:val="en-US" w:eastAsia="zh-CN"/>
              </w:rPr>
              <w:t>0.0483</w:t>
            </w:r>
            <w:r>
              <w:rPr>
                <w:rFonts w:hint="default" w:ascii="Times New Roman" w:hAnsi="Times New Roman" w:cs="Times New Roman"/>
                <w:snapToGrid w:val="0"/>
                <w:kern w:val="21"/>
                <w:szCs w:val="21"/>
                <w:highlight w:val="none"/>
                <w:lang w:val="en-US" w:eastAsia="zh-CN"/>
              </w:rPr>
              <w:t>t/a</w:t>
            </w:r>
          </w:p>
        </w:tc>
        <w:tc>
          <w:tcPr>
            <w:tcW w:w="1691" w:type="dxa"/>
            <w:noWrap w:val="0"/>
            <w:vAlign w:val="center"/>
          </w:tcPr>
          <w:p w14:paraId="166FF3B9">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82" w:type="dxa"/>
            <w:shd w:val="clear" w:color="auto" w:fill="auto"/>
            <w:noWrap w:val="0"/>
            <w:vAlign w:val="center"/>
          </w:tcPr>
          <w:p w14:paraId="10B48D4B">
            <w:pPr>
              <w:pStyle w:val="45"/>
              <w:spacing w:beforeLines="0" w:afterLines="0" w:line="240" w:lineRule="auto"/>
              <w:rPr>
                <w:rFonts w:hint="default" w:ascii="Times New Roman" w:hAnsi="Times New Roman" w:eastAsia="宋体" w:cs="Times New Roman"/>
                <w:snapToGrid w:val="0"/>
                <w:kern w:val="21"/>
                <w:sz w:val="21"/>
                <w:szCs w:val="21"/>
                <w:highlight w:val="none"/>
                <w:lang w:val="en-US" w:eastAsia="zh-CN" w:bidi="ar-SA"/>
              </w:rPr>
            </w:pPr>
            <w:r>
              <w:rPr>
                <w:rFonts w:hint="eastAsia" w:ascii="Times New Roman" w:cs="Times New Roman"/>
                <w:snapToGrid w:val="0"/>
                <w:kern w:val="21"/>
                <w:szCs w:val="21"/>
                <w:highlight w:val="none"/>
                <w:lang w:val="en-US" w:eastAsia="zh-CN"/>
              </w:rPr>
              <w:t>0.0483</w:t>
            </w:r>
            <w:r>
              <w:rPr>
                <w:rFonts w:hint="default" w:ascii="Times New Roman" w:hAnsi="Times New Roman" w:cs="Times New Roman"/>
                <w:snapToGrid w:val="0"/>
                <w:kern w:val="21"/>
                <w:szCs w:val="21"/>
                <w:highlight w:val="none"/>
                <w:lang w:val="en-US" w:eastAsia="zh-CN"/>
              </w:rPr>
              <w:t>t/a</w:t>
            </w:r>
          </w:p>
        </w:tc>
        <w:tc>
          <w:tcPr>
            <w:tcW w:w="1373" w:type="dxa"/>
            <w:shd w:val="clear" w:color="auto" w:fill="auto"/>
            <w:noWrap w:val="0"/>
            <w:vAlign w:val="center"/>
          </w:tcPr>
          <w:p w14:paraId="108A993C">
            <w:pPr>
              <w:pStyle w:val="45"/>
              <w:spacing w:beforeLines="0" w:afterLines="0" w:line="240" w:lineRule="auto"/>
              <w:rPr>
                <w:rFonts w:hint="default" w:ascii="Times New Roman" w:hAnsi="Times New Roman" w:eastAsia="宋体" w:cs="Times New Roman"/>
                <w:snapToGrid w:val="0"/>
                <w:kern w:val="21"/>
                <w:sz w:val="21"/>
                <w:szCs w:val="21"/>
                <w:highlight w:val="none"/>
                <w:lang w:val="en-US" w:eastAsia="zh-CN" w:bidi="ar-SA"/>
              </w:rPr>
            </w:pPr>
            <w:r>
              <w:rPr>
                <w:rFonts w:hint="eastAsia" w:ascii="Times New Roman" w:cs="Times New Roman"/>
                <w:snapToGrid w:val="0"/>
                <w:kern w:val="21"/>
                <w:szCs w:val="21"/>
                <w:highlight w:val="none"/>
                <w:lang w:val="en-US" w:eastAsia="zh-CN"/>
              </w:rPr>
              <w:t>+0.0483</w:t>
            </w:r>
            <w:r>
              <w:rPr>
                <w:rFonts w:hint="default" w:ascii="Times New Roman" w:hAnsi="Times New Roman" w:cs="Times New Roman"/>
                <w:snapToGrid w:val="0"/>
                <w:kern w:val="21"/>
                <w:szCs w:val="21"/>
                <w:highlight w:val="none"/>
                <w:lang w:val="en-US" w:eastAsia="zh-CN"/>
              </w:rPr>
              <w:t>t/a</w:t>
            </w:r>
          </w:p>
        </w:tc>
      </w:tr>
      <w:tr w14:paraId="5EF84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restart"/>
            <w:noWrap w:val="0"/>
            <w:vAlign w:val="center"/>
          </w:tcPr>
          <w:p w14:paraId="2399C295">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cs="Times New Roman"/>
                <w:snapToGrid w:val="0"/>
                <w:kern w:val="21"/>
                <w:szCs w:val="21"/>
                <w:highlight w:val="none"/>
                <w:lang w:val="en-US" w:eastAsia="zh-CN"/>
              </w:rPr>
              <w:t>一般工业</w:t>
            </w:r>
          </w:p>
          <w:p w14:paraId="29B7C6C7">
            <w:pPr>
              <w:pStyle w:val="45"/>
              <w:spacing w:beforeLines="0" w:afterLines="0" w:line="240" w:lineRule="auto"/>
              <w:rPr>
                <w:rFonts w:hint="default" w:ascii="Times New Roman" w:hAnsi="Times New Roman" w:cs="Times New Roman"/>
                <w:snapToGrid w:val="0"/>
                <w:kern w:val="21"/>
                <w:szCs w:val="21"/>
                <w:highlight w:val="none"/>
                <w:lang w:val="en-US" w:eastAsia="zh-CN"/>
              </w:rPr>
            </w:pPr>
            <w:r>
              <w:rPr>
                <w:rFonts w:hint="default" w:ascii="Times New Roman" w:hAnsi="Times New Roman" w:cs="Times New Roman"/>
                <w:snapToGrid w:val="0"/>
                <w:kern w:val="21"/>
                <w:szCs w:val="21"/>
                <w:highlight w:val="none"/>
                <w:lang w:val="en-US" w:eastAsia="zh-CN"/>
              </w:rPr>
              <w:t>固体废物</w:t>
            </w:r>
          </w:p>
        </w:tc>
        <w:tc>
          <w:tcPr>
            <w:tcW w:w="1840" w:type="dxa"/>
            <w:shd w:val="clear" w:color="auto" w:fill="auto"/>
            <w:noWrap w:val="0"/>
            <w:vAlign w:val="center"/>
          </w:tcPr>
          <w:p w14:paraId="012C4B72">
            <w:pPr>
              <w:adjustRightInd w:val="0"/>
              <w:snapToGrid w:val="0"/>
              <w:spacing w:beforeLines="10"/>
              <w:jc w:val="center"/>
              <w:rPr>
                <w:rFonts w:hint="default"/>
                <w:color w:val="000000"/>
                <w:szCs w:val="21"/>
                <w:highlight w:val="none"/>
                <w:lang w:val="en-US" w:eastAsia="zh-CN"/>
              </w:rPr>
            </w:pPr>
            <w:r>
              <w:rPr>
                <w:rFonts w:hint="eastAsia"/>
                <w:color w:val="000000"/>
                <w:szCs w:val="21"/>
                <w:highlight w:val="none"/>
                <w:lang w:val="en-US" w:eastAsia="zh-CN"/>
              </w:rPr>
              <w:t>牛骨残渣</w:t>
            </w:r>
          </w:p>
        </w:tc>
        <w:tc>
          <w:tcPr>
            <w:tcW w:w="1436" w:type="dxa"/>
            <w:noWrap w:val="0"/>
            <w:vAlign w:val="center"/>
          </w:tcPr>
          <w:p w14:paraId="127E77EF">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48107CE8">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1BC31DC8">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37158BAA">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0.0416</w:t>
            </w:r>
            <w:r>
              <w:rPr>
                <w:rFonts w:hint="default" w:ascii="Times New Roman" w:hAnsi="Times New Roman" w:cs="Times New Roman"/>
              </w:rPr>
              <w:t>t/a</w:t>
            </w:r>
          </w:p>
        </w:tc>
        <w:tc>
          <w:tcPr>
            <w:tcW w:w="1691" w:type="dxa"/>
            <w:noWrap w:val="0"/>
            <w:vAlign w:val="center"/>
          </w:tcPr>
          <w:p w14:paraId="14DBEF91">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1FEA9FE9">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0.0416</w:t>
            </w:r>
            <w:r>
              <w:rPr>
                <w:rFonts w:hint="default" w:ascii="Times New Roman" w:hAnsi="Times New Roman" w:cs="Times New Roman"/>
              </w:rPr>
              <w:t>t/a</w:t>
            </w:r>
          </w:p>
        </w:tc>
        <w:tc>
          <w:tcPr>
            <w:tcW w:w="1373" w:type="dxa"/>
            <w:shd w:val="clear" w:color="auto" w:fill="auto"/>
            <w:noWrap w:val="0"/>
            <w:vAlign w:val="center"/>
          </w:tcPr>
          <w:p w14:paraId="3B9D81AC">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+0.0416</w:t>
            </w:r>
            <w:r>
              <w:rPr>
                <w:rFonts w:hint="default" w:ascii="Times New Roman" w:hAnsi="Times New Roman" w:cs="Times New Roman"/>
              </w:rPr>
              <w:t>t/a</w:t>
            </w:r>
          </w:p>
        </w:tc>
      </w:tr>
      <w:tr w14:paraId="2D289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11762943">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shd w:val="clear" w:color="auto" w:fill="auto"/>
            <w:noWrap w:val="0"/>
            <w:vAlign w:val="center"/>
          </w:tcPr>
          <w:p w14:paraId="6A3C2D53">
            <w:pPr>
              <w:adjustRightInd w:val="0"/>
              <w:snapToGrid w:val="0"/>
              <w:spacing w:beforeLines="10"/>
              <w:jc w:val="center"/>
              <w:rPr>
                <w:rFonts w:hint="default"/>
                <w:color w:val="000000"/>
                <w:szCs w:val="21"/>
                <w:highlight w:val="none"/>
                <w:lang w:val="en-US" w:eastAsia="zh-CN"/>
              </w:rPr>
            </w:pPr>
            <w:r>
              <w:rPr>
                <w:rFonts w:hint="eastAsia"/>
                <w:color w:val="000000"/>
                <w:szCs w:val="21"/>
                <w:highlight w:val="none"/>
                <w:lang w:val="en-US" w:eastAsia="zh-CN"/>
              </w:rPr>
              <w:t>辣椒把和辣椒叶</w:t>
            </w:r>
          </w:p>
        </w:tc>
        <w:tc>
          <w:tcPr>
            <w:tcW w:w="1436" w:type="dxa"/>
            <w:noWrap w:val="0"/>
            <w:vAlign w:val="center"/>
          </w:tcPr>
          <w:p w14:paraId="752F6BFE">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4E1BD58C">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5B11C84C">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334790D7">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cs="Times New Roman"/>
                <w:lang w:val="en-US" w:eastAsia="zh-CN"/>
              </w:rPr>
              <w:t>0.1</w:t>
            </w:r>
            <w:r>
              <w:rPr>
                <w:rFonts w:hint="default" w:ascii="Times New Roman" w:hAnsi="Times New Roman" w:cs="Times New Roman"/>
              </w:rPr>
              <w:t>t/a</w:t>
            </w:r>
          </w:p>
        </w:tc>
        <w:tc>
          <w:tcPr>
            <w:tcW w:w="1691" w:type="dxa"/>
            <w:noWrap w:val="0"/>
            <w:vAlign w:val="center"/>
          </w:tcPr>
          <w:p w14:paraId="0410EF8A">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69A5895B">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cs="Times New Roman"/>
                <w:lang w:val="en-US" w:eastAsia="zh-CN"/>
              </w:rPr>
              <w:t>0.1</w:t>
            </w:r>
            <w:r>
              <w:rPr>
                <w:rFonts w:hint="default" w:ascii="Times New Roman" w:hAnsi="Times New Roman" w:cs="Times New Roman"/>
              </w:rPr>
              <w:t>t/a</w:t>
            </w:r>
          </w:p>
        </w:tc>
        <w:tc>
          <w:tcPr>
            <w:tcW w:w="1373" w:type="dxa"/>
            <w:shd w:val="clear" w:color="auto" w:fill="auto"/>
            <w:noWrap w:val="0"/>
            <w:vAlign w:val="center"/>
          </w:tcPr>
          <w:p w14:paraId="4E0B03B9">
            <w:pPr>
              <w:tabs>
                <w:tab w:val="left" w:pos="567"/>
              </w:tabs>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w:t>
            </w:r>
            <w:r>
              <w:rPr>
                <w:rFonts w:hint="eastAsia" w:cs="Times New Roman"/>
                <w:lang w:val="en-US" w:eastAsia="zh-CN"/>
              </w:rPr>
              <w:t>0.1</w:t>
            </w:r>
            <w:r>
              <w:rPr>
                <w:rFonts w:hint="default" w:ascii="Times New Roman" w:hAnsi="Times New Roman" w:cs="Times New Roman"/>
              </w:rPr>
              <w:t>t/a</w:t>
            </w:r>
          </w:p>
        </w:tc>
      </w:tr>
      <w:tr w14:paraId="6BA24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472DED7A">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shd w:val="clear" w:color="auto" w:fill="auto"/>
            <w:noWrap w:val="0"/>
            <w:vAlign w:val="center"/>
          </w:tcPr>
          <w:p w14:paraId="44006F3C">
            <w:pPr>
              <w:adjustRightInd w:val="0"/>
              <w:snapToGrid w:val="0"/>
              <w:spacing w:beforeLines="10"/>
              <w:jc w:val="center"/>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废残渣</w:t>
            </w:r>
          </w:p>
        </w:tc>
        <w:tc>
          <w:tcPr>
            <w:tcW w:w="1436" w:type="dxa"/>
            <w:noWrap w:val="0"/>
            <w:vAlign w:val="center"/>
          </w:tcPr>
          <w:p w14:paraId="7A79B205">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4787FD94">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75C02614">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1770B06D">
            <w:pPr>
              <w:tabs>
                <w:tab w:val="left" w:pos="567"/>
              </w:tabs>
              <w:snapToGrid w:val="0"/>
              <w:jc w:val="center"/>
              <w:rPr>
                <w:rFonts w:hint="default" w:ascii="Times New Roman" w:hAnsi="Times New Roman" w:cs="Times New Roman"/>
              </w:rPr>
            </w:pPr>
            <w:r>
              <w:rPr>
                <w:rFonts w:hint="eastAsia" w:cs="Times New Roman"/>
                <w:lang w:val="en-US" w:eastAsia="zh-CN"/>
              </w:rPr>
              <w:t>0.08</w:t>
            </w:r>
            <w:r>
              <w:rPr>
                <w:rFonts w:hint="default" w:ascii="Times New Roman" w:hAnsi="Times New Roman" w:cs="Times New Roman"/>
              </w:rPr>
              <w:t>t/a</w:t>
            </w:r>
          </w:p>
        </w:tc>
        <w:tc>
          <w:tcPr>
            <w:tcW w:w="1691" w:type="dxa"/>
            <w:noWrap w:val="0"/>
            <w:vAlign w:val="center"/>
          </w:tcPr>
          <w:p w14:paraId="4292E8A7">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3201F1B1">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cs="Times New Roman"/>
                <w:lang w:val="en-US" w:eastAsia="zh-CN"/>
              </w:rPr>
              <w:t>0.08</w:t>
            </w:r>
            <w:r>
              <w:rPr>
                <w:rFonts w:hint="default" w:ascii="Times New Roman" w:hAnsi="Times New Roman" w:cs="Times New Roman"/>
              </w:rPr>
              <w:t>t/a</w:t>
            </w:r>
          </w:p>
        </w:tc>
        <w:tc>
          <w:tcPr>
            <w:tcW w:w="1373" w:type="dxa"/>
            <w:shd w:val="clear" w:color="auto" w:fill="auto"/>
            <w:noWrap w:val="0"/>
            <w:vAlign w:val="center"/>
          </w:tcPr>
          <w:p w14:paraId="37BEE342">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w:t>
            </w:r>
            <w:r>
              <w:rPr>
                <w:rFonts w:hint="eastAsia" w:cs="Times New Roman"/>
                <w:lang w:val="en-US" w:eastAsia="zh-CN"/>
              </w:rPr>
              <w:t>0.08</w:t>
            </w:r>
            <w:r>
              <w:rPr>
                <w:rFonts w:hint="default" w:ascii="Times New Roman" w:hAnsi="Times New Roman" w:cs="Times New Roman"/>
              </w:rPr>
              <w:t>t/a</w:t>
            </w:r>
          </w:p>
        </w:tc>
      </w:tr>
      <w:tr w14:paraId="19DB7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7BA46731">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shd w:val="clear" w:color="auto" w:fill="auto"/>
            <w:noWrap w:val="0"/>
            <w:vAlign w:val="center"/>
          </w:tcPr>
          <w:p w14:paraId="0166C778">
            <w:pPr>
              <w:adjustRightInd w:val="0"/>
              <w:snapToGrid w:val="0"/>
              <w:spacing w:beforeLines="1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bCs/>
                <w:color w:val="000000"/>
                <w:szCs w:val="21"/>
                <w:highlight w:val="none"/>
                <w:lang w:val="en-US" w:eastAsia="zh-CN"/>
              </w:rPr>
              <w:t>不合格品</w:t>
            </w:r>
          </w:p>
        </w:tc>
        <w:tc>
          <w:tcPr>
            <w:tcW w:w="1436" w:type="dxa"/>
            <w:noWrap w:val="0"/>
            <w:vAlign w:val="center"/>
          </w:tcPr>
          <w:p w14:paraId="463D03AD">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01752A77">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09A0636F">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7C5F2D42">
            <w:pPr>
              <w:tabs>
                <w:tab w:val="left" w:pos="567"/>
              </w:tabs>
              <w:snapToGrid w:val="0"/>
              <w:jc w:val="center"/>
              <w:rPr>
                <w:rFonts w:hint="default" w:ascii="Times New Roman" w:hAnsi="Times New Roman" w:cs="Times New Roman"/>
                <w:lang w:val="en-US" w:eastAsia="zh-CN"/>
              </w:rPr>
            </w:pPr>
            <w:r>
              <w:rPr>
                <w:rFonts w:hint="eastAsia" w:cs="Times New Roman"/>
                <w:lang w:val="en-US" w:eastAsia="zh-CN"/>
              </w:rPr>
              <w:t>0.02</w:t>
            </w:r>
            <w:r>
              <w:rPr>
                <w:rFonts w:hint="default" w:ascii="Times New Roman" w:hAnsi="Times New Roman" w:cs="Times New Roman"/>
              </w:rPr>
              <w:t>t/a</w:t>
            </w:r>
          </w:p>
        </w:tc>
        <w:tc>
          <w:tcPr>
            <w:tcW w:w="1691" w:type="dxa"/>
            <w:noWrap w:val="0"/>
            <w:vAlign w:val="center"/>
          </w:tcPr>
          <w:p w14:paraId="7E7F966B">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630A2716">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cs="Times New Roman"/>
                <w:lang w:val="en-US" w:eastAsia="zh-CN"/>
              </w:rPr>
              <w:t>0.02</w:t>
            </w:r>
            <w:r>
              <w:rPr>
                <w:rFonts w:hint="default" w:ascii="Times New Roman" w:hAnsi="Times New Roman" w:cs="Times New Roman"/>
              </w:rPr>
              <w:t>t/a</w:t>
            </w:r>
          </w:p>
        </w:tc>
        <w:tc>
          <w:tcPr>
            <w:tcW w:w="1373" w:type="dxa"/>
            <w:shd w:val="clear" w:color="auto" w:fill="auto"/>
            <w:noWrap w:val="0"/>
            <w:vAlign w:val="center"/>
          </w:tcPr>
          <w:p w14:paraId="7370075C">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w:t>
            </w:r>
            <w:r>
              <w:rPr>
                <w:rFonts w:hint="eastAsia" w:cs="Times New Roman"/>
                <w:lang w:val="en-US" w:eastAsia="zh-CN"/>
              </w:rPr>
              <w:t>0.02</w:t>
            </w:r>
            <w:r>
              <w:rPr>
                <w:rFonts w:hint="default" w:ascii="Times New Roman" w:hAnsi="Times New Roman" w:cs="Times New Roman"/>
              </w:rPr>
              <w:t>t/a</w:t>
            </w:r>
          </w:p>
        </w:tc>
      </w:tr>
      <w:tr w14:paraId="14E81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0C148B59">
            <w:pPr>
              <w:pStyle w:val="45"/>
              <w:spacing w:beforeLines="0" w:afterLines="0" w:line="240" w:lineRule="auto"/>
              <w:rPr>
                <w:rFonts w:hint="default" w:ascii="Times New Roman" w:hAnsi="Times New Roman" w:cs="Times New Roman"/>
                <w:snapToGrid w:val="0"/>
                <w:kern w:val="21"/>
                <w:szCs w:val="21"/>
                <w:highlight w:val="none"/>
                <w:lang w:val="en-US" w:eastAsia="zh-CN"/>
              </w:rPr>
            </w:pPr>
          </w:p>
        </w:tc>
        <w:tc>
          <w:tcPr>
            <w:tcW w:w="1840" w:type="dxa"/>
            <w:shd w:val="clear" w:color="auto" w:fill="auto"/>
            <w:noWrap w:val="0"/>
            <w:vAlign w:val="center"/>
          </w:tcPr>
          <w:p w14:paraId="3E515711">
            <w:pPr>
              <w:adjustRightInd w:val="0"/>
              <w:snapToGrid w:val="0"/>
              <w:spacing w:beforeLines="1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kern w:val="2"/>
                <w:sz w:val="21"/>
                <w:szCs w:val="21"/>
                <w:highlight w:val="none"/>
                <w:lang w:val="en-US" w:eastAsia="zh-CN" w:bidi="ar-SA"/>
              </w:rPr>
              <w:t>废水沉淀</w:t>
            </w:r>
          </w:p>
        </w:tc>
        <w:tc>
          <w:tcPr>
            <w:tcW w:w="1436" w:type="dxa"/>
            <w:noWrap w:val="0"/>
            <w:vAlign w:val="center"/>
          </w:tcPr>
          <w:p w14:paraId="15B5C1AF">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74D032A6">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70C77932">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2E13B1B6">
            <w:pPr>
              <w:tabs>
                <w:tab w:val="left" w:pos="567"/>
              </w:tabs>
              <w:snapToGrid w:val="0"/>
              <w:jc w:val="center"/>
              <w:rPr>
                <w:rFonts w:hint="default" w:ascii="Times New Roman" w:hAnsi="Times New Roman" w:cs="Times New Roman"/>
              </w:rPr>
            </w:pPr>
            <w:r>
              <w:rPr>
                <w:rFonts w:hint="eastAsia" w:cs="Times New Roman"/>
                <w:lang w:val="en-US" w:eastAsia="zh-CN"/>
              </w:rPr>
              <w:t>2.13</w:t>
            </w:r>
            <w:r>
              <w:rPr>
                <w:rFonts w:hint="default" w:ascii="Times New Roman" w:hAnsi="Times New Roman" w:cs="Times New Roman"/>
              </w:rPr>
              <w:t>t/a</w:t>
            </w:r>
          </w:p>
        </w:tc>
        <w:tc>
          <w:tcPr>
            <w:tcW w:w="1691" w:type="dxa"/>
            <w:noWrap w:val="0"/>
            <w:vAlign w:val="center"/>
          </w:tcPr>
          <w:p w14:paraId="47E307A8">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059EF01A">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cs="Times New Roman"/>
                <w:lang w:val="en-US" w:eastAsia="zh-CN"/>
              </w:rPr>
              <w:t>2.13</w:t>
            </w:r>
            <w:r>
              <w:rPr>
                <w:rFonts w:hint="default" w:ascii="Times New Roman" w:hAnsi="Times New Roman" w:cs="Times New Roman"/>
              </w:rPr>
              <w:t>t/a</w:t>
            </w:r>
          </w:p>
        </w:tc>
        <w:tc>
          <w:tcPr>
            <w:tcW w:w="1373" w:type="dxa"/>
            <w:shd w:val="clear" w:color="auto" w:fill="auto"/>
            <w:noWrap w:val="0"/>
            <w:vAlign w:val="center"/>
          </w:tcPr>
          <w:p w14:paraId="547B2694">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w:t>
            </w:r>
            <w:r>
              <w:rPr>
                <w:rFonts w:hint="eastAsia" w:cs="Times New Roman"/>
                <w:lang w:val="en-US" w:eastAsia="zh-CN"/>
              </w:rPr>
              <w:t>2.13</w:t>
            </w:r>
            <w:r>
              <w:rPr>
                <w:rFonts w:hint="default" w:ascii="Times New Roman" w:hAnsi="Times New Roman" w:cs="Times New Roman"/>
              </w:rPr>
              <w:t>t/a</w:t>
            </w:r>
          </w:p>
        </w:tc>
      </w:tr>
      <w:tr w14:paraId="523AD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12ADB034">
            <w:pPr>
              <w:pStyle w:val="45"/>
              <w:spacing w:beforeLines="0" w:afterLines="0" w:line="240" w:lineRule="auto"/>
              <w:rPr>
                <w:rFonts w:hint="default" w:ascii="Times New Roman" w:hAnsi="Times New Roman" w:cs="Times New Roman"/>
                <w:snapToGrid w:val="0"/>
                <w:kern w:val="21"/>
                <w:szCs w:val="21"/>
                <w:highlight w:val="green"/>
                <w:lang w:val="en-US" w:eastAsia="zh-CN"/>
              </w:rPr>
            </w:pPr>
          </w:p>
        </w:tc>
        <w:tc>
          <w:tcPr>
            <w:tcW w:w="1840" w:type="dxa"/>
            <w:shd w:val="clear" w:color="auto" w:fill="auto"/>
            <w:noWrap w:val="0"/>
            <w:vAlign w:val="center"/>
          </w:tcPr>
          <w:p w14:paraId="29459389">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废包装材料</w:t>
            </w:r>
          </w:p>
        </w:tc>
        <w:tc>
          <w:tcPr>
            <w:tcW w:w="1436" w:type="dxa"/>
            <w:noWrap w:val="0"/>
            <w:vAlign w:val="center"/>
          </w:tcPr>
          <w:p w14:paraId="064D8E2D">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55C24AF9">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797D0E2F">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45BB0C32">
            <w:pPr>
              <w:tabs>
                <w:tab w:val="left" w:pos="567"/>
              </w:tabs>
              <w:snapToGrid w:val="0"/>
              <w:jc w:val="center"/>
              <w:rPr>
                <w:rFonts w:hint="default" w:ascii="Times New Roman" w:hAnsi="Times New Roman" w:cs="Times New Roman"/>
              </w:rPr>
            </w:pPr>
            <w:r>
              <w:rPr>
                <w:rFonts w:hint="eastAsia" w:cs="Times New Roman"/>
                <w:lang w:val="en-US" w:eastAsia="zh-CN"/>
              </w:rPr>
              <w:t>0.007</w:t>
            </w:r>
            <w:r>
              <w:rPr>
                <w:rFonts w:hint="default" w:ascii="Times New Roman" w:hAnsi="Times New Roman" w:cs="Times New Roman"/>
              </w:rPr>
              <w:t>t/a</w:t>
            </w:r>
          </w:p>
        </w:tc>
        <w:tc>
          <w:tcPr>
            <w:tcW w:w="1691" w:type="dxa"/>
            <w:noWrap w:val="0"/>
            <w:vAlign w:val="center"/>
          </w:tcPr>
          <w:p w14:paraId="1AD00315">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6AE7F850">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cs="Times New Roman"/>
                <w:lang w:val="en-US" w:eastAsia="zh-CN"/>
              </w:rPr>
              <w:t>0.007</w:t>
            </w:r>
            <w:r>
              <w:rPr>
                <w:rFonts w:hint="default" w:ascii="Times New Roman" w:hAnsi="Times New Roman" w:cs="Times New Roman"/>
              </w:rPr>
              <w:t>t/a</w:t>
            </w:r>
          </w:p>
        </w:tc>
        <w:tc>
          <w:tcPr>
            <w:tcW w:w="1373" w:type="dxa"/>
            <w:shd w:val="clear" w:color="auto" w:fill="auto"/>
            <w:noWrap w:val="0"/>
            <w:vAlign w:val="center"/>
          </w:tcPr>
          <w:p w14:paraId="663ECEE8">
            <w:pPr>
              <w:tabs>
                <w:tab w:val="left" w:pos="567"/>
              </w:tabs>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w:t>
            </w:r>
            <w:r>
              <w:rPr>
                <w:rFonts w:hint="eastAsia" w:cs="Times New Roman"/>
                <w:lang w:val="en-US" w:eastAsia="zh-CN"/>
              </w:rPr>
              <w:t>0.007</w:t>
            </w:r>
            <w:r>
              <w:rPr>
                <w:rFonts w:hint="default" w:ascii="Times New Roman" w:hAnsi="Times New Roman" w:cs="Times New Roman"/>
              </w:rPr>
              <w:t>t/a</w:t>
            </w:r>
          </w:p>
        </w:tc>
      </w:tr>
      <w:tr w14:paraId="36D85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39" w:type="dxa"/>
            <w:vMerge w:val="continue"/>
            <w:noWrap w:val="0"/>
            <w:vAlign w:val="center"/>
          </w:tcPr>
          <w:p w14:paraId="53DEC7E7">
            <w:pPr>
              <w:pStyle w:val="45"/>
              <w:spacing w:beforeLines="0" w:afterLines="0" w:line="240" w:lineRule="auto"/>
              <w:rPr>
                <w:rFonts w:hint="default" w:ascii="Times New Roman" w:hAnsi="Times New Roman" w:cs="Times New Roman"/>
                <w:snapToGrid w:val="0"/>
                <w:kern w:val="21"/>
                <w:szCs w:val="21"/>
                <w:highlight w:val="green"/>
                <w:lang w:val="en-US" w:eastAsia="zh-CN"/>
              </w:rPr>
            </w:pPr>
          </w:p>
        </w:tc>
        <w:tc>
          <w:tcPr>
            <w:tcW w:w="1840" w:type="dxa"/>
            <w:shd w:val="clear" w:color="auto" w:fill="auto"/>
            <w:noWrap w:val="0"/>
            <w:vAlign w:val="center"/>
          </w:tcPr>
          <w:p w14:paraId="6B7ECFB0">
            <w:pPr>
              <w:adjustRightInd w:val="0"/>
              <w:snapToGrid w:val="0"/>
              <w:spacing w:beforeLines="10"/>
              <w:jc w:val="center"/>
              <w:rPr>
                <w:rFonts w:hint="default" w:ascii="Times New Roman" w:hAnsi="Times New Roman" w:eastAsia="宋体" w:cs="Times New Roman"/>
                <w:bCs/>
                <w:color w:val="000000"/>
                <w:kern w:val="2"/>
                <w:sz w:val="21"/>
                <w:szCs w:val="21"/>
                <w:lang w:val="en-US" w:eastAsia="zh-CN" w:bidi="ar-SA"/>
              </w:rPr>
            </w:pPr>
            <w:r>
              <w:rPr>
                <w:color w:val="000000"/>
                <w:kern w:val="0"/>
                <w:szCs w:val="21"/>
                <w:lang w:val="zh-CN"/>
              </w:rPr>
              <w:t>生活垃圾</w:t>
            </w:r>
          </w:p>
        </w:tc>
        <w:tc>
          <w:tcPr>
            <w:tcW w:w="1436" w:type="dxa"/>
            <w:noWrap w:val="0"/>
            <w:vAlign w:val="center"/>
          </w:tcPr>
          <w:p w14:paraId="1394A5D8">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2263564F">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15934E6F">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noWrap w:val="0"/>
            <w:vAlign w:val="center"/>
          </w:tcPr>
          <w:p w14:paraId="01BABE20">
            <w:pPr>
              <w:tabs>
                <w:tab w:val="left" w:pos="567"/>
              </w:tabs>
              <w:snapToGrid w:val="0"/>
              <w:jc w:val="center"/>
              <w:rPr>
                <w:rFonts w:hint="default" w:ascii="Times New Roman" w:hAnsi="Times New Roman" w:cs="Times New Roman"/>
                <w:highlight w:val="none"/>
              </w:rPr>
            </w:pPr>
            <w:r>
              <w:rPr>
                <w:rFonts w:hint="eastAsia" w:cs="Times New Roman"/>
                <w:highlight w:val="none"/>
                <w:lang w:val="en-US" w:eastAsia="zh-CN"/>
              </w:rPr>
              <w:t>4.5</w:t>
            </w:r>
            <w:r>
              <w:rPr>
                <w:rFonts w:hint="default" w:ascii="Times New Roman" w:hAnsi="Times New Roman" w:cs="Times New Roman"/>
                <w:highlight w:val="none"/>
              </w:rPr>
              <w:t>t/a</w:t>
            </w:r>
          </w:p>
        </w:tc>
        <w:tc>
          <w:tcPr>
            <w:tcW w:w="1691" w:type="dxa"/>
            <w:noWrap w:val="0"/>
            <w:vAlign w:val="center"/>
          </w:tcPr>
          <w:p w14:paraId="245D6894">
            <w:pPr>
              <w:pStyle w:val="45"/>
              <w:spacing w:beforeLines="0" w:afterLines="0" w:line="240" w:lineRule="auto"/>
              <w:rPr>
                <w:rFonts w:hint="default" w:ascii="Times New Roman" w:hAnsi="Times New Roman" w:cs="Times New Roman"/>
                <w:snapToGrid w:val="0"/>
                <w:kern w:val="21"/>
                <w:szCs w:val="21"/>
                <w:lang w:val="en-US" w:eastAsia="zh-CN"/>
              </w:rPr>
            </w:pPr>
          </w:p>
        </w:tc>
        <w:tc>
          <w:tcPr>
            <w:tcW w:w="1882" w:type="dxa"/>
            <w:shd w:val="clear" w:color="auto" w:fill="auto"/>
            <w:noWrap w:val="0"/>
            <w:vAlign w:val="center"/>
          </w:tcPr>
          <w:p w14:paraId="24B3733F">
            <w:pPr>
              <w:tabs>
                <w:tab w:val="left" w:pos="567"/>
              </w:tabs>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4.5</w:t>
            </w:r>
            <w:r>
              <w:rPr>
                <w:rFonts w:hint="default" w:ascii="Times New Roman" w:hAnsi="Times New Roman" w:cs="Times New Roman"/>
                <w:highlight w:val="none"/>
              </w:rPr>
              <w:t>t/a</w:t>
            </w:r>
          </w:p>
        </w:tc>
        <w:tc>
          <w:tcPr>
            <w:tcW w:w="1373" w:type="dxa"/>
            <w:shd w:val="clear" w:color="auto" w:fill="auto"/>
            <w:noWrap w:val="0"/>
            <w:vAlign w:val="center"/>
          </w:tcPr>
          <w:p w14:paraId="36BCFAED">
            <w:pPr>
              <w:tabs>
                <w:tab w:val="left" w:pos="567"/>
              </w:tabs>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lang w:val="en-US" w:eastAsia="zh-CN"/>
              </w:rPr>
              <w:t>+</w:t>
            </w:r>
            <w:r>
              <w:rPr>
                <w:rFonts w:hint="eastAsia" w:cs="Times New Roman"/>
                <w:highlight w:val="none"/>
                <w:lang w:val="en-US" w:eastAsia="zh-CN"/>
              </w:rPr>
              <w:t>4.5</w:t>
            </w:r>
            <w:r>
              <w:rPr>
                <w:rFonts w:hint="default" w:ascii="Times New Roman" w:hAnsi="Times New Roman" w:cs="Times New Roman"/>
                <w:highlight w:val="none"/>
              </w:rPr>
              <w:t>t/a</w:t>
            </w:r>
          </w:p>
        </w:tc>
      </w:tr>
      <w:tr w14:paraId="55FE5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39" w:type="dxa"/>
            <w:vMerge w:val="continue"/>
            <w:noWrap w:val="0"/>
            <w:vAlign w:val="center"/>
          </w:tcPr>
          <w:p w14:paraId="0517CAC5">
            <w:pPr>
              <w:pStyle w:val="45"/>
              <w:spacing w:beforeLines="0" w:afterLines="0" w:line="240" w:lineRule="auto"/>
              <w:rPr>
                <w:rFonts w:hint="default" w:ascii="Times New Roman" w:hAnsi="Times New Roman" w:cs="Times New Roman"/>
                <w:snapToGrid w:val="0"/>
                <w:kern w:val="21"/>
                <w:szCs w:val="21"/>
                <w:highlight w:val="green"/>
                <w:lang w:val="en-US" w:eastAsia="zh-CN"/>
              </w:rPr>
            </w:pPr>
          </w:p>
        </w:tc>
        <w:tc>
          <w:tcPr>
            <w:tcW w:w="1840" w:type="dxa"/>
            <w:shd w:val="clear" w:color="auto" w:fill="auto"/>
            <w:noWrap w:val="0"/>
            <w:vAlign w:val="center"/>
          </w:tcPr>
          <w:p w14:paraId="0EA38C74">
            <w:pPr>
              <w:adjustRightInd w:val="0"/>
              <w:snapToGrid w:val="0"/>
              <w:spacing w:beforeLines="10"/>
              <w:jc w:val="center"/>
              <w:rPr>
                <w:rFonts w:hint="eastAsia" w:eastAsia="宋体"/>
                <w:color w:val="000000"/>
                <w:kern w:val="0"/>
                <w:szCs w:val="21"/>
                <w:lang w:val="en-US" w:eastAsia="zh-CN"/>
              </w:rPr>
            </w:pPr>
            <w:r>
              <w:rPr>
                <w:rFonts w:hint="eastAsia"/>
                <w:color w:val="000000"/>
                <w:kern w:val="0"/>
                <w:szCs w:val="21"/>
                <w:lang w:val="en-US" w:eastAsia="zh-CN"/>
              </w:rPr>
              <w:t>废活性炭</w:t>
            </w:r>
          </w:p>
        </w:tc>
        <w:tc>
          <w:tcPr>
            <w:tcW w:w="1436" w:type="dxa"/>
            <w:noWrap w:val="0"/>
            <w:vAlign w:val="center"/>
          </w:tcPr>
          <w:p w14:paraId="68D9A3F0">
            <w:pPr>
              <w:pStyle w:val="45"/>
              <w:spacing w:beforeLines="0" w:afterLines="0" w:line="240" w:lineRule="auto"/>
              <w:rPr>
                <w:rFonts w:hint="default" w:ascii="Times New Roman" w:hAnsi="Times New Roman" w:cs="Times New Roman"/>
                <w:snapToGrid w:val="0"/>
                <w:kern w:val="21"/>
                <w:szCs w:val="21"/>
                <w:lang w:val="en-US" w:eastAsia="zh-CN"/>
              </w:rPr>
            </w:pPr>
          </w:p>
        </w:tc>
        <w:tc>
          <w:tcPr>
            <w:tcW w:w="1224" w:type="dxa"/>
            <w:noWrap w:val="0"/>
            <w:vAlign w:val="center"/>
          </w:tcPr>
          <w:p w14:paraId="24328700">
            <w:pPr>
              <w:pStyle w:val="45"/>
              <w:spacing w:beforeLines="0" w:afterLines="0" w:line="240" w:lineRule="auto"/>
              <w:rPr>
                <w:rFonts w:hint="default" w:ascii="Times New Roman" w:hAnsi="Times New Roman" w:cs="Times New Roman"/>
                <w:snapToGrid w:val="0"/>
                <w:kern w:val="21"/>
                <w:szCs w:val="21"/>
                <w:lang w:val="en-US" w:eastAsia="zh-CN"/>
              </w:rPr>
            </w:pPr>
          </w:p>
        </w:tc>
        <w:tc>
          <w:tcPr>
            <w:tcW w:w="1632" w:type="dxa"/>
            <w:noWrap w:val="0"/>
            <w:vAlign w:val="center"/>
          </w:tcPr>
          <w:p w14:paraId="028D38F5">
            <w:pPr>
              <w:pStyle w:val="45"/>
              <w:spacing w:beforeLines="0" w:afterLines="0" w:line="240" w:lineRule="auto"/>
              <w:rPr>
                <w:rFonts w:hint="default" w:ascii="Times New Roman" w:hAnsi="Times New Roman" w:cs="Times New Roman"/>
                <w:snapToGrid w:val="0"/>
                <w:kern w:val="21"/>
                <w:szCs w:val="21"/>
                <w:lang w:val="en-US" w:eastAsia="zh-CN"/>
              </w:rPr>
            </w:pPr>
          </w:p>
        </w:tc>
        <w:tc>
          <w:tcPr>
            <w:tcW w:w="1497" w:type="dxa"/>
            <w:shd w:val="clear" w:color="auto" w:fill="auto"/>
            <w:noWrap w:val="0"/>
            <w:vAlign w:val="center"/>
          </w:tcPr>
          <w:p w14:paraId="198916D6">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0.01</w:t>
            </w:r>
            <w:r>
              <w:rPr>
                <w:rFonts w:hint="default" w:ascii="Times New Roman" w:hAnsi="Times New Roman" w:cs="Times New Roman"/>
                <w:highlight w:val="none"/>
              </w:rPr>
              <w:t>t/a</w:t>
            </w:r>
          </w:p>
        </w:tc>
        <w:tc>
          <w:tcPr>
            <w:tcW w:w="1691" w:type="dxa"/>
            <w:shd w:val="clear" w:color="auto" w:fill="auto"/>
            <w:noWrap w:val="0"/>
            <w:vAlign w:val="center"/>
          </w:tcPr>
          <w:p w14:paraId="15AE675C">
            <w:pPr>
              <w:pStyle w:val="45"/>
              <w:spacing w:beforeLines="0" w:afterLines="0" w:line="240" w:lineRule="auto"/>
              <w:rPr>
                <w:rFonts w:hint="default" w:ascii="Times New Roman" w:hAnsi="Times New Roman" w:eastAsia="宋体" w:cs="Times New Roman"/>
                <w:snapToGrid w:val="0"/>
                <w:kern w:val="21"/>
                <w:sz w:val="21"/>
                <w:szCs w:val="21"/>
                <w:lang w:val="en-US" w:eastAsia="zh-CN" w:bidi="ar-SA"/>
              </w:rPr>
            </w:pPr>
          </w:p>
        </w:tc>
        <w:tc>
          <w:tcPr>
            <w:tcW w:w="1882" w:type="dxa"/>
            <w:shd w:val="clear" w:color="auto" w:fill="auto"/>
            <w:noWrap w:val="0"/>
            <w:vAlign w:val="center"/>
          </w:tcPr>
          <w:p w14:paraId="7BB16162">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0.01</w:t>
            </w:r>
            <w:r>
              <w:rPr>
                <w:rFonts w:hint="default" w:ascii="Times New Roman" w:hAnsi="Times New Roman" w:cs="Times New Roman"/>
                <w:highlight w:val="none"/>
              </w:rPr>
              <w:t>t/a</w:t>
            </w:r>
          </w:p>
        </w:tc>
        <w:tc>
          <w:tcPr>
            <w:tcW w:w="1373" w:type="dxa"/>
            <w:shd w:val="clear" w:color="auto" w:fill="auto"/>
            <w:noWrap w:val="0"/>
            <w:vAlign w:val="center"/>
          </w:tcPr>
          <w:p w14:paraId="48E429FB">
            <w:pPr>
              <w:tabs>
                <w:tab w:val="left" w:pos="567"/>
              </w:tabs>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lang w:val="en-US" w:eastAsia="zh-CN"/>
              </w:rPr>
              <w:t>+</w:t>
            </w:r>
            <w:r>
              <w:rPr>
                <w:rFonts w:hint="eastAsia" w:cs="Times New Roman"/>
                <w:highlight w:val="none"/>
                <w:lang w:val="en-US" w:eastAsia="zh-CN"/>
              </w:rPr>
              <w:t>0.01</w:t>
            </w:r>
            <w:r>
              <w:rPr>
                <w:rFonts w:hint="default" w:ascii="Times New Roman" w:hAnsi="Times New Roman" w:cs="Times New Roman"/>
                <w:highlight w:val="none"/>
              </w:rPr>
              <w:t>t/a</w:t>
            </w:r>
          </w:p>
        </w:tc>
      </w:tr>
    </w:tbl>
    <w:p w14:paraId="5B82BFDE">
      <w:pPr>
        <w:pStyle w:val="45"/>
        <w:spacing w:before="192" w:beforeLines="80" w:after="24"/>
        <w:jc w:val="left"/>
        <w:rPr>
          <w:rFonts w:hint="eastAsia"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7D989143">
      <w:p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AB46EFF">
      <w:pPr>
        <w:rPr>
          <w:rFonts w:hint="default" w:ascii="Times New Roman" w:hAnsi="Times New Roman" w:cs="Times New Roman"/>
        </w:rPr>
      </w:pPr>
      <w:r>
        <w:rPr>
          <w:rFonts w:hint="default" w:ascii="Times New Roman" w:hAnsi="Times New Roman" w:cs="Times New Roman"/>
          <w:sz w:val="21"/>
        </w:rPr>
        <w:drawing>
          <wp:anchor distT="0" distB="0" distL="114300" distR="114300" simplePos="0" relativeHeight="251669504" behindDoc="0" locked="0" layoutInCell="1" allowOverlap="1">
            <wp:simplePos x="0" y="0"/>
            <wp:positionH relativeFrom="column">
              <wp:posOffset>8537575</wp:posOffset>
            </wp:positionH>
            <wp:positionV relativeFrom="paragraph">
              <wp:posOffset>-12065</wp:posOffset>
            </wp:positionV>
            <wp:extent cx="742315" cy="742315"/>
            <wp:effectExtent l="15875" t="15875" r="19050" b="1905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742315" cy="742315"/>
                    </a:xfrm>
                    <a:prstGeom prst="rect">
                      <a:avLst/>
                    </a:prstGeom>
                    <a:noFill/>
                    <a:ln w="1587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106045</wp:posOffset>
            </wp:positionH>
            <wp:positionV relativeFrom="paragraph">
              <wp:posOffset>-15875</wp:posOffset>
            </wp:positionV>
            <wp:extent cx="9177655" cy="5710555"/>
            <wp:effectExtent l="12700" t="12700" r="14605" b="22225"/>
            <wp:wrapNone/>
            <wp:docPr id="1" name="图片 1" descr="C:\Users\Administrator\Documents\WeChat Files\wxid_7u0b87ep9z8122\FileStorage\Temp\165785734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7u0b87ep9z8122\FileStorage\Temp\1657857342922.png"/>
                    <pic:cNvPicPr>
                      <a:picLocks noChangeAspect="1"/>
                    </pic:cNvPicPr>
                  </pic:nvPicPr>
                  <pic:blipFill>
                    <a:blip r:embed="rId28"/>
                    <a:stretch>
                      <a:fillRect/>
                    </a:stretch>
                  </pic:blipFill>
                  <pic:spPr>
                    <a:xfrm>
                      <a:off x="0" y="0"/>
                      <a:ext cx="9177655" cy="5710555"/>
                    </a:xfrm>
                    <a:prstGeom prst="rect">
                      <a:avLst/>
                    </a:prstGeom>
                    <a:noFill/>
                    <a:ln w="12700" cap="flat" cmpd="sng">
                      <a:solidFill>
                        <a:srgbClr val="000000"/>
                      </a:solidFill>
                      <a:prstDash val="solid"/>
                      <a:miter/>
                      <a:headEnd type="none" w="med" len="med"/>
                      <a:tailEnd type="none" w="med" len="med"/>
                    </a:ln>
                  </pic:spPr>
                </pic:pic>
              </a:graphicData>
            </a:graphic>
          </wp:anchor>
        </w:drawing>
      </w:r>
    </w:p>
    <w:p w14:paraId="3CD30E27">
      <w:pPr>
        <w:rPr>
          <w:rFonts w:hint="default" w:ascii="Times New Roman" w:hAnsi="Times New Roman" w:cs="Times New Roman"/>
        </w:rPr>
      </w:pPr>
    </w:p>
    <w:p w14:paraId="4B90E4AD">
      <w:pPr>
        <w:rPr>
          <w:rFonts w:hint="default" w:ascii="Times New Roman" w:hAnsi="Times New Roman" w:cs="Times New Roman"/>
        </w:rPr>
      </w:pPr>
    </w:p>
    <w:p w14:paraId="36D367AC">
      <w:pPr>
        <w:rPr>
          <w:rFonts w:hint="default" w:ascii="Times New Roman" w:hAnsi="Times New Roman" w:cs="Times New Roman"/>
        </w:rPr>
      </w:pPr>
    </w:p>
    <w:p w14:paraId="227525E9">
      <w:pPr>
        <w:rPr>
          <w:rFonts w:hint="default" w:ascii="Times New Roman" w:hAnsi="Times New Roman" w:cs="Times New Roman"/>
        </w:rPr>
      </w:pPr>
    </w:p>
    <w:p w14:paraId="5E182FED">
      <w:pPr>
        <w:rPr>
          <w:rFonts w:hint="default" w:ascii="Times New Roman" w:hAnsi="Times New Roman" w:cs="Times New Roman"/>
        </w:rPr>
      </w:pPr>
    </w:p>
    <w:p w14:paraId="68DBA6CF">
      <w:pPr>
        <w:rPr>
          <w:rFonts w:hint="default" w:ascii="Times New Roman" w:hAnsi="Times New Roman" w:cs="Times New Roman"/>
        </w:rPr>
      </w:pPr>
    </w:p>
    <w:p w14:paraId="1F55E391">
      <w:pPr>
        <w:rPr>
          <w:rFonts w:hint="default" w:ascii="Times New Roman" w:hAnsi="Times New Roman" w:cs="Times New Roman"/>
        </w:rPr>
      </w:pPr>
    </w:p>
    <w:p w14:paraId="52738FD8">
      <w:pPr>
        <w:rPr>
          <w:rFonts w:hint="default" w:ascii="Times New Roman" w:hAnsi="Times New Roman" w:cs="Times New Roman"/>
        </w:rPr>
      </w:pPr>
    </w:p>
    <w:p w14:paraId="00B86897">
      <w:pPr>
        <w:rPr>
          <w:rFonts w:hint="default" w:ascii="Times New Roman" w:hAnsi="Times New Roman" w:cs="Times New Roman"/>
        </w:rPr>
      </w:pPr>
    </w:p>
    <w:p w14:paraId="27BBC50F">
      <w:pPr>
        <w:rPr>
          <w:rFonts w:hint="default" w:ascii="Times New Roman" w:hAnsi="Times New Roman" w:cs="Times New Roman"/>
        </w:rPr>
      </w:pPr>
    </w:p>
    <w:p w14:paraId="2FC8EB00">
      <w:pPr>
        <w:rPr>
          <w:rFonts w:hint="default" w:ascii="Times New Roman" w:hAnsi="Times New Roman" w:cs="Times New Roman"/>
        </w:rPr>
      </w:pPr>
    </w:p>
    <w:p w14:paraId="3E0148E0">
      <w:pPr>
        <w:rPr>
          <w:rFonts w:hint="default" w:ascii="Times New Roman" w:hAnsi="Times New Roman" w:cs="Times New Roman"/>
        </w:rPr>
      </w:pPr>
    </w:p>
    <w:p w14:paraId="3400D690">
      <w:pPr>
        <w:rPr>
          <w:rFonts w:hint="default" w:ascii="Times New Roman" w:hAnsi="Times New Roman" w:cs="Times New Roman"/>
        </w:rPr>
      </w:pPr>
    </w:p>
    <w:p w14:paraId="19E5C170">
      <w:pPr>
        <w:rPr>
          <w:rFonts w:hint="default" w:ascii="Times New Roman" w:hAnsi="Times New Roman" w:cs="Times New Roman"/>
        </w:rPr>
      </w:pPr>
    </w:p>
    <w:p w14:paraId="6189D05A">
      <w:pPr>
        <w:rPr>
          <w:rFonts w:hint="default" w:ascii="Times New Roman" w:hAnsi="Times New Roman" w:cs="Times New Roman"/>
        </w:rPr>
      </w:pPr>
    </w:p>
    <w:p w14:paraId="1272E0EA">
      <w:pPr>
        <w:rPr>
          <w:rFonts w:hint="default" w:ascii="Times New Roman" w:hAnsi="Times New Roman" w:cs="Times New Roman"/>
        </w:rPr>
      </w:pPr>
    </w:p>
    <w:p w14:paraId="7CF4D509">
      <w:pPr>
        <w:rPr>
          <w:rFonts w:hint="default" w:ascii="Times New Roman" w:hAnsi="Times New Roman" w:cs="Times New Roman"/>
        </w:rPr>
      </w:pPr>
    </w:p>
    <w:p w14:paraId="2C6B0925">
      <w:pP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6479540</wp:posOffset>
                </wp:positionH>
                <wp:positionV relativeFrom="paragraph">
                  <wp:posOffset>165100</wp:posOffset>
                </wp:positionV>
                <wp:extent cx="106680" cy="91440"/>
                <wp:effectExtent l="21590" t="18415" r="24130" b="27305"/>
                <wp:wrapNone/>
                <wp:docPr id="2" name="五角星 2"/>
                <wp:cNvGraphicFramePr/>
                <a:graphic xmlns:a="http://schemas.openxmlformats.org/drawingml/2006/main">
                  <a:graphicData uri="http://schemas.microsoft.com/office/word/2010/wordprocessingShape">
                    <wps:wsp>
                      <wps:cNvSpPr/>
                      <wps:spPr>
                        <a:xfrm>
                          <a:off x="7034530" y="4708525"/>
                          <a:ext cx="106680" cy="9144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0.2pt;margin-top:13pt;height:7.2pt;width:8.4pt;z-index:251677696;v-text-anchor:middle;mso-width-relative:page;mso-height-relative:page;" fillcolor="#FF0000" filled="t" stroked="t" coordsize="106680,91440" o:gfxdata="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HY86R2AAAAAsBAAAPAAAAAAAAAAEAIAAA&#10;ACIAAABkcnMvZG93bnJldi54bWxQSwECFAAUAAAACACHTuJADFdXcH4CAAACBQAADgAAAAAAAAAB&#10;ACAAAAAnAQAAZHJzL2Uyb0RvYy54bWxQSwUGAAAAAAYABgBZAQAAFwYAAAAA&#10;" path="m0,34926l40748,34927,53340,0,65931,34927,106679,34926,73713,56512,86305,91439,53340,69853,20374,91439,32966,56512xe">
                <v:path o:connectlocs="53340,0;0,34926;20374,91439;86305,91439;106679,34926" o:connectangles="247,164,82,82,0"/>
                <v:fill on="t" focussize="0,0"/>
                <v:stroke weight="1pt" color="#FF0000 [2404]" miterlimit="8" joinstyle="miter"/>
                <v:imagedata o:title=""/>
                <o:lock v:ext="edit" aspectratio="f"/>
              </v:shape>
            </w:pict>
          </mc:Fallback>
        </mc:AlternateContent>
      </w:r>
    </w:p>
    <w:p w14:paraId="0AF45427">
      <w:pPr>
        <w:rPr>
          <w:rFonts w:hint="default" w:ascii="Times New Roman" w:hAnsi="Times New Roman" w:cs="Times New Roman"/>
        </w:rPr>
      </w:pPr>
    </w:p>
    <w:p w14:paraId="54207F0F">
      <w:pPr>
        <w:rPr>
          <w:rFonts w:hint="default" w:ascii="Times New Roman" w:hAnsi="Times New Roman" w:cs="Times New Roman"/>
        </w:rPr>
      </w:pPr>
    </w:p>
    <w:p w14:paraId="4BF654B5">
      <w:pP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6462395</wp:posOffset>
                </wp:positionH>
                <wp:positionV relativeFrom="paragraph">
                  <wp:posOffset>17780</wp:posOffset>
                </wp:positionV>
                <wp:extent cx="1173480" cy="274955"/>
                <wp:effectExtent l="6350" t="438150" r="8890" b="18415"/>
                <wp:wrapNone/>
                <wp:docPr id="4" name="矩形标注 4"/>
                <wp:cNvGraphicFramePr/>
                <a:graphic xmlns:a="http://schemas.openxmlformats.org/drawingml/2006/main">
                  <a:graphicData uri="http://schemas.microsoft.com/office/word/2010/wordprocessingShape">
                    <wps:wsp>
                      <wps:cNvSpPr/>
                      <wps:spPr>
                        <a:xfrm>
                          <a:off x="7065010" y="4838065"/>
                          <a:ext cx="1173480" cy="274955"/>
                        </a:xfrm>
                        <a:prstGeom prst="wedgeRectCallout">
                          <a:avLst>
                            <a:gd name="adj1" fmla="val -43722"/>
                            <a:gd name="adj2" fmla="val -201270"/>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DE3CF6C">
                            <w:pPr>
                              <w:jc w:val="center"/>
                              <w:rPr>
                                <w:rFonts w:hint="default" w:eastAsiaTheme="minorEastAsia"/>
                                <w:color w:val="FF0000"/>
                                <w:lang w:val="en-US" w:eastAsia="zh-CN"/>
                              </w:rPr>
                            </w:pPr>
                            <w:r>
                              <w:rPr>
                                <w:rFonts w:hint="eastAsia"/>
                                <w:color w:val="FF0000"/>
                                <w:lang w:val="en-US" w:eastAsia="zh-CN"/>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8.85pt;margin-top:1.4pt;height:21.65pt;width:92.4pt;z-index:251678720;v-text-anchor:middle;mso-width-relative:page;mso-height-relative:page;" fillcolor="#FFFFFF [3212]" filled="t" stroked="t" coordsize="21600,21600" o:gfxdata="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Blgvb1wAAAAoBAAAPAAAAAAAAAAEAIAAA&#10;ACIAAABkcnMvZG93bnJldi54bWxQSwECFAAUAAAACACHTuJADP64C7gCAABxBQAADgAAAAAAAAAB&#10;ACAAAAAmAQAAZHJzL2Uyb0RvYy54bWxQSwUGAAAAAAYABgBZAQAAUAYAAAAA&#10;" adj="1356,-32674">
                <v:fill on="t" focussize="0,0"/>
                <v:stroke weight="1pt" color="#FF0000 [2404]" miterlimit="8" joinstyle="miter"/>
                <v:imagedata o:title=""/>
                <o:lock v:ext="edit" aspectratio="f"/>
                <v:textbox>
                  <w:txbxContent>
                    <w:p w14:paraId="3DE3CF6C">
                      <w:pPr>
                        <w:jc w:val="center"/>
                        <w:rPr>
                          <w:rFonts w:hint="default" w:eastAsiaTheme="minorEastAsia"/>
                          <w:color w:val="FF0000"/>
                          <w:lang w:val="en-US" w:eastAsia="zh-CN"/>
                        </w:rPr>
                      </w:pPr>
                      <w:r>
                        <w:rPr>
                          <w:rFonts w:hint="eastAsia"/>
                          <w:color w:val="FF0000"/>
                          <w:lang w:val="en-US" w:eastAsia="zh-CN"/>
                        </w:rPr>
                        <w:t>本项目所在位置</w:t>
                      </w:r>
                    </w:p>
                  </w:txbxContent>
                </v:textbox>
              </v:shape>
            </w:pict>
          </mc:Fallback>
        </mc:AlternateContent>
      </w:r>
    </w:p>
    <w:p w14:paraId="2D7249C2">
      <w:pPr>
        <w:rPr>
          <w:rFonts w:hint="default" w:ascii="Times New Roman" w:hAnsi="Times New Roman" w:cs="Times New Roman"/>
        </w:rPr>
      </w:pPr>
    </w:p>
    <w:p w14:paraId="4DA83F53">
      <w:pPr>
        <w:rPr>
          <w:rFonts w:hint="default" w:ascii="Times New Roman" w:hAnsi="Times New Roman" w:cs="Times New Roman"/>
        </w:rPr>
      </w:pPr>
    </w:p>
    <w:p w14:paraId="454DBAD1">
      <w:pPr>
        <w:rPr>
          <w:rFonts w:hint="default" w:ascii="Times New Roman" w:hAnsi="Times New Roman" w:cs="Times New Roman"/>
        </w:rPr>
      </w:pPr>
    </w:p>
    <w:p w14:paraId="1FEAEA3F">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7282815</wp:posOffset>
            </wp:positionH>
            <wp:positionV relativeFrom="paragraph">
              <wp:posOffset>188595</wp:posOffset>
            </wp:positionV>
            <wp:extent cx="1990725" cy="523875"/>
            <wp:effectExtent l="0" t="0" r="5715" b="9525"/>
            <wp:wrapNone/>
            <wp:docPr id="5" name="图片 5" descr="C:\Users\Administrator\Documents\WeChat Files\wxid_7u0b87ep9z8122\FileStorage\Temp\1657857620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7u0b87ep9z8122\FileStorage\Temp\1657857620465.png"/>
                    <pic:cNvPicPr>
                      <a:picLocks noChangeAspect="1"/>
                    </pic:cNvPicPr>
                  </pic:nvPicPr>
                  <pic:blipFill>
                    <a:blip r:embed="rId29"/>
                    <a:stretch>
                      <a:fillRect/>
                    </a:stretch>
                  </pic:blipFill>
                  <pic:spPr>
                    <a:xfrm>
                      <a:off x="0" y="0"/>
                      <a:ext cx="1990725" cy="523875"/>
                    </a:xfrm>
                    <a:prstGeom prst="rect">
                      <a:avLst/>
                    </a:prstGeom>
                    <a:noFill/>
                    <a:ln>
                      <a:noFill/>
                    </a:ln>
                  </pic:spPr>
                </pic:pic>
              </a:graphicData>
            </a:graphic>
          </wp:anchor>
        </w:drawing>
      </w:r>
    </w:p>
    <w:p w14:paraId="0157A74B">
      <w:pPr>
        <w:rPr>
          <w:rFonts w:hint="default" w:ascii="Times New Roman" w:hAnsi="Times New Roman" w:cs="Times New Roman"/>
        </w:rPr>
      </w:pPr>
    </w:p>
    <w:p w14:paraId="19E1D922">
      <w:pPr>
        <w:rPr>
          <w:rFonts w:hint="default" w:ascii="Times New Roman" w:hAnsi="Times New Roman" w:cs="Times New Roman"/>
        </w:rPr>
      </w:pPr>
    </w:p>
    <w:p w14:paraId="09F1ABD8">
      <w:pP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3261995</wp:posOffset>
                </wp:positionH>
                <wp:positionV relativeFrom="paragraph">
                  <wp:posOffset>27940</wp:posOffset>
                </wp:positionV>
                <wp:extent cx="2820035" cy="404495"/>
                <wp:effectExtent l="0" t="0" r="0" b="0"/>
                <wp:wrapNone/>
                <wp:docPr id="224" name="文本框 224"/>
                <wp:cNvGraphicFramePr/>
                <a:graphic xmlns:a="http://schemas.openxmlformats.org/drawingml/2006/main">
                  <a:graphicData uri="http://schemas.microsoft.com/office/word/2010/wordprocessingShape">
                    <wps:wsp>
                      <wps:cNvSpPr txBox="1"/>
                      <wps:spPr>
                        <a:xfrm>
                          <a:off x="3978275" y="6536690"/>
                          <a:ext cx="2820035" cy="404495"/>
                        </a:xfrm>
                        <a:prstGeom prst="rect">
                          <a:avLst/>
                        </a:prstGeom>
                        <a:noFill/>
                        <a:ln w="6350">
                          <a:noFill/>
                        </a:ln>
                        <a:effectLst/>
                      </wps:spPr>
                      <wps:txbx>
                        <w:txbxContent>
                          <w:p w14:paraId="2EB5D441">
                            <w:pPr>
                              <w:tabs>
                                <w:tab w:val="left" w:pos="4875"/>
                              </w:tabs>
                              <w:jc w:val="center"/>
                              <w:rPr>
                                <w:rFonts w:hint="eastAsia" w:ascii="黑体" w:hAnsi="黑体" w:eastAsia="黑体"/>
                                <w:sz w:val="28"/>
                                <w:szCs w:val="28"/>
                              </w:rPr>
                            </w:pPr>
                            <w:r>
                              <w:rPr>
                                <w:rFonts w:hint="eastAsia" w:ascii="黑体" w:hAnsi="黑体" w:eastAsia="黑体"/>
                                <w:sz w:val="28"/>
                                <w:szCs w:val="28"/>
                              </w:rPr>
                              <w:t>附图一</w:t>
                            </w:r>
                            <w:r>
                              <w:rPr>
                                <w:rFonts w:hint="eastAsia" w:ascii="黑体" w:hAnsi="黑体" w:eastAsia="黑体"/>
                                <w:sz w:val="28"/>
                                <w:szCs w:val="28"/>
                                <w:lang w:eastAsia="zh-CN"/>
                              </w:rPr>
                              <w:t>：</w:t>
                            </w:r>
                            <w:r>
                              <w:rPr>
                                <w:rFonts w:hint="eastAsia" w:ascii="黑体" w:hAnsi="黑体" w:eastAsia="黑体"/>
                                <w:sz w:val="28"/>
                                <w:szCs w:val="28"/>
                                <w:lang w:val="en-US" w:eastAsia="zh-CN"/>
                              </w:rPr>
                              <w:t>本</w:t>
                            </w:r>
                            <w:r>
                              <w:rPr>
                                <w:rFonts w:hint="eastAsia" w:ascii="黑体" w:hAnsi="黑体" w:eastAsia="黑体"/>
                                <w:sz w:val="28"/>
                                <w:szCs w:val="28"/>
                              </w:rPr>
                              <w:t>项目地理位置图</w:t>
                            </w:r>
                          </w:p>
                          <w:p w14:paraId="78D85D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85pt;margin-top:2.2pt;height:31.85pt;width:222.05pt;z-index:251670528;mso-width-relative:page;mso-height-relative:page;" filled="f" stroked="f" coordsize="21600,21600" o:gfxdata="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wHQuNoAAAAIAQAA&#10;DwAAAAAAAAABACAAAAAiAAAAZHJzL2Rvd25yZXYueG1sUEsBAhQAFAAAAAgAh07iQEjFHIlQAgAA&#10;hAQAAA4AAAAAAAAAAQAgAAAAKQEAAGRycy9lMm9Eb2MueG1sUEsFBgAAAAAGAAYAWQEAAOsFAAAA&#10;AA==&#10;">
                <v:fill on="f" focussize="0,0"/>
                <v:stroke on="f" weight="0.5pt"/>
                <v:imagedata o:title=""/>
                <o:lock v:ext="edit" aspectratio="f"/>
                <v:textbox>
                  <w:txbxContent>
                    <w:p w14:paraId="2EB5D441">
                      <w:pPr>
                        <w:tabs>
                          <w:tab w:val="left" w:pos="4875"/>
                        </w:tabs>
                        <w:jc w:val="center"/>
                        <w:rPr>
                          <w:rFonts w:hint="eastAsia" w:ascii="黑体" w:hAnsi="黑体" w:eastAsia="黑体"/>
                          <w:sz w:val="28"/>
                          <w:szCs w:val="28"/>
                        </w:rPr>
                      </w:pPr>
                      <w:r>
                        <w:rPr>
                          <w:rFonts w:hint="eastAsia" w:ascii="黑体" w:hAnsi="黑体" w:eastAsia="黑体"/>
                          <w:sz w:val="28"/>
                          <w:szCs w:val="28"/>
                        </w:rPr>
                        <w:t>附图一</w:t>
                      </w:r>
                      <w:r>
                        <w:rPr>
                          <w:rFonts w:hint="eastAsia" w:ascii="黑体" w:hAnsi="黑体" w:eastAsia="黑体"/>
                          <w:sz w:val="28"/>
                          <w:szCs w:val="28"/>
                          <w:lang w:eastAsia="zh-CN"/>
                        </w:rPr>
                        <w:t>：</w:t>
                      </w:r>
                      <w:r>
                        <w:rPr>
                          <w:rFonts w:hint="eastAsia" w:ascii="黑体" w:hAnsi="黑体" w:eastAsia="黑体"/>
                          <w:sz w:val="28"/>
                          <w:szCs w:val="28"/>
                          <w:lang w:val="en-US" w:eastAsia="zh-CN"/>
                        </w:rPr>
                        <w:t>本</w:t>
                      </w:r>
                      <w:r>
                        <w:rPr>
                          <w:rFonts w:hint="eastAsia" w:ascii="黑体" w:hAnsi="黑体" w:eastAsia="黑体"/>
                          <w:sz w:val="28"/>
                          <w:szCs w:val="28"/>
                        </w:rPr>
                        <w:t>项目地理位置图</w:t>
                      </w:r>
                    </w:p>
                    <w:p w14:paraId="78D85DE7"/>
                  </w:txbxContent>
                </v:textbox>
              </v:shape>
            </w:pict>
          </mc:Fallback>
        </mc:AlternateContent>
      </w:r>
    </w:p>
    <w:p w14:paraId="59981CA5">
      <w:pPr>
        <w:jc w:val="center"/>
        <w:rPr>
          <w:rFonts w:hint="default" w:ascii="Times New Roman" w:hAnsi="Times New Roman" w:cs="Times New Roman"/>
        </w:rPr>
      </w:pPr>
      <w:r>
        <w:rPr>
          <w:rFonts w:hint="default" w:ascii="Times New Roman" w:hAnsi="Times New Roman" w:cs="Times New Roman"/>
          <w:sz w:val="21"/>
        </w:rPr>
        <w:drawing>
          <wp:anchor distT="0" distB="0" distL="114300" distR="114300" simplePos="0" relativeHeight="251672576" behindDoc="0" locked="0" layoutInCell="1" allowOverlap="1">
            <wp:simplePos x="0" y="0"/>
            <wp:positionH relativeFrom="column">
              <wp:posOffset>8714105</wp:posOffset>
            </wp:positionH>
            <wp:positionV relativeFrom="paragraph">
              <wp:posOffset>71120</wp:posOffset>
            </wp:positionV>
            <wp:extent cx="589915" cy="561975"/>
            <wp:effectExtent l="15875" t="15875" r="19050" b="1651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89915" cy="561975"/>
                    </a:xfrm>
                    <a:prstGeom prst="rect">
                      <a:avLst/>
                    </a:prstGeom>
                    <a:noFill/>
                    <a:ln w="1587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3320415</wp:posOffset>
                </wp:positionH>
                <wp:positionV relativeFrom="paragraph">
                  <wp:posOffset>5525135</wp:posOffset>
                </wp:positionV>
                <wp:extent cx="2820035" cy="5334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820035" cy="533400"/>
                        </a:xfrm>
                        <a:prstGeom prst="rect">
                          <a:avLst/>
                        </a:prstGeom>
                        <a:noFill/>
                        <a:ln w="6350">
                          <a:noFill/>
                        </a:ln>
                        <a:effectLst/>
                      </wps:spPr>
                      <wps:txbx>
                        <w:txbxContent>
                          <w:p w14:paraId="48EE263C">
                            <w:pPr>
                              <w:tabs>
                                <w:tab w:val="left" w:pos="4875"/>
                              </w:tabs>
                              <w:jc w:val="center"/>
                              <w:rPr>
                                <w:rFonts w:hint="default" w:ascii="黑体" w:hAnsi="黑体" w:eastAsia="黑体"/>
                                <w:sz w:val="28"/>
                                <w:szCs w:val="28"/>
                                <w:lang w:val="en-US" w:eastAsia="zh-CN"/>
                              </w:rPr>
                            </w:pPr>
                            <w:r>
                              <w:rPr>
                                <w:rFonts w:hint="eastAsia" w:ascii="黑体" w:hAnsi="黑体" w:eastAsia="黑体"/>
                                <w:sz w:val="28"/>
                                <w:szCs w:val="28"/>
                              </w:rPr>
                              <w:t>附图</w:t>
                            </w:r>
                            <w:r>
                              <w:rPr>
                                <w:rFonts w:hint="eastAsia" w:ascii="黑体" w:hAnsi="黑体" w:eastAsia="黑体"/>
                                <w:sz w:val="28"/>
                                <w:szCs w:val="28"/>
                                <w:lang w:val="en-US" w:eastAsia="zh-CN"/>
                              </w:rPr>
                              <w:t>二</w:t>
                            </w:r>
                            <w:r>
                              <w:rPr>
                                <w:rFonts w:hint="eastAsia" w:ascii="黑体" w:hAnsi="黑体" w:eastAsia="黑体"/>
                                <w:sz w:val="28"/>
                                <w:szCs w:val="28"/>
                                <w:lang w:eastAsia="zh-CN"/>
                              </w:rPr>
                              <w:t>：</w:t>
                            </w:r>
                            <w:r>
                              <w:rPr>
                                <w:rFonts w:hint="eastAsia" w:ascii="黑体" w:hAnsi="黑体" w:eastAsia="黑体"/>
                                <w:sz w:val="28"/>
                                <w:szCs w:val="28"/>
                                <w:lang w:val="en-US" w:eastAsia="zh-CN"/>
                              </w:rPr>
                              <w:t>本</w:t>
                            </w:r>
                            <w:r>
                              <w:rPr>
                                <w:rFonts w:hint="eastAsia" w:ascii="黑体" w:hAnsi="黑体" w:eastAsia="黑体"/>
                                <w:sz w:val="28"/>
                                <w:szCs w:val="28"/>
                              </w:rPr>
                              <w:t>项目</w:t>
                            </w:r>
                            <w:r>
                              <w:rPr>
                                <w:rFonts w:hint="eastAsia" w:ascii="黑体" w:hAnsi="黑体" w:eastAsia="黑体"/>
                                <w:sz w:val="28"/>
                                <w:szCs w:val="28"/>
                                <w:lang w:val="en-US" w:eastAsia="zh-CN"/>
                              </w:rPr>
                              <w:t>周边环境示意图</w:t>
                            </w:r>
                          </w:p>
                          <w:p w14:paraId="58AD72F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45pt;margin-top:435.05pt;height:42pt;width:222.05pt;z-index:251671552;mso-width-relative:page;mso-height-relative:page;" filled="f" stroked="f" coordsize="21600,21600" o:gfxdata="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iO2Y3AAAAAsBAAAPAAAAAAAAAAEAIAAA&#10;ACIAAABkcnMvZG93bnJldi54bWxQSwECFAAUAAAACACHTuJADBuSlUECAAB0BAAADgAAAAAAAAAB&#10;ACAAAAArAQAAZHJzL2Uyb0RvYy54bWxQSwUGAAAAAAYABgBZAQAA3gUAAAAA&#10;">
                <v:fill on="f" focussize="0,0"/>
                <v:stroke on="f" weight="0.5pt"/>
                <v:imagedata o:title=""/>
                <o:lock v:ext="edit" aspectratio="f"/>
                <v:textbox>
                  <w:txbxContent>
                    <w:p w14:paraId="48EE263C">
                      <w:pPr>
                        <w:tabs>
                          <w:tab w:val="left" w:pos="4875"/>
                        </w:tabs>
                        <w:jc w:val="center"/>
                        <w:rPr>
                          <w:rFonts w:hint="default" w:ascii="黑体" w:hAnsi="黑体" w:eastAsia="黑体"/>
                          <w:sz w:val="28"/>
                          <w:szCs w:val="28"/>
                          <w:lang w:val="en-US" w:eastAsia="zh-CN"/>
                        </w:rPr>
                      </w:pPr>
                      <w:r>
                        <w:rPr>
                          <w:rFonts w:hint="eastAsia" w:ascii="黑体" w:hAnsi="黑体" w:eastAsia="黑体"/>
                          <w:sz w:val="28"/>
                          <w:szCs w:val="28"/>
                        </w:rPr>
                        <w:t>附图</w:t>
                      </w:r>
                      <w:r>
                        <w:rPr>
                          <w:rFonts w:hint="eastAsia" w:ascii="黑体" w:hAnsi="黑体" w:eastAsia="黑体"/>
                          <w:sz w:val="28"/>
                          <w:szCs w:val="28"/>
                          <w:lang w:val="en-US" w:eastAsia="zh-CN"/>
                        </w:rPr>
                        <w:t>二</w:t>
                      </w:r>
                      <w:r>
                        <w:rPr>
                          <w:rFonts w:hint="eastAsia" w:ascii="黑体" w:hAnsi="黑体" w:eastAsia="黑体"/>
                          <w:sz w:val="28"/>
                          <w:szCs w:val="28"/>
                          <w:lang w:eastAsia="zh-CN"/>
                        </w:rPr>
                        <w:t>：</w:t>
                      </w:r>
                      <w:r>
                        <w:rPr>
                          <w:rFonts w:hint="eastAsia" w:ascii="黑体" w:hAnsi="黑体" w:eastAsia="黑体"/>
                          <w:sz w:val="28"/>
                          <w:szCs w:val="28"/>
                          <w:lang w:val="en-US" w:eastAsia="zh-CN"/>
                        </w:rPr>
                        <w:t>本</w:t>
                      </w:r>
                      <w:r>
                        <w:rPr>
                          <w:rFonts w:hint="eastAsia" w:ascii="黑体" w:hAnsi="黑体" w:eastAsia="黑体"/>
                          <w:sz w:val="28"/>
                          <w:szCs w:val="28"/>
                        </w:rPr>
                        <w:t>项目</w:t>
                      </w:r>
                      <w:r>
                        <w:rPr>
                          <w:rFonts w:hint="eastAsia" w:ascii="黑体" w:hAnsi="黑体" w:eastAsia="黑体"/>
                          <w:sz w:val="28"/>
                          <w:szCs w:val="28"/>
                          <w:lang w:val="en-US" w:eastAsia="zh-CN"/>
                        </w:rPr>
                        <w:t>周边环境示意图</w:t>
                      </w:r>
                    </w:p>
                    <w:p w14:paraId="58AD72F5"/>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8128635</wp:posOffset>
                </wp:positionH>
                <wp:positionV relativeFrom="paragraph">
                  <wp:posOffset>1815465</wp:posOffset>
                </wp:positionV>
                <wp:extent cx="608965" cy="276225"/>
                <wp:effectExtent l="4445" t="5080" r="11430" b="8255"/>
                <wp:wrapNone/>
                <wp:docPr id="81" name="文本框 81"/>
                <wp:cNvGraphicFramePr/>
                <a:graphic xmlns:a="http://schemas.openxmlformats.org/drawingml/2006/main">
                  <a:graphicData uri="http://schemas.microsoft.com/office/word/2010/wordprocessingShape">
                    <wps:wsp>
                      <wps:cNvSpPr txBox="1"/>
                      <wps:spPr>
                        <a:xfrm>
                          <a:off x="0" y="0"/>
                          <a:ext cx="60896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036E65">
                            <w:pPr>
                              <w:spacing w:line="240" w:lineRule="auto"/>
                              <w:rPr>
                                <w:rFonts w:hint="default" w:eastAsia="宋体"/>
                                <w:b/>
                                <w:bCs/>
                                <w:lang w:val="en-US" w:eastAsia="zh-CN"/>
                              </w:rPr>
                            </w:pPr>
                            <w:r>
                              <w:rPr>
                                <w:rFonts w:hint="eastAsia"/>
                                <w:b/>
                                <w:bCs/>
                                <w:lang w:val="en-US" w:eastAsia="zh-CN"/>
                              </w:rPr>
                              <w:t>霍姚村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05pt;margin-top:142.95pt;height:21.75pt;width:47.95pt;z-index:251699200;mso-width-relative:page;mso-height-relative:page;" fillcolor="#FFFFFF [3201]" filled="t" stroked="t" coordsize="21600,21600" o:gfxdata="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JROuNkA&#10;AAANAQAADwAAAAAAAAABACAAAAAiAAAAZHJzL2Rvd25yZXYueG1sUEsBAhQAFAAAAAgAh07iQBjB&#10;kiNXAgAAuAQAAA4AAAAAAAAAAQAgAAAAKAEAAGRycy9lMm9Eb2MueG1sUEsFBgAAAAAGAAYAWQEA&#10;APEFAAAAAA==&#10;">
                <v:fill on="t" focussize="0,0"/>
                <v:stroke weight="0.5pt" color="#000000 [3204]" joinstyle="round"/>
                <v:imagedata o:title=""/>
                <o:lock v:ext="edit" aspectratio="f"/>
                <v:textbox>
                  <w:txbxContent>
                    <w:p w14:paraId="02036E65">
                      <w:pPr>
                        <w:spacing w:line="240" w:lineRule="auto"/>
                        <w:rPr>
                          <w:rFonts w:hint="default" w:eastAsia="宋体"/>
                          <w:b/>
                          <w:bCs/>
                          <w:lang w:val="en-US" w:eastAsia="zh-CN"/>
                        </w:rPr>
                      </w:pPr>
                      <w:r>
                        <w:rPr>
                          <w:rFonts w:hint="eastAsia"/>
                          <w:b/>
                          <w:bCs/>
                          <w:lang w:val="en-US" w:eastAsia="zh-CN"/>
                        </w:rPr>
                        <w:t>霍姚村</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2489200</wp:posOffset>
                </wp:positionH>
                <wp:positionV relativeFrom="paragraph">
                  <wp:posOffset>5099050</wp:posOffset>
                </wp:positionV>
                <wp:extent cx="754380" cy="276225"/>
                <wp:effectExtent l="4445" t="4445" r="18415" b="8890"/>
                <wp:wrapNone/>
                <wp:docPr id="80" name="文本框 80"/>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780633">
                            <w:pPr>
                              <w:spacing w:line="240" w:lineRule="auto"/>
                              <w:rPr>
                                <w:rFonts w:hint="default" w:eastAsia="宋体"/>
                                <w:b/>
                                <w:bCs/>
                                <w:lang w:val="en-US" w:eastAsia="zh-CN"/>
                              </w:rPr>
                            </w:pPr>
                            <w:r>
                              <w:rPr>
                                <w:rFonts w:hint="eastAsia"/>
                                <w:b/>
                                <w:bCs/>
                                <w:lang w:val="en-US" w:eastAsia="zh-CN"/>
                              </w:rPr>
                              <w:t>王博儒村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401.5pt;height:21.75pt;width:59.4pt;z-index:251698176;mso-width-relative:page;mso-height-relative:page;" fillcolor="#FFFFFF [3201]" filled="t" stroked="t" coordsize="21600,21600" o:gfxdata="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qWPB2AAA&#10;AAsBAAAPAAAAAAAAAAEAIAAAACIAAABkcnMvZG93bnJldi54bWxQSwECFAAUAAAACACHTuJA9spm&#10;/lcCAAC4BAAADgAAAAAAAAABACAAAAAnAQAAZHJzL2Uyb0RvYy54bWxQSwUGAAAAAAYABgBZAQAA&#10;8AUAAAAA&#10;">
                <v:fill on="t" focussize="0,0"/>
                <v:stroke weight="0.5pt" color="#000000 [3204]" joinstyle="round"/>
                <v:imagedata o:title=""/>
                <o:lock v:ext="edit" aspectratio="f"/>
                <v:textbox>
                  <w:txbxContent>
                    <w:p w14:paraId="45780633">
                      <w:pPr>
                        <w:spacing w:line="240" w:lineRule="auto"/>
                        <w:rPr>
                          <w:rFonts w:hint="default" w:eastAsia="宋体"/>
                          <w:b/>
                          <w:bCs/>
                          <w:lang w:val="en-US" w:eastAsia="zh-CN"/>
                        </w:rPr>
                      </w:pPr>
                      <w:r>
                        <w:rPr>
                          <w:rFonts w:hint="eastAsia"/>
                          <w:b/>
                          <w:bCs/>
                          <w:lang w:val="en-US" w:eastAsia="zh-CN"/>
                        </w:rPr>
                        <w:t>王博儒村</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113665</wp:posOffset>
                </wp:positionH>
                <wp:positionV relativeFrom="paragraph">
                  <wp:posOffset>1386205</wp:posOffset>
                </wp:positionV>
                <wp:extent cx="754380" cy="276225"/>
                <wp:effectExtent l="4445" t="4445" r="18415" b="8890"/>
                <wp:wrapNone/>
                <wp:docPr id="79" name="文本框 79"/>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7167F2">
                            <w:pPr>
                              <w:spacing w:line="240" w:lineRule="auto"/>
                              <w:rPr>
                                <w:rFonts w:hint="default" w:eastAsia="宋体"/>
                                <w:b/>
                                <w:bCs/>
                                <w:lang w:val="en-US" w:eastAsia="zh-CN"/>
                              </w:rPr>
                            </w:pPr>
                            <w:r>
                              <w:rPr>
                                <w:rFonts w:hint="eastAsia"/>
                                <w:b/>
                                <w:bCs/>
                                <w:lang w:val="en-US" w:eastAsia="zh-CN"/>
                              </w:rPr>
                              <w:t>沙渡口村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109.15pt;height:21.75pt;width:59.4pt;z-index:251697152;mso-width-relative:page;mso-height-relative:page;" fillcolor="#FFFFFF [3201]" filled="t" stroked="t" coordsize="21600,21600" o:gfxdata="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U+sefWAAAA&#10;CgEAAA8AAAAAAAAAAQAgAAAAIgAAAGRycy9kb3ducmV2LnhtbFBLAQIUABQAAAAIAIdO4kAUK1BC&#10;WAIAALgEAAAOAAAAAAAAAAEAIAAAACUBAABkcnMvZTJvRG9jLnhtbFBLBQYAAAAABgAGAFkBAADv&#10;BQAAAAA=&#10;">
                <v:fill on="t" focussize="0,0"/>
                <v:stroke weight="0.5pt" color="#000000 [3204]" joinstyle="round"/>
                <v:imagedata o:title=""/>
                <o:lock v:ext="edit" aspectratio="f"/>
                <v:textbox>
                  <w:txbxContent>
                    <w:p w14:paraId="5D7167F2">
                      <w:pPr>
                        <w:spacing w:line="240" w:lineRule="auto"/>
                        <w:rPr>
                          <w:rFonts w:hint="default" w:eastAsia="宋体"/>
                          <w:b/>
                          <w:bCs/>
                          <w:lang w:val="en-US" w:eastAsia="zh-CN"/>
                        </w:rPr>
                      </w:pPr>
                      <w:r>
                        <w:rPr>
                          <w:rFonts w:hint="eastAsia"/>
                          <w:b/>
                          <w:bCs/>
                          <w:lang w:val="en-US" w:eastAsia="zh-CN"/>
                        </w:rPr>
                        <w:t>沙渡口村</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5225415</wp:posOffset>
                </wp:positionH>
                <wp:positionV relativeFrom="paragraph">
                  <wp:posOffset>3345815</wp:posOffset>
                </wp:positionV>
                <wp:extent cx="1141730" cy="256540"/>
                <wp:effectExtent l="4445" t="4445" r="12065" b="13335"/>
                <wp:wrapNone/>
                <wp:docPr id="78" name="文本框 78"/>
                <wp:cNvGraphicFramePr/>
                <a:graphic xmlns:a="http://schemas.openxmlformats.org/drawingml/2006/main">
                  <a:graphicData uri="http://schemas.microsoft.com/office/word/2010/wordprocessingShape">
                    <wps:wsp>
                      <wps:cNvSpPr txBox="1"/>
                      <wps:spPr>
                        <a:xfrm>
                          <a:off x="0" y="0"/>
                          <a:ext cx="1141730" cy="25654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9383FDA">
                            <w:pPr>
                              <w:spacing w:line="240" w:lineRule="auto"/>
                              <w:rPr>
                                <w:rFonts w:hint="default" w:eastAsia="宋体"/>
                                <w:color w:val="FF0000"/>
                                <w:lang w:val="en-US" w:eastAsia="zh-CN"/>
                              </w:rPr>
                            </w:pPr>
                            <w:r>
                              <w:rPr>
                                <w:rFonts w:hint="eastAsia"/>
                                <w:color w:val="FF0000"/>
                                <w:lang w:val="en-US" w:eastAsia="zh-CN"/>
                              </w:rPr>
                              <w:t>本项目所在位置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45pt;margin-top:263.45pt;height:20.2pt;width:89.9pt;z-index:251696128;mso-width-relative:page;mso-height-relative:page;" filled="f" stroked="t" coordsize="21600,21600" o:gfxdata="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2LXnk2AAAAAwB&#10;AAAPAAAAAAAAAAEAIAAAACIAAABkcnMvZG93bnJldi54bWxQSwECFAAUAAAACACHTuJALVs9TlQC&#10;AACRBAAADgAAAAAAAAABACAAAAAnAQAAZHJzL2Uyb0RvYy54bWxQSwUGAAAAAAYABgBZAQAA7QUA&#10;AAAA&#10;">
                <v:fill on="f" focussize="0,0"/>
                <v:stroke weight="0.5pt" color="#FF0000 [3204]" joinstyle="round"/>
                <v:imagedata o:title=""/>
                <o:lock v:ext="edit" aspectratio="f"/>
                <v:textbox>
                  <w:txbxContent>
                    <w:p w14:paraId="19383FDA">
                      <w:pPr>
                        <w:spacing w:line="240" w:lineRule="auto"/>
                        <w:rPr>
                          <w:rFonts w:hint="default" w:eastAsia="宋体"/>
                          <w:color w:val="FF0000"/>
                          <w:lang w:val="en-US" w:eastAsia="zh-CN"/>
                        </w:rPr>
                      </w:pPr>
                      <w:r>
                        <w:rPr>
                          <w:rFonts w:hint="eastAsia"/>
                          <w:color w:val="FF0000"/>
                          <w:lang w:val="en-US" w:eastAsia="zh-CN"/>
                        </w:rPr>
                        <w:t>本项目所在位置</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6527800</wp:posOffset>
                </wp:positionH>
                <wp:positionV relativeFrom="paragraph">
                  <wp:posOffset>2632710</wp:posOffset>
                </wp:positionV>
                <wp:extent cx="519430" cy="248920"/>
                <wp:effectExtent l="4445" t="5080" r="9525" b="5080"/>
                <wp:wrapNone/>
                <wp:docPr id="77" name="文本框 77"/>
                <wp:cNvGraphicFramePr/>
                <a:graphic xmlns:a="http://schemas.openxmlformats.org/drawingml/2006/main">
                  <a:graphicData uri="http://schemas.microsoft.com/office/word/2010/wordprocessingShape">
                    <wps:wsp>
                      <wps:cNvSpPr txBox="1"/>
                      <wps:spPr>
                        <a:xfrm>
                          <a:off x="0" y="0"/>
                          <a:ext cx="519430"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F6F84C">
                            <w:pPr>
                              <w:spacing w:line="240" w:lineRule="auto"/>
                              <w:rPr>
                                <w:rFonts w:hint="default" w:eastAsia="宋体"/>
                                <w:lang w:val="en-US" w:eastAsia="zh-CN"/>
                              </w:rPr>
                            </w:pPr>
                            <w:r>
                              <w:rPr>
                                <w:rFonts w:hint="eastAsia"/>
                                <w:lang w:val="en-US" w:eastAsia="zh-CN"/>
                              </w:rPr>
                              <w:t>386m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pt;margin-top:207.3pt;height:19.6pt;width:40.9pt;z-index:251695104;mso-width-relative:page;mso-height-relative:page;" fillcolor="#FFFFFF [3201]" filled="t" stroked="t" coordsize="21600,21600" o:gfxdata="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3YM1&#10;2AAAAA0BAAAPAAAAAAAAAAEAIAAAACIAAABkcnMvZG93bnJldi54bWxQSwECFAAUAAAACACHTuJA&#10;Bv0lV1oCAAC4BAAADgAAAAAAAAABACAAAAAnAQAAZHJzL2Uyb0RvYy54bWxQSwUGAAAAAAYABgBZ&#10;AQAA8wUAAAAA&#10;">
                <v:fill on="t" focussize="0,0"/>
                <v:stroke weight="0.5pt" color="#000000 [3204]" joinstyle="round"/>
                <v:imagedata o:title=""/>
                <o:lock v:ext="edit" aspectratio="f"/>
                <v:textbox>
                  <w:txbxContent>
                    <w:p w14:paraId="75F6F84C">
                      <w:pPr>
                        <w:spacing w:line="240" w:lineRule="auto"/>
                        <w:rPr>
                          <w:rFonts w:hint="default" w:eastAsia="宋体"/>
                          <w:lang w:val="en-US" w:eastAsia="zh-CN"/>
                        </w:rPr>
                      </w:pPr>
                      <w:r>
                        <w:rPr>
                          <w:rFonts w:hint="eastAsia"/>
                          <w:lang w:val="en-US" w:eastAsia="zh-CN"/>
                        </w:rPr>
                        <w:t>386m</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4685030</wp:posOffset>
                </wp:positionH>
                <wp:positionV relativeFrom="paragraph">
                  <wp:posOffset>3858895</wp:posOffset>
                </wp:positionV>
                <wp:extent cx="519430" cy="248920"/>
                <wp:effectExtent l="4445" t="5080" r="9525" b="5080"/>
                <wp:wrapNone/>
                <wp:docPr id="76" name="文本框 76"/>
                <wp:cNvGraphicFramePr/>
                <a:graphic xmlns:a="http://schemas.openxmlformats.org/drawingml/2006/main">
                  <a:graphicData uri="http://schemas.microsoft.com/office/word/2010/wordprocessingShape">
                    <wps:wsp>
                      <wps:cNvSpPr txBox="1"/>
                      <wps:spPr>
                        <a:xfrm>
                          <a:off x="0" y="0"/>
                          <a:ext cx="519430"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83C499">
                            <w:pPr>
                              <w:spacing w:line="240" w:lineRule="auto"/>
                              <w:rPr>
                                <w:rFonts w:hint="default" w:eastAsia="宋体"/>
                                <w:lang w:val="en-US" w:eastAsia="zh-CN"/>
                              </w:rPr>
                            </w:pPr>
                            <w:r>
                              <w:rPr>
                                <w:rFonts w:hint="eastAsia"/>
                                <w:lang w:val="en-US" w:eastAsia="zh-CN"/>
                              </w:rPr>
                              <w:t>395m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9pt;margin-top:303.85pt;height:19.6pt;width:40.9pt;z-index:251694080;mso-width-relative:page;mso-height-relative:page;" fillcolor="#FFFFFF [3201]" filled="t" stroked="t" coordsize="21600,21600" o:gfxdata="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uTNv&#10;2AAAAAsBAAAPAAAAAAAAAAEAIAAAACIAAABkcnMvZG93bnJldi54bWxQSwECFAAUAAAACACHTuJA&#10;QpIY4FoCAAC4BAAADgAAAAAAAAABACAAAAAnAQAAZHJzL2Uyb0RvYy54bWxQSwUGAAAAAAYABgBZ&#10;AQAA8wUAAAAA&#10;">
                <v:fill on="t" focussize="0,0"/>
                <v:stroke weight="0.5pt" color="#000000 [3204]" joinstyle="round"/>
                <v:imagedata o:title=""/>
                <o:lock v:ext="edit" aspectratio="f"/>
                <v:textbox>
                  <w:txbxContent>
                    <w:p w14:paraId="2283C499">
                      <w:pPr>
                        <w:spacing w:line="240" w:lineRule="auto"/>
                        <w:rPr>
                          <w:rFonts w:hint="default" w:eastAsia="宋体"/>
                          <w:lang w:val="en-US" w:eastAsia="zh-CN"/>
                        </w:rPr>
                      </w:pPr>
                      <w:r>
                        <w:rPr>
                          <w:rFonts w:hint="eastAsia"/>
                          <w:lang w:val="en-US" w:eastAsia="zh-CN"/>
                        </w:rPr>
                        <w:t>395m</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2496185</wp:posOffset>
                </wp:positionH>
                <wp:positionV relativeFrom="paragraph">
                  <wp:posOffset>2708910</wp:posOffset>
                </wp:positionV>
                <wp:extent cx="519430" cy="248920"/>
                <wp:effectExtent l="4445" t="5080" r="9525" b="5080"/>
                <wp:wrapNone/>
                <wp:docPr id="75" name="文本框 75"/>
                <wp:cNvGraphicFramePr/>
                <a:graphic xmlns:a="http://schemas.openxmlformats.org/drawingml/2006/main">
                  <a:graphicData uri="http://schemas.microsoft.com/office/word/2010/wordprocessingShape">
                    <wps:wsp>
                      <wps:cNvSpPr txBox="1"/>
                      <wps:spPr>
                        <a:xfrm>
                          <a:off x="2904490" y="3561080"/>
                          <a:ext cx="519430"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3FE792">
                            <w:pPr>
                              <w:spacing w:line="240" w:lineRule="auto"/>
                              <w:rPr>
                                <w:rFonts w:hint="default" w:eastAsia="宋体"/>
                                <w:lang w:val="en-US" w:eastAsia="zh-CN"/>
                              </w:rPr>
                            </w:pPr>
                            <w:r>
                              <w:rPr>
                                <w:rFonts w:hint="eastAsia"/>
                                <w:lang w:val="en-US" w:eastAsia="zh-CN"/>
                              </w:rPr>
                              <w:t>750m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55pt;margin-top:213.3pt;height:19.6pt;width:40.9pt;z-index:251693056;mso-width-relative:page;mso-height-relative:page;" fillcolor="#FFFFFF [3201]" filled="t" stroked="t" coordsize="21600,21600" o:gfxdata="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cYTytgAAAALAQAADwAAAAAAAAABACAAAAAiAAAAZHJzL2Rvd25yZXYueG1sUEsB&#10;AhQAFAAAAAgAh07iQErhEbhnAgAAxAQAAA4AAAAAAAAAAQAgAAAAJwEAAGRycy9lMm9Eb2MueG1s&#10;UEsFBgAAAAAGAAYAWQEAAAAGAAAAAA==&#10;">
                <v:fill on="t" focussize="0,0"/>
                <v:stroke weight="0.5pt" color="#000000 [3204]" joinstyle="round"/>
                <v:imagedata o:title=""/>
                <o:lock v:ext="edit" aspectratio="f"/>
                <v:textbox>
                  <w:txbxContent>
                    <w:p w14:paraId="033FE792">
                      <w:pPr>
                        <w:spacing w:line="240" w:lineRule="auto"/>
                        <w:rPr>
                          <w:rFonts w:hint="default" w:eastAsia="宋体"/>
                          <w:lang w:val="en-US" w:eastAsia="zh-CN"/>
                        </w:rPr>
                      </w:pPr>
                      <w:r>
                        <w:rPr>
                          <w:rFonts w:hint="eastAsia"/>
                          <w:lang w:val="en-US" w:eastAsia="zh-CN"/>
                        </w:rPr>
                        <w:t>750m</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4027170</wp:posOffset>
                </wp:positionH>
                <wp:positionV relativeFrom="paragraph">
                  <wp:posOffset>3187065</wp:posOffset>
                </wp:positionV>
                <wp:extent cx="1087120" cy="1606550"/>
                <wp:effectExtent l="0" t="3810" r="10160" b="5080"/>
                <wp:wrapNone/>
                <wp:docPr id="74" name="直接箭头连接符 74"/>
                <wp:cNvGraphicFramePr/>
                <a:graphic xmlns:a="http://schemas.openxmlformats.org/drawingml/2006/main">
                  <a:graphicData uri="http://schemas.microsoft.com/office/word/2010/wordprocessingShape">
                    <wps:wsp>
                      <wps:cNvCnPr>
                        <a:stCxn id="65" idx="5"/>
                        <a:endCxn id="67" idx="19"/>
                      </wps:cNvCnPr>
                      <wps:spPr>
                        <a:xfrm flipH="1">
                          <a:off x="4712970" y="4101465"/>
                          <a:ext cx="1087120" cy="160655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17.1pt;margin-top:250.95pt;height:126.5pt;width:85.6pt;z-index:251692032;mso-width-relative:page;mso-height-relative:page;" filled="f" stroked="t" coordsize="21600,21600" o:gfxdata="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hlXbdgAAAALAQAADwAAAAAAAAABACAAAAAiAAAAZHJzL2Rv&#10;d25yZXYueG1sUEsBAhQAFAAAAAgAh07iQMvjR5c6AgAAQAQAAA4AAAAAAAAAAQAgAAAAJwEAAGRy&#10;cy9lMm9Eb2MueG1sUEsFBgAAAAAGAAYAWQEAANMFAAAAAA==&#10;">
                <v:fill on="f" focussize="0,0"/>
                <v:stroke weight="1pt" color="#FFFF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452755</wp:posOffset>
                </wp:positionH>
                <wp:positionV relativeFrom="paragraph">
                  <wp:posOffset>2971800</wp:posOffset>
                </wp:positionV>
                <wp:extent cx="4648200" cy="83185"/>
                <wp:effectExtent l="0" t="48895" r="0" b="20320"/>
                <wp:wrapNone/>
                <wp:docPr id="73" name="直接箭头连接符 73"/>
                <wp:cNvGraphicFramePr/>
                <a:graphic xmlns:a="http://schemas.openxmlformats.org/drawingml/2006/main">
                  <a:graphicData uri="http://schemas.microsoft.com/office/word/2010/wordprocessingShape">
                    <wps:wsp>
                      <wps:cNvCnPr>
                        <a:endCxn id="66" idx="24"/>
                      </wps:cNvCnPr>
                      <wps:spPr>
                        <a:xfrm flipH="1" flipV="1">
                          <a:off x="1138555" y="3886200"/>
                          <a:ext cx="4648200" cy="8318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5.65pt;margin-top:234pt;height:6.55pt;width:366pt;z-index:251691008;mso-width-relative:page;mso-height-relative:page;" filled="f" stroked="t" coordsize="21600,21600" o:gfxdata="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MOpIHXAAAACgEAAA8AAAAAAAAAAQAgAAAAIgAAAGRycy9kb3ducmV2Lnht&#10;bFBLAQIUABQAAAAIAIdO4kBoHLSZMwIAAC4EAAAOAAAAAAAAAAEAIAAAACYBAABkcnMvZTJvRG9j&#10;LnhtbFBLBQYAAAAABgAGAFkBAADLBQAAAAA=&#10;">
                <v:fill on="f" focussize="0,0"/>
                <v:stroke weight="1pt" color="#FFFF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5932170</wp:posOffset>
                </wp:positionH>
                <wp:positionV relativeFrom="paragraph">
                  <wp:posOffset>2882265</wp:posOffset>
                </wp:positionV>
                <wp:extent cx="1786890" cy="103505"/>
                <wp:effectExtent l="635" t="6350" r="10795" b="57785"/>
                <wp:wrapNone/>
                <wp:docPr id="71" name="直接箭头连接符 71"/>
                <wp:cNvGraphicFramePr/>
                <a:graphic xmlns:a="http://schemas.openxmlformats.org/drawingml/2006/main">
                  <a:graphicData uri="http://schemas.microsoft.com/office/word/2010/wordprocessingShape">
                    <wps:wsp>
                      <wps:cNvCnPr/>
                      <wps:spPr>
                        <a:xfrm>
                          <a:off x="6617970" y="3796665"/>
                          <a:ext cx="1786890" cy="10350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67.1pt;margin-top:226.95pt;height:8.15pt;width:140.7pt;z-index:251689984;mso-width-relative:page;mso-height-relative:page;" filled="f" stroked="t" coordsize="21600,21600" o:gfxdata="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qco/tkAAAAMAQAA&#10;DwAAAAAAAAABACAAAAAiAAAAZHJzL2Rvd25yZXYueG1sUEsBAhQAFAAAAAgAh07iQKDjHUYYAgAA&#10;8gMAAA4AAAAAAAAAAQAgAAAAKAEAAGRycy9lMm9Eb2MueG1sUEsFBgAAAAAGAAYAWQEAALIFAAAA&#10;AA==&#10;">
                <v:fill on="f" focussize="0,0"/>
                <v:stroke weight="1pt" color="#FFFF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6853555</wp:posOffset>
                </wp:positionH>
                <wp:positionV relativeFrom="paragraph">
                  <wp:posOffset>571500</wp:posOffset>
                </wp:positionV>
                <wp:extent cx="2445385" cy="2778125"/>
                <wp:effectExtent l="10795" t="12700" r="12700" b="13335"/>
                <wp:wrapNone/>
                <wp:docPr id="68" name="任意多边形 68"/>
                <wp:cNvGraphicFramePr/>
                <a:graphic xmlns:a="http://schemas.openxmlformats.org/drawingml/2006/main">
                  <a:graphicData uri="http://schemas.microsoft.com/office/word/2010/wordprocessingShape">
                    <wps:wsp>
                      <wps:cNvSpPr/>
                      <wps:spPr>
                        <a:xfrm>
                          <a:off x="7539355" y="1485900"/>
                          <a:ext cx="2445385" cy="2778125"/>
                        </a:xfrm>
                        <a:custGeom>
                          <a:avLst/>
                          <a:gdLst>
                            <a:gd name="connisteX0" fmla="*/ 2445385 w 2445385"/>
                            <a:gd name="connsiteY0" fmla="*/ 2736850 h 2778125"/>
                            <a:gd name="connisteX1" fmla="*/ 2375535 w 2445385"/>
                            <a:gd name="connsiteY1" fmla="*/ 2722245 h 2778125"/>
                            <a:gd name="connisteX2" fmla="*/ 2348230 w 2445385"/>
                            <a:gd name="connsiteY2" fmla="*/ 2771140 h 2778125"/>
                            <a:gd name="connisteX3" fmla="*/ 1849120 w 2445385"/>
                            <a:gd name="connsiteY3" fmla="*/ 2778125 h 2778125"/>
                            <a:gd name="connisteX4" fmla="*/ 1835150 w 2445385"/>
                            <a:gd name="connsiteY4" fmla="*/ 2632075 h 2778125"/>
                            <a:gd name="connisteX5" fmla="*/ 1003935 w 2445385"/>
                            <a:gd name="connsiteY5" fmla="*/ 2520950 h 2778125"/>
                            <a:gd name="connisteX6" fmla="*/ 969645 w 2445385"/>
                            <a:gd name="connsiteY6" fmla="*/ 2555875 h 2778125"/>
                            <a:gd name="connisteX7" fmla="*/ 865505 w 2445385"/>
                            <a:gd name="connsiteY7" fmla="*/ 2555875 h 2778125"/>
                            <a:gd name="connisteX8" fmla="*/ 907415 w 2445385"/>
                            <a:gd name="connsiteY8" fmla="*/ 2147570 h 2778125"/>
                            <a:gd name="connisteX9" fmla="*/ 1246505 w 2445385"/>
                            <a:gd name="connsiteY9" fmla="*/ 2161540 h 2778125"/>
                            <a:gd name="connisteX10" fmla="*/ 1225550 w 2445385"/>
                            <a:gd name="connsiteY10" fmla="*/ 2258695 h 2778125"/>
                            <a:gd name="connisteX11" fmla="*/ 1343660 w 2445385"/>
                            <a:gd name="connsiteY11" fmla="*/ 2258695 h 2778125"/>
                            <a:gd name="connisteX12" fmla="*/ 1405890 w 2445385"/>
                            <a:gd name="connsiteY12" fmla="*/ 1995170 h 2778125"/>
                            <a:gd name="connisteX13" fmla="*/ 907415 w 2445385"/>
                            <a:gd name="connsiteY13" fmla="*/ 1974850 h 2778125"/>
                            <a:gd name="connisteX14" fmla="*/ 914400 w 2445385"/>
                            <a:gd name="connsiteY14" fmla="*/ 1822450 h 2778125"/>
                            <a:gd name="connisteX15" fmla="*/ 817245 w 2445385"/>
                            <a:gd name="connsiteY15" fmla="*/ 1877695 h 2778125"/>
                            <a:gd name="connisteX16" fmla="*/ 775335 w 2445385"/>
                            <a:gd name="connsiteY16" fmla="*/ 1801495 h 2778125"/>
                            <a:gd name="connisteX17" fmla="*/ 865505 w 2445385"/>
                            <a:gd name="connsiteY17" fmla="*/ 1696720 h 2778125"/>
                            <a:gd name="connisteX18" fmla="*/ 817245 w 2445385"/>
                            <a:gd name="connsiteY18" fmla="*/ 1663065 h 2778125"/>
                            <a:gd name="connisteX19" fmla="*/ 844550 w 2445385"/>
                            <a:gd name="connsiteY19" fmla="*/ 1489075 h 2778125"/>
                            <a:gd name="connisteX20" fmla="*/ 948690 w 2445385"/>
                            <a:gd name="connsiteY20" fmla="*/ 1503045 h 2778125"/>
                            <a:gd name="connisteX21" fmla="*/ 962660 w 2445385"/>
                            <a:gd name="connsiteY21" fmla="*/ 1377950 h 2778125"/>
                            <a:gd name="connisteX22" fmla="*/ 824230 w 2445385"/>
                            <a:gd name="connsiteY22" fmla="*/ 1420495 h 2778125"/>
                            <a:gd name="connisteX23" fmla="*/ 858520 w 2445385"/>
                            <a:gd name="connsiteY23" fmla="*/ 1031875 h 2778125"/>
                            <a:gd name="connisteX24" fmla="*/ 0 w 2445385"/>
                            <a:gd name="connsiteY24" fmla="*/ 1053465 h 2778125"/>
                            <a:gd name="connisteX25" fmla="*/ 27305 w 2445385"/>
                            <a:gd name="connsiteY25" fmla="*/ 844550 h 2778125"/>
                            <a:gd name="connisteX26" fmla="*/ 546735 w 2445385"/>
                            <a:gd name="connsiteY26" fmla="*/ 762000 h 2778125"/>
                            <a:gd name="connisteX27" fmla="*/ 567690 w 2445385"/>
                            <a:gd name="connsiteY27" fmla="*/ 325120 h 2778125"/>
                            <a:gd name="connisteX28" fmla="*/ 1080135 w 2445385"/>
                            <a:gd name="connsiteY28" fmla="*/ 394970 h 2778125"/>
                            <a:gd name="connisteX29" fmla="*/ 1080135 w 2445385"/>
                            <a:gd name="connsiteY29" fmla="*/ 463550 h 2778125"/>
                            <a:gd name="connisteX30" fmla="*/ 1163320 w 2445385"/>
                            <a:gd name="connsiteY30" fmla="*/ 450850 h 2778125"/>
                            <a:gd name="connisteX31" fmla="*/ 1177290 w 2445385"/>
                            <a:gd name="connsiteY31" fmla="*/ 394970 h 2778125"/>
                            <a:gd name="connisteX32" fmla="*/ 1295400 w 2445385"/>
                            <a:gd name="connsiteY32" fmla="*/ 401320 h 2778125"/>
                            <a:gd name="connisteX33" fmla="*/ 1301750 w 2445385"/>
                            <a:gd name="connsiteY33" fmla="*/ 318770 h 2778125"/>
                            <a:gd name="connisteX34" fmla="*/ 1343660 w 2445385"/>
                            <a:gd name="connsiteY34" fmla="*/ 0 h 2778125"/>
                            <a:gd name="connisteX35" fmla="*/ 1503045 w 2445385"/>
                            <a:gd name="connsiteY35" fmla="*/ 48895 h 2778125"/>
                            <a:gd name="connisteX36" fmla="*/ 1482090 w 2445385"/>
                            <a:gd name="connsiteY36" fmla="*/ 360045 h 2778125"/>
                            <a:gd name="connisteX37" fmla="*/ 1524000 w 2445385"/>
                            <a:gd name="connsiteY37" fmla="*/ 422275 h 2778125"/>
                            <a:gd name="connisteX38" fmla="*/ 1634490 w 2445385"/>
                            <a:gd name="connsiteY38" fmla="*/ 415925 h 2778125"/>
                            <a:gd name="connisteX39" fmla="*/ 1648460 w 2445385"/>
                            <a:gd name="connsiteY39" fmla="*/ 304800 h 2778125"/>
                            <a:gd name="connisteX40" fmla="*/ 1731645 w 2445385"/>
                            <a:gd name="connsiteY40" fmla="*/ 311150 h 2778125"/>
                            <a:gd name="connisteX41" fmla="*/ 1710690 w 2445385"/>
                            <a:gd name="connsiteY41" fmla="*/ 374650 h 2778125"/>
                            <a:gd name="connisteX42" fmla="*/ 1745615 w 2445385"/>
                            <a:gd name="connsiteY42" fmla="*/ 394970 h 2778125"/>
                            <a:gd name="connisteX43" fmla="*/ 1849120 w 2445385"/>
                            <a:gd name="connsiteY43" fmla="*/ 429895 h 2778125"/>
                            <a:gd name="connisteX44" fmla="*/ 1856105 w 2445385"/>
                            <a:gd name="connsiteY44" fmla="*/ 332740 h 2778125"/>
                            <a:gd name="connisteX45" fmla="*/ 1911985 w 2445385"/>
                            <a:gd name="connsiteY45" fmla="*/ 298450 h 2778125"/>
                            <a:gd name="connisteX46" fmla="*/ 1974215 w 2445385"/>
                            <a:gd name="connsiteY46" fmla="*/ 193675 h 2778125"/>
                            <a:gd name="connisteX47" fmla="*/ 1981200 w 2445385"/>
                            <a:gd name="connsiteY47" fmla="*/ 152400 h 2778125"/>
                            <a:gd name="connisteX48" fmla="*/ 2126615 w 2445385"/>
                            <a:gd name="connsiteY48" fmla="*/ 172720 h 2778125"/>
                            <a:gd name="connisteX49" fmla="*/ 2160905 w 2445385"/>
                            <a:gd name="connsiteY49" fmla="*/ 125095 h 2778125"/>
                            <a:gd name="connisteX50" fmla="*/ 2445385 w 2445385"/>
                            <a:gd name="connsiteY50" fmla="*/ 125095 h 27781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Lst>
                          <a:rect l="l" t="t" r="r" b="b"/>
                          <a:pathLst>
                            <a:path w="2445385" h="2778125">
                              <a:moveTo>
                                <a:pt x="2445385" y="2736850"/>
                              </a:moveTo>
                              <a:lnTo>
                                <a:pt x="2375535" y="2722245"/>
                              </a:lnTo>
                              <a:lnTo>
                                <a:pt x="2348230" y="2771140"/>
                              </a:lnTo>
                              <a:lnTo>
                                <a:pt x="1849120" y="2778125"/>
                              </a:lnTo>
                              <a:lnTo>
                                <a:pt x="1835150" y="2632075"/>
                              </a:lnTo>
                              <a:lnTo>
                                <a:pt x="1003935" y="2520950"/>
                              </a:lnTo>
                              <a:lnTo>
                                <a:pt x="969645" y="2555875"/>
                              </a:lnTo>
                              <a:lnTo>
                                <a:pt x="865505" y="2555875"/>
                              </a:lnTo>
                              <a:lnTo>
                                <a:pt x="907415" y="2147570"/>
                              </a:lnTo>
                              <a:lnTo>
                                <a:pt x="1246505" y="2161540"/>
                              </a:lnTo>
                              <a:lnTo>
                                <a:pt x="1225550" y="2258695"/>
                              </a:lnTo>
                              <a:lnTo>
                                <a:pt x="1343660" y="2258695"/>
                              </a:lnTo>
                              <a:lnTo>
                                <a:pt x="1405890" y="1995170"/>
                              </a:lnTo>
                              <a:lnTo>
                                <a:pt x="907415" y="1974850"/>
                              </a:lnTo>
                              <a:lnTo>
                                <a:pt x="914400" y="1822450"/>
                              </a:lnTo>
                              <a:lnTo>
                                <a:pt x="817245" y="1877695"/>
                              </a:lnTo>
                              <a:lnTo>
                                <a:pt x="775335" y="1801495"/>
                              </a:lnTo>
                              <a:lnTo>
                                <a:pt x="865505" y="1696720"/>
                              </a:lnTo>
                              <a:lnTo>
                                <a:pt x="817245" y="1663065"/>
                              </a:lnTo>
                              <a:lnTo>
                                <a:pt x="844550" y="1489075"/>
                              </a:lnTo>
                              <a:lnTo>
                                <a:pt x="948690" y="1503045"/>
                              </a:lnTo>
                              <a:lnTo>
                                <a:pt x="962660" y="1377950"/>
                              </a:lnTo>
                              <a:lnTo>
                                <a:pt x="824230" y="1420495"/>
                              </a:lnTo>
                              <a:lnTo>
                                <a:pt x="858520" y="1031875"/>
                              </a:lnTo>
                              <a:lnTo>
                                <a:pt x="0" y="1053465"/>
                              </a:lnTo>
                              <a:lnTo>
                                <a:pt x="27305" y="844550"/>
                              </a:lnTo>
                              <a:lnTo>
                                <a:pt x="546735" y="762000"/>
                              </a:lnTo>
                              <a:lnTo>
                                <a:pt x="567690" y="325120"/>
                              </a:lnTo>
                              <a:lnTo>
                                <a:pt x="1080135" y="394970"/>
                              </a:lnTo>
                              <a:lnTo>
                                <a:pt x="1080135" y="463550"/>
                              </a:lnTo>
                              <a:lnTo>
                                <a:pt x="1163320" y="450850"/>
                              </a:lnTo>
                              <a:lnTo>
                                <a:pt x="1177290" y="394970"/>
                              </a:lnTo>
                              <a:lnTo>
                                <a:pt x="1295400" y="401320"/>
                              </a:lnTo>
                              <a:lnTo>
                                <a:pt x="1301750" y="318770"/>
                              </a:lnTo>
                              <a:lnTo>
                                <a:pt x="1343660" y="0"/>
                              </a:lnTo>
                              <a:lnTo>
                                <a:pt x="1503045" y="48895"/>
                              </a:lnTo>
                              <a:lnTo>
                                <a:pt x="1482090" y="360045"/>
                              </a:lnTo>
                              <a:lnTo>
                                <a:pt x="1524000" y="422275"/>
                              </a:lnTo>
                              <a:lnTo>
                                <a:pt x="1634490" y="415925"/>
                              </a:lnTo>
                              <a:lnTo>
                                <a:pt x="1648460" y="304800"/>
                              </a:lnTo>
                              <a:lnTo>
                                <a:pt x="1731645" y="311150"/>
                              </a:lnTo>
                              <a:lnTo>
                                <a:pt x="1710690" y="374650"/>
                              </a:lnTo>
                              <a:lnTo>
                                <a:pt x="1745615" y="394970"/>
                              </a:lnTo>
                              <a:lnTo>
                                <a:pt x="1849120" y="429895"/>
                              </a:lnTo>
                              <a:lnTo>
                                <a:pt x="1856105" y="332740"/>
                              </a:lnTo>
                              <a:lnTo>
                                <a:pt x="1911985" y="298450"/>
                              </a:lnTo>
                              <a:lnTo>
                                <a:pt x="1974215" y="193675"/>
                              </a:lnTo>
                              <a:lnTo>
                                <a:pt x="1981200" y="152400"/>
                              </a:lnTo>
                              <a:lnTo>
                                <a:pt x="2126615" y="172720"/>
                              </a:lnTo>
                              <a:lnTo>
                                <a:pt x="2160905" y="125095"/>
                              </a:lnTo>
                              <a:lnTo>
                                <a:pt x="2445385" y="125095"/>
                              </a:lnTo>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39.65pt;margin-top:45pt;height:218.75pt;width:192.55pt;z-index:251688960;mso-width-relative:page;mso-height-relative:page;" filled="f" stroked="t" coordsize="2445385,2778125" o:gfxdata="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" path="m2445385,2736850l2375535,2722245,2348230,2771140,1849120,2778125,1835150,2632075,1003935,2520950,969645,2555875,865505,2555875,907415,2147570,1246505,2161540,1225550,2258695,1343660,2258695,1405890,1995170,907415,1974850,914400,1822450,817245,1877695,775335,1801495,865505,1696720,817245,1663065,844550,1489075,948690,1503045,962660,1377950,824230,1420495,858520,1031875,0,1053465,27305,844550,546735,762000,567690,325120,1080135,394970,1080135,463550,1163320,450850,1177290,394970,1295400,401320,1301750,318770,1343660,0,1503045,48895,1482090,360045,1524000,422275,1634490,415925,1648460,304800,1731645,311150,1710690,374650,1745615,394970,1849120,429895,1856105,332740,1911985,298450,1974215,193675,1981200,152400,2126615,172720,2160905,125095,2445385,125095e">
                <v:path o:connectlocs="2445385,2736850;2375535,2722245;2348230,2771140;1849120,2778125;1835150,2632075;1003935,2520950;969645,2555875;865505,2555875;907415,2147570;1246505,2161540;1225550,2258695;1343660,2258695;1405890,1995170;907415,1974850;914400,1822450;817245,1877695;775335,1801495;865505,1696720;817245,1663065;844550,1489075;948690,1503045;962660,1377950;824230,1420495;858520,1031875;0,1053465;27305,844550;546735,762000;567690,325120;1080135,394970;1080135,463550;1163320,450850;1177290,394970;1295400,401320;1301750,318770;1343660,0;1503045,48895;1482090,360045;1524000,422275;1634490,415925;1648460,304800;1731645,311150;1710690,374650;1745615,394970;1849120,429895;1856105,332740;1911985,298450;1974215,193675;1981200,152400;2126615,172720;2160905,125095;2445385,125095" o:connectangles="0,0,0,0,0,0,0,0,0,0,0,0,0,0,0,0,0,0,0,0,0,0,0,0,0,0,0,0,0,0,0,0,0,0,0,0,0,0,0,0,0,0,0,0,0,0,0,0,0,0,0"/>
                <v:fill on="f" focussize="0,0"/>
                <v:stroke weight="1.5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1394460</wp:posOffset>
                </wp:positionH>
                <wp:positionV relativeFrom="paragraph">
                  <wp:posOffset>4606925</wp:posOffset>
                </wp:positionV>
                <wp:extent cx="2632710" cy="1066800"/>
                <wp:effectExtent l="10160" t="10795" r="24130" b="4445"/>
                <wp:wrapNone/>
                <wp:docPr id="67" name="任意多边形 67"/>
                <wp:cNvGraphicFramePr/>
                <a:graphic xmlns:a="http://schemas.openxmlformats.org/drawingml/2006/main">
                  <a:graphicData uri="http://schemas.microsoft.com/office/word/2010/wordprocessingShape">
                    <wps:wsp>
                      <wps:cNvSpPr/>
                      <wps:spPr>
                        <a:xfrm>
                          <a:off x="2080260" y="5521325"/>
                          <a:ext cx="2632710" cy="1066800"/>
                        </a:xfrm>
                        <a:custGeom>
                          <a:avLst/>
                          <a:gdLst>
                            <a:gd name="connisteX0" fmla="*/ 499110 w 2632710"/>
                            <a:gd name="connsiteY0" fmla="*/ 1045845 h 1066800"/>
                            <a:gd name="connisteX1" fmla="*/ 526415 w 2632710"/>
                            <a:gd name="connsiteY1" fmla="*/ 858520 h 1066800"/>
                            <a:gd name="connisteX2" fmla="*/ 311785 w 2632710"/>
                            <a:gd name="connsiteY2" fmla="*/ 844550 h 1066800"/>
                            <a:gd name="connisteX3" fmla="*/ 353695 w 2632710"/>
                            <a:gd name="connsiteY3" fmla="*/ 477520 h 1066800"/>
                            <a:gd name="connisteX4" fmla="*/ 0 w 2632710"/>
                            <a:gd name="connsiteY4" fmla="*/ 477520 h 1066800"/>
                            <a:gd name="connisteX5" fmla="*/ 6985 w 2632710"/>
                            <a:gd name="connsiteY5" fmla="*/ 331470 h 1066800"/>
                            <a:gd name="connisteX6" fmla="*/ 166370 w 2632710"/>
                            <a:gd name="connsiteY6" fmla="*/ 318770 h 1066800"/>
                            <a:gd name="connisteX7" fmla="*/ 173355 w 2632710"/>
                            <a:gd name="connsiteY7" fmla="*/ 137795 h 1066800"/>
                            <a:gd name="connisteX8" fmla="*/ 221615 w 2632710"/>
                            <a:gd name="connsiteY8" fmla="*/ 0 h 1066800"/>
                            <a:gd name="connisteX9" fmla="*/ 401955 w 2632710"/>
                            <a:gd name="connsiteY9" fmla="*/ 34290 h 1066800"/>
                            <a:gd name="connisteX10" fmla="*/ 408940 w 2632710"/>
                            <a:gd name="connsiteY10" fmla="*/ 145415 h 1066800"/>
                            <a:gd name="connisteX11" fmla="*/ 838200 w 2632710"/>
                            <a:gd name="connsiteY11" fmla="*/ 123825 h 1066800"/>
                            <a:gd name="connisteX12" fmla="*/ 831215 w 2632710"/>
                            <a:gd name="connsiteY12" fmla="*/ 248920 h 1066800"/>
                            <a:gd name="connisteX13" fmla="*/ 907415 w 2632710"/>
                            <a:gd name="connsiteY13" fmla="*/ 248920 h 1066800"/>
                            <a:gd name="connisteX14" fmla="*/ 1953895 w 2632710"/>
                            <a:gd name="connsiteY14" fmla="*/ 352425 h 1066800"/>
                            <a:gd name="connisteX15" fmla="*/ 1981200 w 2632710"/>
                            <a:gd name="connsiteY15" fmla="*/ 213995 h 1066800"/>
                            <a:gd name="connisteX16" fmla="*/ 2147570 w 2632710"/>
                            <a:gd name="connsiteY16" fmla="*/ 221615 h 1066800"/>
                            <a:gd name="connisteX17" fmla="*/ 2147570 w 2632710"/>
                            <a:gd name="connsiteY17" fmla="*/ 76200 h 1066800"/>
                            <a:gd name="connisteX18" fmla="*/ 2355215 w 2632710"/>
                            <a:gd name="connsiteY18" fmla="*/ 123825 h 1066800"/>
                            <a:gd name="connisteX19" fmla="*/ 2632710 w 2632710"/>
                            <a:gd name="connsiteY19" fmla="*/ 186690 h 1066800"/>
                            <a:gd name="connisteX20" fmla="*/ 2556510 w 2632710"/>
                            <a:gd name="connsiteY20" fmla="*/ 1066800 h 10668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Lst>
                          <a:rect l="l" t="t" r="r" b="b"/>
                          <a:pathLst>
                            <a:path w="2632710" h="1066800">
                              <a:moveTo>
                                <a:pt x="499110" y="1045845"/>
                              </a:moveTo>
                              <a:lnTo>
                                <a:pt x="526415" y="858520"/>
                              </a:lnTo>
                              <a:lnTo>
                                <a:pt x="311785" y="844550"/>
                              </a:lnTo>
                              <a:lnTo>
                                <a:pt x="353695" y="477520"/>
                              </a:lnTo>
                              <a:lnTo>
                                <a:pt x="0" y="477520"/>
                              </a:lnTo>
                              <a:lnTo>
                                <a:pt x="6985" y="331470"/>
                              </a:lnTo>
                              <a:lnTo>
                                <a:pt x="166370" y="318770"/>
                              </a:lnTo>
                              <a:lnTo>
                                <a:pt x="173355" y="137795"/>
                              </a:lnTo>
                              <a:lnTo>
                                <a:pt x="221615" y="0"/>
                              </a:lnTo>
                              <a:lnTo>
                                <a:pt x="401955" y="34290"/>
                              </a:lnTo>
                              <a:lnTo>
                                <a:pt x="408940" y="145415"/>
                              </a:lnTo>
                              <a:lnTo>
                                <a:pt x="838200" y="123825"/>
                              </a:lnTo>
                              <a:lnTo>
                                <a:pt x="831215" y="248920"/>
                              </a:lnTo>
                              <a:lnTo>
                                <a:pt x="907415" y="248920"/>
                              </a:lnTo>
                              <a:lnTo>
                                <a:pt x="1953895" y="352425"/>
                              </a:lnTo>
                              <a:lnTo>
                                <a:pt x="1981200" y="213995"/>
                              </a:lnTo>
                              <a:lnTo>
                                <a:pt x="2147570" y="221615"/>
                              </a:lnTo>
                              <a:lnTo>
                                <a:pt x="2147570" y="76200"/>
                              </a:lnTo>
                              <a:lnTo>
                                <a:pt x="2355215" y="123825"/>
                              </a:lnTo>
                              <a:lnTo>
                                <a:pt x="2632710" y="186690"/>
                              </a:lnTo>
                              <a:lnTo>
                                <a:pt x="2556510" y="1066800"/>
                              </a:lnTo>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9.8pt;margin-top:362.75pt;height:84pt;width:207.3pt;z-index:251687936;mso-width-relative:page;mso-height-relative:page;" filled="f" stroked="t" coordsize="2632710,1066800" o:gfxdata="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&#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j++0KNkAAAALAQAADwAAAAAAAAABACAAAAAiAAAAZHJz&#10;L2Rvd25yZXYueG1sUEsBAhQAFAAAAAgAh07iQMmRgighBQAAwhUAAA4AAAAAAAAAAQAgAAAAKAEA&#10;AGRycy9lMm9Eb2MueG1sUEsFBgAAAAAGAAYAWQEAALsIAAAAAA==&#10;" path="m499110,1045845l526415,858520,311785,844550,353695,477520,0,477520,6985,331470,166370,318770,173355,137795,221615,0,401955,34290,408940,145415,838200,123825,831215,248920,907415,248920,1953895,352425,1981200,213995,2147570,221615,2147570,76200,2355215,123825,2632710,186690,2556510,1066800e">
                <v:path o:connectlocs="499110,1045845;526415,858520;311785,844550;353695,477520;0,477520;6985,331470;166370,318770;173355,137795;221615,0;401955,34290;408940,145415;838200,123825;831215,248920;907415,248920;1953895,352425;1981200,213995;2147570,221615;2147570,76200;2355215,123825;2632710,186690;2556510,1066800" o:connectangles="0,0,0,0,0,0,0,0,0,0,0,0,0,0,0,0,0,0,0,0,0"/>
                <v:fill on="f" focussize="0,0"/>
                <v:stroke weight="1.5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15875</wp:posOffset>
                </wp:positionH>
                <wp:positionV relativeFrom="paragraph">
                  <wp:posOffset>873125</wp:posOffset>
                </wp:positionV>
                <wp:extent cx="1191895" cy="2950845"/>
                <wp:effectExtent l="635" t="9525" r="11430" b="11430"/>
                <wp:wrapNone/>
                <wp:docPr id="66" name="任意多边形 66"/>
                <wp:cNvGraphicFramePr/>
                <a:graphic xmlns:a="http://schemas.openxmlformats.org/drawingml/2006/main">
                  <a:graphicData uri="http://schemas.microsoft.com/office/word/2010/wordprocessingShape">
                    <wps:wsp>
                      <wps:cNvSpPr/>
                      <wps:spPr>
                        <a:xfrm>
                          <a:off x="701675" y="1787525"/>
                          <a:ext cx="1191895" cy="2950845"/>
                        </a:xfrm>
                        <a:custGeom>
                          <a:avLst/>
                          <a:gdLst>
                            <a:gd name="connisteX0" fmla="*/ 0 w 1191895"/>
                            <a:gd name="connsiteY0" fmla="*/ 0 h 2950845"/>
                            <a:gd name="connisteX1" fmla="*/ 214630 w 1191895"/>
                            <a:gd name="connsiteY1" fmla="*/ 20320 h 2950845"/>
                            <a:gd name="connisteX2" fmla="*/ 214630 w 1191895"/>
                            <a:gd name="connsiteY2" fmla="*/ 131445 h 2950845"/>
                            <a:gd name="connisteX3" fmla="*/ 492125 w 1191895"/>
                            <a:gd name="connsiteY3" fmla="*/ 158750 h 2950845"/>
                            <a:gd name="connisteX4" fmla="*/ 706755 w 1191895"/>
                            <a:gd name="connsiteY4" fmla="*/ 152400 h 2950845"/>
                            <a:gd name="connisteX5" fmla="*/ 720725 w 1191895"/>
                            <a:gd name="connsiteY5" fmla="*/ 248920 h 2950845"/>
                            <a:gd name="connisteX6" fmla="*/ 852170 w 1191895"/>
                            <a:gd name="connsiteY6" fmla="*/ 242570 h 2950845"/>
                            <a:gd name="connisteX7" fmla="*/ 859155 w 1191895"/>
                            <a:gd name="connsiteY7" fmla="*/ 187325 h 2950845"/>
                            <a:gd name="connisteX8" fmla="*/ 970280 w 1191895"/>
                            <a:gd name="connsiteY8" fmla="*/ 200025 h 2950845"/>
                            <a:gd name="connisteX9" fmla="*/ 997585 w 1191895"/>
                            <a:gd name="connsiteY9" fmla="*/ 242570 h 2950845"/>
                            <a:gd name="connisteX10" fmla="*/ 1108710 w 1191895"/>
                            <a:gd name="connsiteY10" fmla="*/ 256540 h 2950845"/>
                            <a:gd name="connisteX11" fmla="*/ 1122680 w 1191895"/>
                            <a:gd name="connsiteY11" fmla="*/ 346075 h 2950845"/>
                            <a:gd name="connisteX12" fmla="*/ 1191895 w 1191895"/>
                            <a:gd name="connsiteY12" fmla="*/ 374015 h 2950845"/>
                            <a:gd name="connisteX13" fmla="*/ 1184910 w 1191895"/>
                            <a:gd name="connsiteY13" fmla="*/ 885825 h 2950845"/>
                            <a:gd name="connisteX14" fmla="*/ 1184910 w 1191895"/>
                            <a:gd name="connsiteY14" fmla="*/ 962025 h 2950845"/>
                            <a:gd name="connisteX15" fmla="*/ 699770 w 1191895"/>
                            <a:gd name="connsiteY15" fmla="*/ 975995 h 2950845"/>
                            <a:gd name="connisteX16" fmla="*/ 665480 w 1191895"/>
                            <a:gd name="connsiteY16" fmla="*/ 1225550 h 2950845"/>
                            <a:gd name="connisteX17" fmla="*/ 125095 w 1191895"/>
                            <a:gd name="connsiteY17" fmla="*/ 1225550 h 2950845"/>
                            <a:gd name="connisteX18" fmla="*/ 76200 w 1191895"/>
                            <a:gd name="connsiteY18" fmla="*/ 1364615 h 2950845"/>
                            <a:gd name="connisteX19" fmla="*/ 263525 w 1191895"/>
                            <a:gd name="connsiteY19" fmla="*/ 1391920 h 2950845"/>
                            <a:gd name="connisteX20" fmla="*/ 270510 w 1191895"/>
                            <a:gd name="connsiteY20" fmla="*/ 1509395 h 2950845"/>
                            <a:gd name="connisteX21" fmla="*/ 415925 w 1191895"/>
                            <a:gd name="connsiteY21" fmla="*/ 1530350 h 2950845"/>
                            <a:gd name="connisteX22" fmla="*/ 374015 w 1191895"/>
                            <a:gd name="connsiteY22" fmla="*/ 1952625 h 2950845"/>
                            <a:gd name="connisteX23" fmla="*/ 436880 w 1191895"/>
                            <a:gd name="connsiteY23" fmla="*/ 1952625 h 2950845"/>
                            <a:gd name="connisteX24" fmla="*/ 436880 w 1191895"/>
                            <a:gd name="connsiteY24" fmla="*/ 2098675 h 2950845"/>
                            <a:gd name="connisteX25" fmla="*/ 499110 w 1191895"/>
                            <a:gd name="connsiteY25" fmla="*/ 2237740 h 2950845"/>
                            <a:gd name="connisteX26" fmla="*/ 450215 w 1191895"/>
                            <a:gd name="connsiteY26" fmla="*/ 2549525 h 2950845"/>
                            <a:gd name="connisteX27" fmla="*/ 187325 w 1191895"/>
                            <a:gd name="connsiteY27" fmla="*/ 2514600 h 2950845"/>
                            <a:gd name="connisteX28" fmla="*/ 118110 w 1191895"/>
                            <a:gd name="connsiteY28" fmla="*/ 2943225 h 2950845"/>
                            <a:gd name="connisteX29" fmla="*/ 0 w 1191895"/>
                            <a:gd name="connsiteY29" fmla="*/ 2950845 h 29508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Lst>
                          <a:rect l="l" t="t" r="r" b="b"/>
                          <a:pathLst>
                            <a:path w="1191895" h="2950845">
                              <a:moveTo>
                                <a:pt x="0" y="0"/>
                              </a:moveTo>
                              <a:lnTo>
                                <a:pt x="214630" y="20320"/>
                              </a:lnTo>
                              <a:lnTo>
                                <a:pt x="214630" y="131445"/>
                              </a:lnTo>
                              <a:lnTo>
                                <a:pt x="492125" y="158750"/>
                              </a:lnTo>
                              <a:lnTo>
                                <a:pt x="706755" y="152400"/>
                              </a:lnTo>
                              <a:lnTo>
                                <a:pt x="720725" y="248920"/>
                              </a:lnTo>
                              <a:lnTo>
                                <a:pt x="852170" y="242570"/>
                              </a:lnTo>
                              <a:lnTo>
                                <a:pt x="859155" y="187325"/>
                              </a:lnTo>
                              <a:lnTo>
                                <a:pt x="970280" y="200025"/>
                              </a:lnTo>
                              <a:lnTo>
                                <a:pt x="997585" y="242570"/>
                              </a:lnTo>
                              <a:lnTo>
                                <a:pt x="1108710" y="256540"/>
                              </a:lnTo>
                              <a:lnTo>
                                <a:pt x="1122680" y="346075"/>
                              </a:lnTo>
                              <a:lnTo>
                                <a:pt x="1191895" y="374015"/>
                              </a:lnTo>
                              <a:lnTo>
                                <a:pt x="1184910" y="885825"/>
                              </a:lnTo>
                              <a:lnTo>
                                <a:pt x="1184910" y="962025"/>
                              </a:lnTo>
                              <a:lnTo>
                                <a:pt x="699770" y="975995"/>
                              </a:lnTo>
                              <a:lnTo>
                                <a:pt x="665480" y="1225550"/>
                              </a:lnTo>
                              <a:lnTo>
                                <a:pt x="125095" y="1225550"/>
                              </a:lnTo>
                              <a:lnTo>
                                <a:pt x="76200" y="1364615"/>
                              </a:lnTo>
                              <a:lnTo>
                                <a:pt x="263525" y="1391920"/>
                              </a:lnTo>
                              <a:lnTo>
                                <a:pt x="270510" y="1509395"/>
                              </a:lnTo>
                              <a:lnTo>
                                <a:pt x="415925" y="1530350"/>
                              </a:lnTo>
                              <a:lnTo>
                                <a:pt x="374015" y="1952625"/>
                              </a:lnTo>
                              <a:lnTo>
                                <a:pt x="436880" y="1952625"/>
                              </a:lnTo>
                              <a:lnTo>
                                <a:pt x="436880" y="2098675"/>
                              </a:lnTo>
                              <a:lnTo>
                                <a:pt x="499110" y="2237740"/>
                              </a:lnTo>
                              <a:lnTo>
                                <a:pt x="450215" y="2549525"/>
                              </a:lnTo>
                              <a:lnTo>
                                <a:pt x="187325" y="2514600"/>
                              </a:lnTo>
                              <a:lnTo>
                                <a:pt x="118110" y="2943225"/>
                              </a:lnTo>
                              <a:lnTo>
                                <a:pt x="0" y="2950845"/>
                              </a:lnTo>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5pt;margin-top:68.75pt;height:232.35pt;width:93.85pt;z-index:251686912;mso-width-relative:page;mso-height-relative:page;" filled="f" stroked="t" coordsize="1191895,2950845" o:gfxdata="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u8IFK9cAAAAJAQAADwAAAAAAAAABACAAAAAiAAAAZHJzL2Rvd25yZXYueG1sUEsB&#10;AhQAFAAAAAgAh07iQLltougxBgAAXh0AAA4AAAAAAAAAAQAgAAAAJgEAAGRycy9lMm9Eb2MueG1s&#10;UEsFBgAAAAAGAAYAWQEAAMkJAAAAAA==&#10;" path="m0,0l214630,20320,214630,131445,492125,158750,706755,152400,720725,248920,852170,242570,859155,187325,970280,200025,997585,242570,1108710,256540,1122680,346075,1191895,374015,1184910,885825,1184910,962025,699770,975995,665480,1225550,125095,1225550,76200,1364615,263525,1391920,270510,1509395,415925,1530350,374015,1952625,436880,1952625,436880,2098675,499110,2237740,450215,2549525,187325,2514600,118110,2943225,0,2950845e">
                <v:path o:connectlocs="0,0;214630,20320;214630,131445;492125,158750;706755,152400;720725,248920;852170,242570;859155,187325;970280,200025;997585,242570;1108710,256540;1122680,346075;1191895,374015;1184910,885825;1184910,962025;699770,975995;665480,1225550;125095,1225550;76200,1364615;263525,1391920;270510,1509395;415925,1530350;374015,1952625;436880,1952625;436880,2098675;499110,2237740;450215,2549525;187325,2514600;118110,2943225;0,2950845" o:connectangles="0,0,0,0,0,0,0,0,0,0,0,0,0,0,0,0,0,0,0,0,0,0,0,0,0,0,0,0,0,0"/>
                <v:fill on="f" focussize="0,0"/>
                <v:stroke weight="1.5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5114290</wp:posOffset>
                </wp:positionH>
                <wp:positionV relativeFrom="paragraph">
                  <wp:posOffset>2708275</wp:posOffset>
                </wp:positionV>
                <wp:extent cx="831215" cy="588645"/>
                <wp:effectExtent l="10795" t="10795" r="11430" b="25400"/>
                <wp:wrapNone/>
                <wp:docPr id="65" name="任意多边形 65"/>
                <wp:cNvGraphicFramePr/>
                <a:graphic xmlns:a="http://schemas.openxmlformats.org/drawingml/2006/main">
                  <a:graphicData uri="http://schemas.microsoft.com/office/word/2010/wordprocessingShape">
                    <wps:wsp>
                      <wps:cNvSpPr/>
                      <wps:spPr>
                        <a:xfrm>
                          <a:off x="5800090" y="3622675"/>
                          <a:ext cx="831215" cy="588645"/>
                        </a:xfrm>
                        <a:custGeom>
                          <a:avLst/>
                          <a:gdLst>
                            <a:gd name="connisteX0" fmla="*/ 540385 w 831215"/>
                            <a:gd name="connsiteY0" fmla="*/ 277495 h 588645"/>
                            <a:gd name="connisteX1" fmla="*/ 589280 w 831215"/>
                            <a:gd name="connsiteY1" fmla="*/ 0 h 588645"/>
                            <a:gd name="connisteX2" fmla="*/ 831215 w 831215"/>
                            <a:gd name="connsiteY2" fmla="*/ 28575 h 588645"/>
                            <a:gd name="connisteX3" fmla="*/ 748665 w 831215"/>
                            <a:gd name="connsiteY3" fmla="*/ 547370 h 588645"/>
                            <a:gd name="connisteX4" fmla="*/ 748665 w 831215"/>
                            <a:gd name="connsiteY4" fmla="*/ 588645 h 588645"/>
                            <a:gd name="connisteX5" fmla="*/ 0 w 831215"/>
                            <a:gd name="connsiteY5" fmla="*/ 478790 h 588645"/>
                            <a:gd name="connisteX6" fmla="*/ 34925 w 831215"/>
                            <a:gd name="connsiteY6" fmla="*/ 201295 h 588645"/>
                            <a:gd name="connisteX7" fmla="*/ 540385 w 831215"/>
                            <a:gd name="connsiteY7" fmla="*/ 277495 h 5886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831215" h="588645">
                              <a:moveTo>
                                <a:pt x="540385" y="277495"/>
                              </a:moveTo>
                              <a:lnTo>
                                <a:pt x="589280" y="0"/>
                              </a:lnTo>
                              <a:lnTo>
                                <a:pt x="831215" y="28575"/>
                              </a:lnTo>
                              <a:lnTo>
                                <a:pt x="748665" y="547370"/>
                              </a:lnTo>
                              <a:lnTo>
                                <a:pt x="748665" y="588645"/>
                              </a:lnTo>
                              <a:lnTo>
                                <a:pt x="0" y="478790"/>
                              </a:lnTo>
                              <a:lnTo>
                                <a:pt x="34925" y="201295"/>
                              </a:lnTo>
                              <a:lnTo>
                                <a:pt x="540385" y="277495"/>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02.7pt;margin-top:213.25pt;height:46.35pt;width:65.45pt;z-index:251685888;mso-width-relative:page;mso-height-relative:page;" filled="f" stroked="t" coordsize="831215,588645" o:gfxdata="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6X3oYd0AAAALAQAADwAAAAAAAAABACAAAAAiAAAAZHJzL2Rvd25yZXYueG1sUEsB&#10;AhQAFAAAAAgAh07iQK33RJN/AwAAxwoAAA4AAAAAAAAAAQAgAAAALAEAAGRycy9lMm9Eb2MueG1s&#10;UEsFBgAAAAAGAAYAWQEAAB0HAAAAAA==&#10;" path="m540385,277495l589280,0,831215,28575,748665,547370,748665,588645,0,478790,34925,201295,540385,277495xe">
                <v:path o:connectlocs="540385,277495;589280,0;831215,28575;748665,547370;748665,588645;0,478790;34925,201295;540385,277495" o:connectangles="0,0,0,0,0,0,0,0"/>
                <v:fill on="f" focussize="0,0"/>
                <v:stroke weight="1.5pt" color="#FF0000 [2404]" miterlimit="8" joinstyle="miter"/>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8613775</wp:posOffset>
                </wp:positionH>
                <wp:positionV relativeFrom="paragraph">
                  <wp:posOffset>4946015</wp:posOffset>
                </wp:positionV>
                <wp:extent cx="650240" cy="651510"/>
                <wp:effectExtent l="0" t="0" r="0" b="0"/>
                <wp:wrapNone/>
                <wp:docPr id="62" name="文本框 62"/>
                <wp:cNvGraphicFramePr/>
                <a:graphic xmlns:a="http://schemas.openxmlformats.org/drawingml/2006/main">
                  <a:graphicData uri="http://schemas.microsoft.com/office/word/2010/wordprocessingShape">
                    <wps:wsp>
                      <wps:cNvSpPr txBox="1"/>
                      <wps:spPr>
                        <a:xfrm>
                          <a:off x="9368155" y="5811520"/>
                          <a:ext cx="650240" cy="65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D29B9">
                            <w:r>
                              <w:drawing>
                                <wp:inline distT="0" distB="0" distL="114300" distR="114300">
                                  <wp:extent cx="524510" cy="455930"/>
                                  <wp:effectExtent l="0" t="0" r="8890" b="127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30"/>
                                          <a:stretch>
                                            <a:fillRect/>
                                          </a:stretch>
                                        </pic:blipFill>
                                        <pic:spPr>
                                          <a:xfrm>
                                            <a:off x="0" y="0"/>
                                            <a:ext cx="524510" cy="455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25pt;margin-top:389.45pt;height:51.3pt;width:51.2pt;z-index:251684864;mso-width-relative:page;mso-height-relative:page;" filled="f" stroked="f" coordsize="21600,21600" o:gfxdata="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t7UOdwAAAANAQAADwAAAAAA&#10;AAABACAAAAAiAAAAZHJzL2Rvd25yZXYueG1sUEsBAhQAFAAAAAgAh07iQJ6O9klIAgAAcwQAAA4A&#10;AAAAAAAAAQAgAAAAKwEAAGRycy9lMm9Eb2MueG1sUEsFBgAAAAAGAAYAWQEAAOUFAAAAAA==&#10;">
                <v:fill on="f" focussize="0,0"/>
                <v:stroke on="f" weight="0.5pt"/>
                <v:imagedata o:title=""/>
                <o:lock v:ext="edit" aspectratio="f"/>
                <v:textbox>
                  <w:txbxContent>
                    <w:p w14:paraId="6E5D29B9">
                      <w:r>
                        <w:drawing>
                          <wp:inline distT="0" distB="0" distL="114300" distR="114300">
                            <wp:extent cx="524510" cy="455930"/>
                            <wp:effectExtent l="0" t="0" r="8890" b="127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30"/>
                                    <a:stretch>
                                      <a:fillRect/>
                                    </a:stretch>
                                  </pic:blipFill>
                                  <pic:spPr>
                                    <a:xfrm>
                                      <a:off x="0" y="0"/>
                                      <a:ext cx="524510" cy="455930"/>
                                    </a:xfrm>
                                    <a:prstGeom prst="rect">
                                      <a:avLst/>
                                    </a:prstGeom>
                                    <a:noFill/>
                                    <a:ln>
                                      <a:noFill/>
                                    </a:ln>
                                  </pic:spPr>
                                </pic:pic>
                              </a:graphicData>
                            </a:graphic>
                          </wp:inline>
                        </w:drawing>
                      </w:r>
                    </w:p>
                  </w:txbxContent>
                </v:textbox>
              </v:shape>
            </w:pict>
          </mc:Fallback>
        </mc:AlternateContent>
      </w:r>
      <w:r>
        <w:drawing>
          <wp:inline distT="0" distB="0" distL="114300" distR="114300">
            <wp:extent cx="9314815" cy="5612765"/>
            <wp:effectExtent l="0" t="0" r="12065" b="1079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1"/>
                    <a:stretch>
                      <a:fillRect/>
                    </a:stretch>
                  </pic:blipFill>
                  <pic:spPr>
                    <a:xfrm>
                      <a:off x="0" y="0"/>
                      <a:ext cx="9314815" cy="5612765"/>
                    </a:xfrm>
                    <a:prstGeom prst="rect">
                      <a:avLst/>
                    </a:prstGeom>
                    <a:noFill/>
                    <a:ln>
                      <a:noFill/>
                    </a:ln>
                  </pic:spPr>
                </pic:pic>
              </a:graphicData>
            </a:graphic>
          </wp:inline>
        </w:drawing>
      </w:r>
    </w:p>
    <w:p w14:paraId="24172C9B">
      <w:pPr>
        <w:rPr>
          <w:rFonts w:hint="default" w:ascii="Times New Roman" w:hAnsi="Times New Roman" w:cs="Times New Roman"/>
          <w:sz w:val="24"/>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 w:val="24"/>
        </w:rPr>
        <mc:AlternateContent>
          <mc:Choice Requires="wps">
            <w:drawing>
              <wp:anchor distT="0" distB="0" distL="114300" distR="114300" simplePos="0" relativeHeight="251704320" behindDoc="0" locked="0" layoutInCell="1" allowOverlap="1">
                <wp:simplePos x="0" y="0"/>
                <wp:positionH relativeFrom="column">
                  <wp:posOffset>9274810</wp:posOffset>
                </wp:positionH>
                <wp:positionV relativeFrom="paragraph">
                  <wp:posOffset>-372745</wp:posOffset>
                </wp:positionV>
                <wp:extent cx="151765" cy="347345"/>
                <wp:effectExtent l="15240" t="8890" r="15875" b="9525"/>
                <wp:wrapNone/>
                <wp:docPr id="11" name="上箭头 11"/>
                <wp:cNvGraphicFramePr/>
                <a:graphic xmlns:a="http://schemas.openxmlformats.org/drawingml/2006/main">
                  <a:graphicData uri="http://schemas.microsoft.com/office/word/2010/wordprocessingShape">
                    <wps:wsp>
                      <wps:cNvSpPr/>
                      <wps:spPr>
                        <a:xfrm>
                          <a:off x="0" y="0"/>
                          <a:ext cx="151765" cy="347345"/>
                        </a:xfrm>
                        <a:prstGeom prst="upArrow">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30.3pt;margin-top:-29.35pt;height:27.35pt;width:11.95pt;z-index:251704320;v-text-anchor:middle;mso-width-relative:page;mso-height-relative:page;" fillcolor="#000000 [3213]" filled="t" stroked="t" coordsize="21600,21600" o:gfxdata="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r/DOn2wAAAAwBAAAPAAAAAAAAAAEAIAAAACIAAABkcnMv&#10;ZG93bnJldi54bWxQSwECFAAUAAAACACHTuJAsq4Ry3ICAAD7BAAADgAAAAAAAAABACAAAAAqAQAA&#10;ZHJzL2Uyb0RvYy54bWxQSwUGAAAAAAYABgBZAQAADgYAAAAA&#10;" adj="4718,54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5344" behindDoc="0" locked="0" layoutInCell="1" allowOverlap="1">
                <wp:simplePos x="0" y="0"/>
                <wp:positionH relativeFrom="column">
                  <wp:posOffset>9164320</wp:posOffset>
                </wp:positionH>
                <wp:positionV relativeFrom="paragraph">
                  <wp:posOffset>-726440</wp:posOffset>
                </wp:positionV>
                <wp:extent cx="408305" cy="4140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08305" cy="414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6F575">
                            <w:pPr>
                              <w:rPr>
                                <w:rFonts w:hint="default" w:ascii="Times New Roman" w:hAnsi="Times New Roman" w:cs="Times New Roman" w:eastAsiaTheme="minorEastAsia"/>
                                <w:b/>
                                <w:bCs/>
                                <w:sz w:val="36"/>
                                <w:szCs w:val="36"/>
                                <w:lang w:val="en-US" w:eastAsia="zh-CN"/>
                              </w:rPr>
                            </w:pPr>
                            <w:r>
                              <w:rPr>
                                <w:rFonts w:hint="default" w:ascii="Times New Roman" w:hAnsi="Times New Roman" w:cs="Times New Roman"/>
                                <w:b/>
                                <w:bCs/>
                                <w:sz w:val="36"/>
                                <w:szCs w:val="36"/>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1.6pt;margin-top:-57.2pt;height:32.6pt;width:32.15pt;z-index:251705344;mso-width-relative:page;mso-height-relative:page;" filled="f" stroked="f" coordsize="21600,21600" o:gfxdata="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3dx83QAAAA4BAAAPAAAAAAAAAAEAIAAAACIA&#10;AABkcnMvZG93bnJldi54bWxQSwECFAAUAAAACACHTuJAK9pOoD0CAABnBAAADgAAAAAAAAABACAA&#10;AAAsAQAAZHJzL2Uyb0RvYy54bWxQSwUGAAAAAAYABgBZAQAA2wUAAAAA&#10;">
                <v:fill on="f" focussize="0,0"/>
                <v:stroke on="f" weight="0.5pt"/>
                <v:imagedata o:title=""/>
                <o:lock v:ext="edit" aspectratio="f"/>
                <v:textbox>
                  <w:txbxContent>
                    <w:p w14:paraId="7816F575">
                      <w:pPr>
                        <w:rPr>
                          <w:rFonts w:hint="default" w:ascii="Times New Roman" w:hAnsi="Times New Roman" w:cs="Times New Roman" w:eastAsiaTheme="minorEastAsia"/>
                          <w:b/>
                          <w:bCs/>
                          <w:sz w:val="36"/>
                          <w:szCs w:val="36"/>
                          <w:lang w:val="en-US" w:eastAsia="zh-CN"/>
                        </w:rPr>
                      </w:pPr>
                      <w:r>
                        <w:rPr>
                          <w:rFonts w:hint="default" w:ascii="Times New Roman" w:hAnsi="Times New Roman" w:cs="Times New Roman"/>
                          <w:b/>
                          <w:bCs/>
                          <w:sz w:val="36"/>
                          <w:szCs w:val="36"/>
                          <w:lang w:val="en-US" w:eastAsia="zh-CN"/>
                        </w:rPr>
                        <w:t>N</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4359275</wp:posOffset>
                </wp:positionH>
                <wp:positionV relativeFrom="paragraph">
                  <wp:posOffset>2527935</wp:posOffset>
                </wp:positionV>
                <wp:extent cx="949325" cy="742315"/>
                <wp:effectExtent l="7620" t="8255" r="18415" b="11430"/>
                <wp:wrapNone/>
                <wp:docPr id="82" name="任意多边形 82"/>
                <wp:cNvGraphicFramePr/>
                <a:graphic xmlns:a="http://schemas.openxmlformats.org/drawingml/2006/main">
                  <a:graphicData uri="http://schemas.microsoft.com/office/word/2010/wordprocessingShape">
                    <wps:wsp>
                      <wps:cNvSpPr/>
                      <wps:spPr>
                        <a:xfrm>
                          <a:off x="5045075" y="3442335"/>
                          <a:ext cx="949325" cy="742315"/>
                        </a:xfrm>
                        <a:custGeom>
                          <a:avLst/>
                          <a:gdLst>
                            <a:gd name="connisteX0" fmla="*/ 582295 w 949325"/>
                            <a:gd name="connsiteY0" fmla="*/ 367665 h 742315"/>
                            <a:gd name="connisteX1" fmla="*/ 651510 w 949325"/>
                            <a:gd name="connsiteY1" fmla="*/ 0 h 742315"/>
                            <a:gd name="connisteX2" fmla="*/ 748665 w 949325"/>
                            <a:gd name="connsiteY2" fmla="*/ 28575 h 742315"/>
                            <a:gd name="connisteX3" fmla="*/ 949325 w 949325"/>
                            <a:gd name="connsiteY3" fmla="*/ 69850 h 742315"/>
                            <a:gd name="connisteX4" fmla="*/ 831215 w 949325"/>
                            <a:gd name="connsiteY4" fmla="*/ 742315 h 742315"/>
                            <a:gd name="connisteX5" fmla="*/ 0 w 949325"/>
                            <a:gd name="connsiteY5" fmla="*/ 623570 h 742315"/>
                            <a:gd name="connisteX6" fmla="*/ 62865 w 949325"/>
                            <a:gd name="connsiteY6" fmla="*/ 298450 h 742315"/>
                            <a:gd name="connisteX7" fmla="*/ 582295 w 949325"/>
                            <a:gd name="connsiteY7" fmla="*/ 367665 h 7423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949325" h="742315">
                              <a:moveTo>
                                <a:pt x="582295" y="367665"/>
                              </a:moveTo>
                              <a:lnTo>
                                <a:pt x="651510" y="0"/>
                              </a:lnTo>
                              <a:lnTo>
                                <a:pt x="748665" y="28575"/>
                              </a:lnTo>
                              <a:lnTo>
                                <a:pt x="949325" y="69850"/>
                              </a:lnTo>
                              <a:lnTo>
                                <a:pt x="831215" y="742315"/>
                              </a:lnTo>
                              <a:lnTo>
                                <a:pt x="0" y="623570"/>
                              </a:lnTo>
                              <a:lnTo>
                                <a:pt x="62865" y="298450"/>
                              </a:lnTo>
                              <a:lnTo>
                                <a:pt x="582295" y="36766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3.25pt;margin-top:199.05pt;height:58.45pt;width:74.75pt;z-index:251700224;mso-width-relative:page;mso-height-relative:page;" filled="f" stroked="t" coordsize="949325,742315" o:gfxdata="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J55xDrbAAAACwEAAA8AAAAAAAAAAQAgAAAAIgAAAGRy&#10;cy9kb3ducmV2LnhtbFBLAQIUABQAAAAIAIdO4kDPYD/IkQMAAMUKAAAOAAAAAAAAAAEAIAAAACoB&#10;AABkcnMvZTJvRG9jLnhtbFBLBQYAAAAABgAGAFkBAAAtBwAAAAA=&#10;" path="m582295,367665l651510,0,748665,28575,949325,69850,831215,742315,0,623570,62865,298450,582295,367665xe">
                <v:path o:connectlocs="582295,367665;651510,0;748665,28575;949325,69850;831215,742315;0,623570;62865,298450;582295,367665" o:connectangles="0,0,0,0,0,0,0,0"/>
                <v:fill on="f" focussize="0,0"/>
                <v:stroke weight="1pt" color="#FF0000 [2404]"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4291330</wp:posOffset>
                </wp:positionH>
                <wp:positionV relativeFrom="paragraph">
                  <wp:posOffset>2922270</wp:posOffset>
                </wp:positionV>
                <wp:extent cx="1085850" cy="311785"/>
                <wp:effectExtent l="0" t="0" r="0" b="0"/>
                <wp:wrapNone/>
                <wp:docPr id="47" name="文本框 47"/>
                <wp:cNvGraphicFramePr/>
                <a:graphic xmlns:a="http://schemas.openxmlformats.org/drawingml/2006/main">
                  <a:graphicData uri="http://schemas.microsoft.com/office/word/2010/wordprocessingShape">
                    <wps:wsp>
                      <wps:cNvSpPr txBox="1"/>
                      <wps:spPr>
                        <a:xfrm rot="420000">
                          <a:off x="0" y="0"/>
                          <a:ext cx="1085850"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EC0EF">
                            <w:pPr>
                              <w:rPr>
                                <w:rFonts w:hint="default" w:eastAsiaTheme="minorEastAsia"/>
                                <w:b/>
                                <w:bCs/>
                                <w:color w:val="C00000"/>
                                <w:lang w:val="en-US" w:eastAsia="zh-CN"/>
                              </w:rPr>
                            </w:pPr>
                            <w:r>
                              <w:rPr>
                                <w:rFonts w:hint="eastAsia"/>
                                <w:b/>
                                <w:bCs/>
                                <w:color w:val="C00000"/>
                                <w:lang w:val="en-US" w:eastAsia="zh-CN"/>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9pt;margin-top:230.1pt;height:24.55pt;width:85.5pt;rotation:458752f;z-index:251682816;mso-width-relative:page;mso-height-relative:page;" filled="f" stroked="f" coordsize="21600,21600" o:gfxdata="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KH8RreAAAACwEAAA8AAAAAAAAAAQAg&#10;AAAAIgAAAGRycy9kb3ducmV2LnhtbFBLAQIUABQAAAAIAIdO4kCZygBsQQIAAHUEAAAOAAAAAAAA&#10;AAEAIAAAAC0BAABkcnMvZTJvRG9jLnhtbFBLBQYAAAAABgAGAFkBAADgBQAAAAA=&#10;">
                <v:fill on="f" focussize="0,0"/>
                <v:stroke on="f" weight="0.5pt"/>
                <v:imagedata o:title=""/>
                <o:lock v:ext="edit" aspectratio="f"/>
                <v:textbox>
                  <w:txbxContent>
                    <w:p w14:paraId="345EC0EF">
                      <w:pPr>
                        <w:rPr>
                          <w:rFonts w:hint="default" w:eastAsiaTheme="minorEastAsia"/>
                          <w:b/>
                          <w:bCs/>
                          <w:color w:val="C00000"/>
                          <w:lang w:val="en-US" w:eastAsia="zh-CN"/>
                        </w:rPr>
                      </w:pPr>
                      <w:r>
                        <w:rPr>
                          <w:rFonts w:hint="eastAsia"/>
                          <w:b/>
                          <w:bCs/>
                          <w:color w:val="C00000"/>
                          <w:lang w:val="en-US" w:eastAsia="zh-CN"/>
                        </w:rPr>
                        <w:t>本项目所在地</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3032760</wp:posOffset>
                </wp:positionH>
                <wp:positionV relativeFrom="paragraph">
                  <wp:posOffset>5405120</wp:posOffset>
                </wp:positionV>
                <wp:extent cx="4485005" cy="43434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485005" cy="434340"/>
                        </a:xfrm>
                        <a:prstGeom prst="rect">
                          <a:avLst/>
                        </a:prstGeom>
                        <a:noFill/>
                        <a:ln w="6350">
                          <a:noFill/>
                        </a:ln>
                        <a:effectLst/>
                      </wps:spPr>
                      <wps:txbx>
                        <w:txbxContent>
                          <w:p w14:paraId="1C7ED683">
                            <w:pPr>
                              <w:rPr>
                                <w:rFonts w:hint="default" w:eastAsia="宋体"/>
                                <w:b/>
                                <w:bCs/>
                                <w:sz w:val="28"/>
                                <w:szCs w:val="28"/>
                                <w:lang w:val="en-US" w:eastAsia="zh-CN"/>
                              </w:rPr>
                            </w:pPr>
                            <w:r>
                              <w:rPr>
                                <w:rFonts w:hint="eastAsia"/>
                                <w:b/>
                                <w:bCs/>
                                <w:sz w:val="28"/>
                                <w:szCs w:val="28"/>
                                <w:lang w:val="en-US" w:eastAsia="zh-CN"/>
                              </w:rPr>
                              <w:t>附图三：</w:t>
                            </w:r>
                            <w:r>
                              <w:rPr>
                                <w:rFonts w:hint="eastAsia" w:ascii="宋体" w:hAnsi="宋体" w:eastAsia="宋体" w:cs="宋体"/>
                                <w:b/>
                                <w:bCs/>
                                <w:sz w:val="28"/>
                                <w:szCs w:val="28"/>
                              </w:rPr>
                              <w:t>项目</w:t>
                            </w:r>
                            <w:r>
                              <w:rPr>
                                <w:rFonts w:hint="eastAsia" w:ascii="宋体" w:hAnsi="宋体" w:eastAsia="宋体" w:cs="宋体"/>
                                <w:b/>
                                <w:bCs/>
                                <w:sz w:val="28"/>
                                <w:szCs w:val="28"/>
                                <w:lang w:val="en-US" w:eastAsia="zh-CN"/>
                              </w:rPr>
                              <w:t>在</w:t>
                            </w:r>
                            <w:r>
                              <w:rPr>
                                <w:rFonts w:hint="eastAsia" w:ascii="宋体" w:hAnsi="宋体" w:eastAsia="宋体" w:cs="宋体"/>
                                <w:b/>
                                <w:bCs/>
                                <w:sz w:val="28"/>
                                <w:szCs w:val="28"/>
                              </w:rPr>
                              <w:t>生态环境管控单元位置关系图</w:t>
                            </w:r>
                            <w:r>
                              <w:rPr>
                                <w:rFonts w:hint="eastAsia"/>
                                <w:b/>
                                <w:bCs/>
                                <w:sz w:val="28"/>
                                <w:szCs w:val="28"/>
                                <w:lang w:val="en-US" w:eastAsia="zh-CN"/>
                              </w:rPr>
                              <w:t>（1：7600）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8pt;margin-top:425.6pt;height:34.2pt;width:353.15pt;z-index:251673600;mso-width-relative:page;mso-height-relative:page;" filled="f" stroked="f" coordsize="21600,21600" o:gfxdata="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DJkAX3QAAAAwBAAAPAAAAAAAAAAEA&#10;IAAAACIAAABkcnMvZG93bnJldi54bWxQSwECFAAUAAAACACHTuJAzOBEbEMCAAB2BAAADgAAAAAA&#10;AAABACAAAAAsAQAAZHJzL2Uyb0RvYy54bWxQSwUGAAAAAAYABgBZAQAA4QUAAAAA&#10;">
                <v:fill on="f" focussize="0,0"/>
                <v:stroke on="f" weight="0.5pt"/>
                <v:imagedata o:title=""/>
                <o:lock v:ext="edit" aspectratio="f"/>
                <v:textbox>
                  <w:txbxContent>
                    <w:p w14:paraId="1C7ED683">
                      <w:pPr>
                        <w:rPr>
                          <w:rFonts w:hint="default" w:eastAsia="宋体"/>
                          <w:b/>
                          <w:bCs/>
                          <w:sz w:val="28"/>
                          <w:szCs w:val="28"/>
                          <w:lang w:val="en-US" w:eastAsia="zh-CN"/>
                        </w:rPr>
                      </w:pPr>
                      <w:r>
                        <w:rPr>
                          <w:rFonts w:hint="eastAsia"/>
                          <w:b/>
                          <w:bCs/>
                          <w:sz w:val="28"/>
                          <w:szCs w:val="28"/>
                          <w:lang w:val="en-US" w:eastAsia="zh-CN"/>
                        </w:rPr>
                        <w:t>附图三：</w:t>
                      </w:r>
                      <w:r>
                        <w:rPr>
                          <w:rFonts w:hint="eastAsia" w:ascii="宋体" w:hAnsi="宋体" w:eastAsia="宋体" w:cs="宋体"/>
                          <w:b/>
                          <w:bCs/>
                          <w:sz w:val="28"/>
                          <w:szCs w:val="28"/>
                        </w:rPr>
                        <w:t>项目</w:t>
                      </w:r>
                      <w:r>
                        <w:rPr>
                          <w:rFonts w:hint="eastAsia" w:ascii="宋体" w:hAnsi="宋体" w:eastAsia="宋体" w:cs="宋体"/>
                          <w:b/>
                          <w:bCs/>
                          <w:sz w:val="28"/>
                          <w:szCs w:val="28"/>
                          <w:lang w:val="en-US" w:eastAsia="zh-CN"/>
                        </w:rPr>
                        <w:t>在</w:t>
                      </w:r>
                      <w:r>
                        <w:rPr>
                          <w:rFonts w:hint="eastAsia" w:ascii="宋体" w:hAnsi="宋体" w:eastAsia="宋体" w:cs="宋体"/>
                          <w:b/>
                          <w:bCs/>
                          <w:sz w:val="28"/>
                          <w:szCs w:val="28"/>
                        </w:rPr>
                        <w:t>生态环境管控单元位置关系图</w:t>
                      </w:r>
                      <w:r>
                        <w:rPr>
                          <w:rFonts w:hint="eastAsia"/>
                          <w:b/>
                          <w:bCs/>
                          <w:sz w:val="28"/>
                          <w:szCs w:val="28"/>
                          <w:lang w:val="en-US" w:eastAsia="zh-CN"/>
                        </w:rPr>
                        <w:t>（1：7600）</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328295</wp:posOffset>
                </wp:positionH>
                <wp:positionV relativeFrom="paragraph">
                  <wp:posOffset>1064895</wp:posOffset>
                </wp:positionV>
                <wp:extent cx="4440555" cy="3671570"/>
                <wp:effectExtent l="0" t="0" r="0" b="0"/>
                <wp:wrapNone/>
                <wp:docPr id="49" name="文本框 49"/>
                <wp:cNvGraphicFramePr/>
                <a:graphic xmlns:a="http://schemas.openxmlformats.org/drawingml/2006/main">
                  <a:graphicData uri="http://schemas.microsoft.com/office/word/2010/wordprocessingShape">
                    <wps:wsp>
                      <wps:cNvSpPr txBox="1"/>
                      <wps:spPr>
                        <a:xfrm>
                          <a:off x="972185" y="2291080"/>
                          <a:ext cx="4440555" cy="3671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9FF04">
                            <w:pPr>
                              <w:rPr>
                                <w:rFonts w:hint="eastAsia" w:eastAsia="宋体"/>
                                <w:lang w:eastAsia="zh-CN"/>
                              </w:rPr>
                            </w:pPr>
                            <w:r>
                              <w:rPr>
                                <w:rFonts w:hint="eastAsia" w:eastAsia="宋体"/>
                                <w:lang w:eastAsia="zh-CN"/>
                              </w:rPr>
                              <w:drawing>
                                <wp:inline distT="0" distB="0" distL="114300" distR="114300">
                                  <wp:extent cx="3366770" cy="3521710"/>
                                  <wp:effectExtent l="0" t="0" r="1270" b="13970"/>
                                  <wp:docPr id="50" name="图片 50" descr="9f112f11d4631f99b1ec44ce1f2b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f112f11d4631f99b1ec44ce1f2b19c"/>
                                          <pic:cNvPicPr>
                                            <a:picLocks noChangeAspect="1"/>
                                          </pic:cNvPicPr>
                                        </pic:nvPicPr>
                                        <pic:blipFill>
                                          <a:blip r:embed="rId32"/>
                                          <a:stretch>
                                            <a:fillRect/>
                                          </a:stretch>
                                        </pic:blipFill>
                                        <pic:spPr>
                                          <a:xfrm>
                                            <a:off x="0" y="0"/>
                                            <a:ext cx="3366770" cy="3521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83.85pt;height:289.1pt;width:349.65pt;z-index:251683840;mso-width-relative:page;mso-height-relative:page;" filled="f" stroked="f" coordsize="21600,21600" o:gfxdata="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Q7FftoAAAAKAQAADwAAAAAA&#10;AAABACAAAAAiAAAAZHJzL2Rvd25yZXYueG1sUEsBAhQAFAAAAAgAh07iQLi81M1KAgAAdAQAAA4A&#10;AAAAAAAAAQAgAAAAKQEAAGRycy9lMm9Eb2MueG1sUEsFBgAAAAAGAAYAWQEAAOUFAAAAAA==&#10;">
                <v:fill on="f" focussize="0,0"/>
                <v:stroke on="f" weight="0.5pt"/>
                <v:imagedata o:title=""/>
                <o:lock v:ext="edit" aspectratio="f"/>
                <v:textbox>
                  <w:txbxContent>
                    <w:p w14:paraId="7889FF04">
                      <w:pPr>
                        <w:rPr>
                          <w:rFonts w:hint="eastAsia" w:eastAsia="宋体"/>
                          <w:lang w:eastAsia="zh-CN"/>
                        </w:rPr>
                      </w:pPr>
                      <w:r>
                        <w:rPr>
                          <w:rFonts w:hint="eastAsia" w:eastAsia="宋体"/>
                          <w:lang w:eastAsia="zh-CN"/>
                        </w:rPr>
                        <w:drawing>
                          <wp:inline distT="0" distB="0" distL="114300" distR="114300">
                            <wp:extent cx="3366770" cy="3521710"/>
                            <wp:effectExtent l="0" t="0" r="1270" b="13970"/>
                            <wp:docPr id="50" name="图片 50" descr="9f112f11d4631f99b1ec44ce1f2b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f112f11d4631f99b1ec44ce1f2b19c"/>
                                    <pic:cNvPicPr>
                                      <a:picLocks noChangeAspect="1"/>
                                    </pic:cNvPicPr>
                                  </pic:nvPicPr>
                                  <pic:blipFill>
                                    <a:blip r:embed="rId32"/>
                                    <a:stretch>
                                      <a:fillRect/>
                                    </a:stretch>
                                  </pic:blipFill>
                                  <pic:spPr>
                                    <a:xfrm>
                                      <a:off x="0" y="0"/>
                                      <a:ext cx="3366770" cy="3521710"/>
                                    </a:xfrm>
                                    <a:prstGeom prst="rect">
                                      <a:avLst/>
                                    </a:prstGeom>
                                  </pic:spPr>
                                </pic:pic>
                              </a:graphicData>
                            </a:graphic>
                          </wp:inline>
                        </w:drawing>
                      </w:r>
                    </w:p>
                  </w:txbxContent>
                </v:textbox>
              </v:shape>
            </w:pict>
          </mc:Fallback>
        </mc:AlternateContent>
      </w:r>
      <w:r>
        <w:drawing>
          <wp:inline distT="0" distB="0" distL="114300" distR="114300">
            <wp:extent cx="9616440" cy="5412105"/>
            <wp:effectExtent l="0" t="0" r="0" b="133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3"/>
                    <a:stretch>
                      <a:fillRect/>
                    </a:stretch>
                  </pic:blipFill>
                  <pic:spPr>
                    <a:xfrm>
                      <a:off x="0" y="0"/>
                      <a:ext cx="9616440" cy="5412105"/>
                    </a:xfrm>
                    <a:prstGeom prst="rect">
                      <a:avLst/>
                    </a:prstGeom>
                    <a:noFill/>
                    <a:ln>
                      <a:noFill/>
                    </a:ln>
                  </pic:spPr>
                </pic:pic>
              </a:graphicData>
            </a:graphic>
          </wp:inline>
        </w:drawing>
      </w:r>
    </w:p>
    <w:p w14:paraId="01D292B7">
      <w:pPr>
        <w:jc w:val="left"/>
        <w:rPr>
          <w:rFonts w:hint="default" w:ascii="Times New Roman" w:hAnsi="Times New Roman" w:eastAsia="宋体" w:cs="Times New Roman"/>
          <w:lang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 w:val="24"/>
        </w:rPr>
        <mc:AlternateContent>
          <mc:Choice Requires="wps">
            <w:drawing>
              <wp:anchor distT="0" distB="0" distL="114300" distR="114300" simplePos="0" relativeHeight="251679744" behindDoc="0" locked="0" layoutInCell="1" allowOverlap="1">
                <wp:simplePos x="0" y="0"/>
                <wp:positionH relativeFrom="column">
                  <wp:posOffset>9382760</wp:posOffset>
                </wp:positionH>
                <wp:positionV relativeFrom="paragraph">
                  <wp:posOffset>32385</wp:posOffset>
                </wp:positionV>
                <wp:extent cx="186055" cy="464820"/>
                <wp:effectExtent l="15240" t="8890" r="27305" b="13970"/>
                <wp:wrapNone/>
                <wp:docPr id="14" name="上箭头 14"/>
                <wp:cNvGraphicFramePr/>
                <a:graphic xmlns:a="http://schemas.openxmlformats.org/drawingml/2006/main">
                  <a:graphicData uri="http://schemas.microsoft.com/office/word/2010/wordprocessingShape">
                    <wps:wsp>
                      <wps:cNvSpPr/>
                      <wps:spPr>
                        <a:xfrm>
                          <a:off x="6878320" y="1258570"/>
                          <a:ext cx="186055" cy="464820"/>
                        </a:xfrm>
                        <a:prstGeom prst="upArrow">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38.8pt;margin-top:2.55pt;height:36.6pt;width:14.65pt;z-index:251679744;v-text-anchor:middle;mso-width-relative:page;mso-height-relative:page;" fillcolor="#000000 [3213]" filled="t" stroked="t" coordsize="21600,21600" o:gfxdata="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ENMxO2gAAAAoBAAAPAAAAAAAAAAEAIAAA&#10;ACIAAABkcnMvZG93bnJldi54bWxQSwECFAAUAAAACACHTuJARumE1nwCAAAHBQAADgAAAAAAAAAB&#10;ACAAAAApAQAAZHJzL2Uyb0RvYy54bWxQSwUGAAAAAAYABgBZAQAAFwYAAAAA&#10;" adj="4322,54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0768" behindDoc="0" locked="0" layoutInCell="1" allowOverlap="1">
                <wp:simplePos x="0" y="0"/>
                <wp:positionH relativeFrom="column">
                  <wp:posOffset>9272905</wp:posOffset>
                </wp:positionH>
                <wp:positionV relativeFrom="paragraph">
                  <wp:posOffset>-341630</wp:posOffset>
                </wp:positionV>
                <wp:extent cx="449580" cy="518160"/>
                <wp:effectExtent l="0" t="0" r="0" b="0"/>
                <wp:wrapNone/>
                <wp:docPr id="17" name="文本框 17"/>
                <wp:cNvGraphicFramePr/>
                <a:graphic xmlns:a="http://schemas.openxmlformats.org/drawingml/2006/main">
                  <a:graphicData uri="http://schemas.microsoft.com/office/word/2010/wordprocessingShape">
                    <wps:wsp>
                      <wps:cNvSpPr txBox="1"/>
                      <wps:spPr>
                        <a:xfrm>
                          <a:off x="6817360" y="664210"/>
                          <a:ext cx="449580" cy="518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3EBB8">
                            <w:pPr>
                              <w:rPr>
                                <w:rFonts w:hint="default" w:ascii="Times New Roman" w:hAnsi="Times New Roman" w:cs="Times New Roman" w:eastAsiaTheme="minorEastAsia"/>
                                <w:b/>
                                <w:bCs/>
                                <w:sz w:val="44"/>
                                <w:szCs w:val="44"/>
                                <w:lang w:val="en-US" w:eastAsia="zh-CN"/>
                              </w:rPr>
                            </w:pPr>
                            <w:r>
                              <w:rPr>
                                <w:rFonts w:hint="default" w:ascii="Times New Roman" w:hAnsi="Times New Roman" w:cs="Times New Roman"/>
                                <w:b/>
                                <w:bCs/>
                                <w:sz w:val="44"/>
                                <w:szCs w:val="4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0.15pt;margin-top:-26.9pt;height:40.8pt;width:35.4pt;z-index:251680768;mso-width-relative:page;mso-height-relative:page;" filled="f" stroked="f" coordsize="21600,21600" o:gfxdata="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GU0c3AAAAAwBAAAPAAAAAAAAAAEA&#10;IAAAACIAAABkcnMvZG93bnJldi54bWxQSwECFAAUAAAACACHTuJA8MWZakQCAAByBAAADgAAAAAA&#10;AAABACAAAAArAQAAZHJzL2Uyb0RvYy54bWxQSwUGAAAAAAYABgBZAQAA4QUAAAAA&#10;">
                <v:fill on="f" focussize="0,0"/>
                <v:stroke on="f" weight="0.5pt"/>
                <v:imagedata o:title=""/>
                <o:lock v:ext="edit" aspectratio="f"/>
                <v:textbox>
                  <w:txbxContent>
                    <w:p w14:paraId="2513EBB8">
                      <w:pPr>
                        <w:rPr>
                          <w:rFonts w:hint="default" w:ascii="Times New Roman" w:hAnsi="Times New Roman" w:cs="Times New Roman" w:eastAsiaTheme="minorEastAsia"/>
                          <w:b/>
                          <w:bCs/>
                          <w:sz w:val="44"/>
                          <w:szCs w:val="44"/>
                          <w:lang w:val="en-US" w:eastAsia="zh-CN"/>
                        </w:rPr>
                      </w:pPr>
                      <w:r>
                        <w:rPr>
                          <w:rFonts w:hint="default" w:ascii="Times New Roman" w:hAnsi="Times New Roman" w:cs="Times New Roman"/>
                          <w:b/>
                          <w:bCs/>
                          <w:sz w:val="44"/>
                          <w:szCs w:val="44"/>
                          <w:lang w:val="en-US" w:eastAsia="zh-CN"/>
                        </w:rPr>
                        <w:t>N</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4624" behindDoc="0" locked="0" layoutInCell="1" allowOverlap="1">
                <wp:simplePos x="0" y="0"/>
                <wp:positionH relativeFrom="column">
                  <wp:posOffset>2313305</wp:posOffset>
                </wp:positionH>
                <wp:positionV relativeFrom="paragraph">
                  <wp:posOffset>5641975</wp:posOffset>
                </wp:positionV>
                <wp:extent cx="3916680" cy="43434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916680" cy="434340"/>
                        </a:xfrm>
                        <a:prstGeom prst="rect">
                          <a:avLst/>
                        </a:prstGeom>
                        <a:noFill/>
                        <a:ln w="6350">
                          <a:noFill/>
                        </a:ln>
                        <a:effectLst/>
                      </wps:spPr>
                      <wps:txbx>
                        <w:txbxContent>
                          <w:p w14:paraId="74D30C9C">
                            <w:pPr>
                              <w:rPr>
                                <w:rFonts w:hint="default" w:eastAsiaTheme="minorEastAsia"/>
                                <w:b/>
                                <w:bCs/>
                                <w:sz w:val="28"/>
                                <w:szCs w:val="28"/>
                                <w:lang w:val="en-US" w:eastAsia="zh-CN"/>
                              </w:rPr>
                            </w:pPr>
                            <w:r>
                              <w:rPr>
                                <w:rFonts w:hint="eastAsia"/>
                                <w:b/>
                                <w:bCs/>
                                <w:sz w:val="28"/>
                                <w:szCs w:val="28"/>
                                <w:lang w:val="en-US" w:eastAsia="zh-CN"/>
                              </w:rPr>
                              <w:t>附图四：</w:t>
                            </w:r>
                            <w:r>
                              <w:rPr>
                                <w:rFonts w:hint="eastAsia" w:ascii="宋体" w:hAnsi="宋体" w:eastAsia="宋体" w:cs="宋体"/>
                                <w:b/>
                                <w:bCs/>
                                <w:sz w:val="28"/>
                                <w:szCs w:val="28"/>
                                <w:lang w:val="en-US" w:eastAsia="zh-CN"/>
                              </w:rPr>
                              <w:t>本项目厂区平面布局图（比例1：1000）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15pt;margin-top:444.25pt;height:34.2pt;width:308.4pt;z-index:251674624;mso-width-relative:page;mso-height-relative:page;" filled="f" stroked="f" coordsize="21600,21600" o:gfxdata="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0urw2wAAAAsBAAAPAAAAAAAAAAEAIAAA&#10;ACIAAABkcnMvZG93bnJldi54bWxQSwECFAAUAAAACACHTuJAAPfhrkICAAB2BAAADgAAAAAAAAAB&#10;ACAAAAAqAQAAZHJzL2Uyb0RvYy54bWxQSwUGAAAAAAYABgBZAQAA3gUAAAAA&#10;">
                <v:fill on="f" focussize="0,0"/>
                <v:stroke on="f" weight="0.5pt"/>
                <v:imagedata o:title=""/>
                <o:lock v:ext="edit" aspectratio="f"/>
                <v:textbox>
                  <w:txbxContent>
                    <w:p w14:paraId="74D30C9C">
                      <w:pPr>
                        <w:rPr>
                          <w:rFonts w:hint="default" w:eastAsiaTheme="minorEastAsia"/>
                          <w:b/>
                          <w:bCs/>
                          <w:sz w:val="28"/>
                          <w:szCs w:val="28"/>
                          <w:lang w:val="en-US" w:eastAsia="zh-CN"/>
                        </w:rPr>
                      </w:pPr>
                      <w:r>
                        <w:rPr>
                          <w:rFonts w:hint="eastAsia"/>
                          <w:b/>
                          <w:bCs/>
                          <w:sz w:val="28"/>
                          <w:szCs w:val="28"/>
                          <w:lang w:val="en-US" w:eastAsia="zh-CN"/>
                        </w:rPr>
                        <w:t>附图四：</w:t>
                      </w:r>
                      <w:r>
                        <w:rPr>
                          <w:rFonts w:hint="eastAsia" w:ascii="宋体" w:hAnsi="宋体" w:eastAsia="宋体" w:cs="宋体"/>
                          <w:b/>
                          <w:bCs/>
                          <w:sz w:val="28"/>
                          <w:szCs w:val="28"/>
                          <w:lang w:val="en-US" w:eastAsia="zh-CN"/>
                        </w:rPr>
                        <w:t>本项目厂区平面布局图（比例1：1000）</w:t>
                      </w:r>
                    </w:p>
                  </w:txbxContent>
                </v:textbox>
              </v:shape>
            </w:pict>
          </mc:Fallback>
        </mc:AlternateContent>
      </w:r>
      <w:r>
        <w:drawing>
          <wp:inline distT="0" distB="0" distL="114300" distR="114300">
            <wp:extent cx="9340215" cy="5693410"/>
            <wp:effectExtent l="0" t="0" r="190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4"/>
                    <a:stretch>
                      <a:fillRect/>
                    </a:stretch>
                  </pic:blipFill>
                  <pic:spPr>
                    <a:xfrm>
                      <a:off x="0" y="0"/>
                      <a:ext cx="9340215" cy="5693410"/>
                    </a:xfrm>
                    <a:prstGeom prst="rect">
                      <a:avLst/>
                    </a:prstGeom>
                    <a:noFill/>
                    <a:ln>
                      <a:noFill/>
                    </a:ln>
                  </pic:spPr>
                </pic:pic>
              </a:graphicData>
            </a:graphic>
          </wp:inline>
        </w:drawing>
      </w:r>
    </w:p>
    <w:p w14:paraId="07C8400F">
      <w:pPr>
        <w:jc w:val="center"/>
        <w:rPr>
          <w:rFonts w:hint="default" w:ascii="Times New Roman" w:hAnsi="Times New Roman" w:cs="Times New Roman"/>
          <w:lang w:val="en-US" w:eastAsia="zh-CN"/>
        </w:rPr>
      </w:pPr>
      <w:r>
        <w:rPr>
          <w:rFonts w:hint="default" w:ascii="Times New Roman" w:hAnsi="Times New Roman" w:cs="Times New Roman"/>
          <w:sz w:val="21"/>
        </w:rPr>
        <w:drawing>
          <wp:inline distT="0" distB="0" distL="114300" distR="114300">
            <wp:extent cx="4146550" cy="3110230"/>
            <wp:effectExtent l="0" t="0" r="13970" b="13970"/>
            <wp:docPr id="85" name="图片 85" descr="ef0d8186effa72044599fb709a9e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ef0d8186effa72044599fb709a9e7b2"/>
                    <pic:cNvPicPr>
                      <a:picLocks noChangeAspect="1"/>
                    </pic:cNvPicPr>
                  </pic:nvPicPr>
                  <pic:blipFill>
                    <a:blip r:embed="rId35"/>
                    <a:stretch>
                      <a:fillRect/>
                    </a:stretch>
                  </pic:blipFill>
                  <pic:spPr>
                    <a:xfrm>
                      <a:off x="0" y="0"/>
                      <a:ext cx="4146550" cy="3110230"/>
                    </a:xfrm>
                    <a:prstGeom prst="rect">
                      <a:avLst/>
                    </a:prstGeom>
                  </pic:spPr>
                </pic:pic>
              </a:graphicData>
            </a:graphic>
          </wp:inline>
        </w:drawing>
      </w:r>
      <w:r>
        <w:rPr>
          <w:rFonts w:hint="default"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6046470</wp:posOffset>
                </wp:positionH>
                <wp:positionV relativeFrom="paragraph">
                  <wp:posOffset>3102610</wp:posOffset>
                </wp:positionV>
                <wp:extent cx="2164715" cy="3505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164715" cy="350520"/>
                        </a:xfrm>
                        <a:prstGeom prst="rect">
                          <a:avLst/>
                        </a:prstGeom>
                        <a:noFill/>
                        <a:ln w="6350">
                          <a:noFill/>
                        </a:ln>
                        <a:effectLst/>
                      </wps:spPr>
                      <wps:txbx>
                        <w:txbxContent>
                          <w:p w14:paraId="2AA556D5">
                            <w:pPr>
                              <w:rPr>
                                <w:rFonts w:hint="default" w:eastAsia="宋体"/>
                                <w:sz w:val="24"/>
                                <w:szCs w:val="24"/>
                                <w:lang w:val="en-US" w:eastAsia="zh-CN"/>
                              </w:rPr>
                            </w:pPr>
                            <w:r>
                              <w:rPr>
                                <w:rFonts w:hint="eastAsia"/>
                                <w:sz w:val="24"/>
                                <w:szCs w:val="24"/>
                                <w:lang w:val="en-US" w:eastAsia="zh-CN"/>
                              </w:rPr>
                              <w:t>项目厂房东侧环境情况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1pt;margin-top:244.3pt;height:27.6pt;width:170.45pt;z-index:251676672;mso-width-relative:page;mso-height-relative:page;" filled="f" stroked="f" coordsize="21600,21600" o:gfxdata="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zF0390AAAAMAQAADwAAAAAAAAABACAA&#10;AAAiAAAAZHJzL2Rvd25yZXYueG1sUEsBAhQAFAAAAAgAh07iQLcxQvlBAgAAdgQAAA4AAAAAAAAA&#10;AQAgAAAALAEAAGRycy9lMm9Eb2MueG1sUEsFBgAAAAAGAAYAWQEAAN8FAAAAAA==&#10;">
                <v:fill on="f" focussize="0,0"/>
                <v:stroke on="f" weight="0.5pt"/>
                <v:imagedata o:title=""/>
                <o:lock v:ext="edit" aspectratio="f"/>
                <v:textbox>
                  <w:txbxContent>
                    <w:p w14:paraId="2AA556D5">
                      <w:pPr>
                        <w:rPr>
                          <w:rFonts w:hint="default" w:eastAsia="宋体"/>
                          <w:sz w:val="24"/>
                          <w:szCs w:val="24"/>
                          <w:lang w:val="en-US" w:eastAsia="zh-CN"/>
                        </w:rPr>
                      </w:pPr>
                      <w:r>
                        <w:rPr>
                          <w:rFonts w:hint="eastAsia"/>
                          <w:sz w:val="24"/>
                          <w:szCs w:val="24"/>
                          <w:lang w:val="en-US" w:eastAsia="zh-CN"/>
                        </w:rPr>
                        <w:t>项目厂房东侧环境情况</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1794510</wp:posOffset>
                </wp:positionH>
                <wp:positionV relativeFrom="paragraph">
                  <wp:posOffset>3117850</wp:posOffset>
                </wp:positionV>
                <wp:extent cx="2164715" cy="3505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164715" cy="350520"/>
                        </a:xfrm>
                        <a:prstGeom prst="rect">
                          <a:avLst/>
                        </a:prstGeom>
                        <a:noFill/>
                        <a:ln w="6350">
                          <a:noFill/>
                        </a:ln>
                        <a:effectLst/>
                      </wps:spPr>
                      <wps:txbx>
                        <w:txbxContent>
                          <w:p w14:paraId="02AF9DC2">
                            <w:pPr>
                              <w:rPr>
                                <w:rFonts w:hint="default" w:eastAsia="宋体"/>
                                <w:sz w:val="24"/>
                                <w:szCs w:val="24"/>
                                <w:lang w:val="en-US" w:eastAsia="zh-CN"/>
                              </w:rPr>
                            </w:pPr>
                            <w:r>
                              <w:rPr>
                                <w:rFonts w:hint="eastAsia"/>
                                <w:sz w:val="24"/>
                                <w:szCs w:val="24"/>
                                <w:lang w:val="en-US" w:eastAsia="zh-CN"/>
                              </w:rPr>
                              <w:t>项目厂房北侧环境情况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245.5pt;height:27.6pt;width:170.45pt;z-index:251675648;mso-width-relative:page;mso-height-relative:page;" filled="f" stroked="f" coordsize="21600,21600" o:gfxdata="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BZCAzcAAAACwEAAA8AAAAAAAAAAQAg&#10;AAAAIgAAAGRycy9kb3ducmV2LnhtbFBLAQIUABQAAAAIAIdO4kBEAptCQwIAAHYEAAAOAAAAAAAA&#10;AAEAIAAAACsBAABkcnMvZTJvRG9jLnhtbFBLBQYAAAAABgAGAFkBAADgBQAAAAA=&#10;">
                <v:fill on="f" focussize="0,0"/>
                <v:stroke on="f" weight="0.5pt"/>
                <v:imagedata o:title=""/>
                <o:lock v:ext="edit" aspectratio="f"/>
                <v:textbox>
                  <w:txbxContent>
                    <w:p w14:paraId="02AF9DC2">
                      <w:pPr>
                        <w:rPr>
                          <w:rFonts w:hint="default" w:eastAsia="宋体"/>
                          <w:sz w:val="24"/>
                          <w:szCs w:val="24"/>
                          <w:lang w:val="en-US" w:eastAsia="zh-CN"/>
                        </w:rPr>
                      </w:pPr>
                      <w:r>
                        <w:rPr>
                          <w:rFonts w:hint="eastAsia"/>
                          <w:sz w:val="24"/>
                          <w:szCs w:val="24"/>
                          <w:lang w:val="en-US" w:eastAsia="zh-CN"/>
                        </w:rPr>
                        <w:t>项目厂房北侧环境情况</w:t>
                      </w:r>
                    </w:p>
                  </w:txbxContent>
                </v:textbox>
              </v:shape>
            </w:pict>
          </mc:Fallback>
        </mc:AlternateContent>
      </w:r>
      <w:r>
        <w:rPr>
          <w:rFonts w:hint="eastAsia" w:cs="Times New Roman"/>
          <w:sz w:val="21"/>
          <w:lang w:val="en-US" w:eastAsia="zh-CN"/>
        </w:rPr>
        <w:t xml:space="preserve">   </w:t>
      </w:r>
      <w:r>
        <w:rPr>
          <w:rFonts w:hint="default" w:ascii="Times New Roman" w:hAnsi="Times New Roman" w:cs="Times New Roman"/>
          <w:lang w:val="en-US" w:eastAsia="zh-CN"/>
        </w:rPr>
        <w:drawing>
          <wp:inline distT="0" distB="0" distL="114300" distR="114300">
            <wp:extent cx="4179570" cy="3134995"/>
            <wp:effectExtent l="0" t="0" r="11430" b="4445"/>
            <wp:docPr id="86" name="图片 86" descr="23f64ab645371c620a29c157aee3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3f64ab645371c620a29c157aee3cd6"/>
                    <pic:cNvPicPr>
                      <a:picLocks noChangeAspect="1"/>
                    </pic:cNvPicPr>
                  </pic:nvPicPr>
                  <pic:blipFill>
                    <a:blip r:embed="rId36"/>
                    <a:stretch>
                      <a:fillRect/>
                    </a:stretch>
                  </pic:blipFill>
                  <pic:spPr>
                    <a:xfrm>
                      <a:off x="0" y="0"/>
                      <a:ext cx="4179570" cy="3134995"/>
                    </a:xfrm>
                    <a:prstGeom prst="rect">
                      <a:avLst/>
                    </a:prstGeom>
                  </pic:spPr>
                </pic:pic>
              </a:graphicData>
            </a:graphic>
          </wp:inline>
        </w:drawing>
      </w:r>
      <w:r>
        <w:rPr>
          <w:rFonts w:hint="default" w:ascii="Times New Roman" w:hAnsi="Times New Roman" w:cs="Times New Roman"/>
          <w:lang w:val="en-US" w:eastAsia="zh-CN"/>
        </w:rPr>
        <w:t xml:space="preserve">   </w:t>
      </w:r>
    </w:p>
    <w:p w14:paraId="5E0738BE">
      <w:pPr>
        <w:jc w:val="center"/>
        <w:rPr>
          <w:rFonts w:hint="default" w:ascii="Times New Roman" w:hAnsi="Times New Roman" w:cs="Times New Roman"/>
          <w:lang w:val="en-US" w:eastAsia="zh-CN"/>
        </w:rPr>
      </w:pPr>
    </w:p>
    <w:p w14:paraId="1F08AD6A">
      <w:pPr>
        <w:jc w:val="center"/>
        <w:rPr>
          <w:rFonts w:hint="default" w:ascii="Times New Roman" w:hAnsi="Times New Roman" w:eastAsia="宋体" w:cs="Times New Roman"/>
          <w:lang w:eastAsia="zh-CN"/>
        </w:rPr>
        <w:sectPr>
          <w:pgSz w:w="16838" w:h="11906" w:orient="landscape"/>
          <w:pgMar w:top="720" w:right="720" w:bottom="720" w:left="720" w:header="624"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 w:val="24"/>
        </w:rPr>
        <mc:AlternateContent>
          <mc:Choice Requires="wps">
            <w:drawing>
              <wp:anchor distT="0" distB="0" distL="114300" distR="114300" simplePos="0" relativeHeight="251703296" behindDoc="0" locked="0" layoutInCell="1" allowOverlap="1">
                <wp:simplePos x="0" y="0"/>
                <wp:positionH relativeFrom="column">
                  <wp:posOffset>3242945</wp:posOffset>
                </wp:positionH>
                <wp:positionV relativeFrom="paragraph">
                  <wp:posOffset>3209925</wp:posOffset>
                </wp:positionV>
                <wp:extent cx="3056255" cy="4343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056255" cy="434340"/>
                        </a:xfrm>
                        <a:prstGeom prst="rect">
                          <a:avLst/>
                        </a:prstGeom>
                        <a:noFill/>
                        <a:ln w="6350">
                          <a:noFill/>
                        </a:ln>
                        <a:effectLst/>
                      </wps:spPr>
                      <wps:txbx>
                        <w:txbxContent>
                          <w:p w14:paraId="347C7DBC">
                            <w:pPr>
                              <w:rPr>
                                <w:rFonts w:hint="default" w:eastAsiaTheme="minorEastAsia"/>
                                <w:b/>
                                <w:bCs/>
                                <w:sz w:val="28"/>
                                <w:szCs w:val="28"/>
                                <w:lang w:val="en-US" w:eastAsia="zh-CN"/>
                              </w:rPr>
                            </w:pPr>
                            <w:r>
                              <w:rPr>
                                <w:rFonts w:hint="eastAsia"/>
                                <w:b/>
                                <w:bCs/>
                                <w:sz w:val="28"/>
                                <w:szCs w:val="28"/>
                                <w:lang w:val="en-US" w:eastAsia="zh-CN"/>
                              </w:rPr>
                              <w:t>附图五：</w:t>
                            </w:r>
                            <w:r>
                              <w:rPr>
                                <w:rFonts w:hint="eastAsia" w:ascii="宋体" w:hAnsi="宋体" w:eastAsia="宋体" w:cs="宋体"/>
                                <w:b/>
                                <w:bCs/>
                                <w:sz w:val="28"/>
                                <w:szCs w:val="28"/>
                                <w:lang w:val="en-US" w:eastAsia="zh-CN"/>
                              </w:rPr>
                              <w:t>项目厂区</w:t>
                            </w:r>
                            <w:r>
                              <w:rPr>
                                <w:rFonts w:hint="eastAsia" w:ascii="宋体" w:hAnsi="宋体" w:cs="宋体"/>
                                <w:b/>
                                <w:bCs/>
                                <w:sz w:val="28"/>
                                <w:szCs w:val="28"/>
                                <w:lang w:val="en-US" w:eastAsia="zh-CN"/>
                              </w:rPr>
                              <w:t>周边环境现状</w:t>
                            </w:r>
                            <w:r>
                              <w:rPr>
                                <w:rFonts w:hint="eastAsia" w:ascii="宋体" w:hAnsi="宋体" w:eastAsia="宋体" w:cs="宋体"/>
                                <w:b/>
                                <w:bCs/>
                                <w:sz w:val="28"/>
                                <w:szCs w:val="28"/>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252.75pt;height:34.2pt;width:240.65pt;z-index:251703296;mso-width-relative:page;mso-height-relative:page;" filled="f" stroked="f" coordsize="21600,21600" o:gfxdata="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hVKQNwAAAALAQAADwAAAAAAAAABACAA&#10;AAAiAAAAZHJzL2Rvd25yZXYueG1sUEsBAhQAFAAAAAgAh07iQOdHXUJCAgAAdgQAAA4AAAAAAAAA&#10;AQAgAAAAKwEAAGRycy9lMm9Eb2MueG1sUEsFBgAAAAAGAAYAWQEAAN8FAAAAAA==&#10;">
                <v:fill on="f" focussize="0,0"/>
                <v:stroke on="f" weight="0.5pt"/>
                <v:imagedata o:title=""/>
                <o:lock v:ext="edit" aspectratio="f"/>
                <v:textbox>
                  <w:txbxContent>
                    <w:p w14:paraId="347C7DBC">
                      <w:pPr>
                        <w:rPr>
                          <w:rFonts w:hint="default" w:eastAsiaTheme="minorEastAsia"/>
                          <w:b/>
                          <w:bCs/>
                          <w:sz w:val="28"/>
                          <w:szCs w:val="28"/>
                          <w:lang w:val="en-US" w:eastAsia="zh-CN"/>
                        </w:rPr>
                      </w:pPr>
                      <w:r>
                        <w:rPr>
                          <w:rFonts w:hint="eastAsia"/>
                          <w:b/>
                          <w:bCs/>
                          <w:sz w:val="28"/>
                          <w:szCs w:val="28"/>
                          <w:lang w:val="en-US" w:eastAsia="zh-CN"/>
                        </w:rPr>
                        <w:t>附图五：</w:t>
                      </w:r>
                      <w:r>
                        <w:rPr>
                          <w:rFonts w:hint="eastAsia" w:ascii="宋体" w:hAnsi="宋体" w:eastAsia="宋体" w:cs="宋体"/>
                          <w:b/>
                          <w:bCs/>
                          <w:sz w:val="28"/>
                          <w:szCs w:val="28"/>
                          <w:lang w:val="en-US" w:eastAsia="zh-CN"/>
                        </w:rPr>
                        <w:t>项目厂区</w:t>
                      </w:r>
                      <w:r>
                        <w:rPr>
                          <w:rFonts w:hint="eastAsia" w:ascii="宋体" w:hAnsi="宋体" w:cs="宋体"/>
                          <w:b/>
                          <w:bCs/>
                          <w:sz w:val="28"/>
                          <w:szCs w:val="28"/>
                          <w:lang w:val="en-US" w:eastAsia="zh-CN"/>
                        </w:rPr>
                        <w:t>周边环境现状</w:t>
                      </w:r>
                      <w:r>
                        <w:rPr>
                          <w:rFonts w:hint="eastAsia" w:ascii="宋体" w:hAnsi="宋体" w:eastAsia="宋体" w:cs="宋体"/>
                          <w:b/>
                          <w:bCs/>
                          <w:sz w:val="28"/>
                          <w:szCs w:val="28"/>
                          <w:lang w:val="en-US" w:eastAsia="zh-CN"/>
                        </w:rPr>
                        <w:t>图</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1248" behindDoc="0" locked="0" layoutInCell="1" allowOverlap="1">
                <wp:simplePos x="0" y="0"/>
                <wp:positionH relativeFrom="column">
                  <wp:posOffset>6149975</wp:posOffset>
                </wp:positionH>
                <wp:positionV relativeFrom="paragraph">
                  <wp:posOffset>3108325</wp:posOffset>
                </wp:positionV>
                <wp:extent cx="2164715" cy="35052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164715" cy="350520"/>
                        </a:xfrm>
                        <a:prstGeom prst="rect">
                          <a:avLst/>
                        </a:prstGeom>
                        <a:noFill/>
                        <a:ln w="6350">
                          <a:noFill/>
                        </a:ln>
                        <a:effectLst/>
                      </wps:spPr>
                      <wps:txbx>
                        <w:txbxContent>
                          <w:p w14:paraId="03515DC9">
                            <w:pPr>
                              <w:rPr>
                                <w:rFonts w:hint="default" w:eastAsia="宋体"/>
                                <w:sz w:val="24"/>
                                <w:szCs w:val="24"/>
                                <w:lang w:val="en-US" w:eastAsia="zh-CN"/>
                              </w:rPr>
                            </w:pPr>
                            <w:r>
                              <w:rPr>
                                <w:rFonts w:hint="eastAsia"/>
                                <w:sz w:val="24"/>
                                <w:szCs w:val="24"/>
                                <w:lang w:val="en-US" w:eastAsia="zh-CN"/>
                              </w:rPr>
                              <w:t>项目厂房入口环境情况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25pt;margin-top:244.75pt;height:27.6pt;width:170.45pt;z-index:251701248;mso-width-relative:page;mso-height-relative:page;" filled="f" stroked="f" coordsize="21600,21600" o:gfxdata="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mZTZ3QAAAAwBAAAPAAAAAAAAAAEA&#10;IAAAACIAAABkcnMvZG93bnJldi54bWxQSwECFAAUAAAACACHTuJAK5rIlEMCAAB2BAAADgAAAAAA&#10;AAABACAAAAAsAQAAZHJzL2Uyb0RvYy54bWxQSwUGAAAAAAYABgBZAQAA4QUAAAAA&#10;">
                <v:fill on="f" focussize="0,0"/>
                <v:stroke on="f" weight="0.5pt"/>
                <v:imagedata o:title=""/>
                <o:lock v:ext="edit" aspectratio="f"/>
                <v:textbox>
                  <w:txbxContent>
                    <w:p w14:paraId="03515DC9">
                      <w:pPr>
                        <w:rPr>
                          <w:rFonts w:hint="default" w:eastAsia="宋体"/>
                          <w:sz w:val="24"/>
                          <w:szCs w:val="24"/>
                          <w:lang w:val="en-US" w:eastAsia="zh-CN"/>
                        </w:rPr>
                      </w:pPr>
                      <w:r>
                        <w:rPr>
                          <w:rFonts w:hint="eastAsia"/>
                          <w:sz w:val="24"/>
                          <w:szCs w:val="24"/>
                          <w:lang w:val="en-US" w:eastAsia="zh-CN"/>
                        </w:rPr>
                        <w:t>项目厂房入口环境情况</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2272" behindDoc="0" locked="0" layoutInCell="1" allowOverlap="1">
                <wp:simplePos x="0" y="0"/>
                <wp:positionH relativeFrom="column">
                  <wp:posOffset>1737360</wp:posOffset>
                </wp:positionH>
                <wp:positionV relativeFrom="paragraph">
                  <wp:posOffset>3087370</wp:posOffset>
                </wp:positionV>
                <wp:extent cx="2164715" cy="35052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164715" cy="350520"/>
                        </a:xfrm>
                        <a:prstGeom prst="rect">
                          <a:avLst/>
                        </a:prstGeom>
                        <a:noFill/>
                        <a:ln w="6350">
                          <a:noFill/>
                        </a:ln>
                        <a:effectLst/>
                      </wps:spPr>
                      <wps:txbx>
                        <w:txbxContent>
                          <w:p w14:paraId="4EECB811">
                            <w:pPr>
                              <w:rPr>
                                <w:rFonts w:hint="default" w:eastAsia="宋体"/>
                                <w:sz w:val="24"/>
                                <w:szCs w:val="24"/>
                                <w:lang w:val="en-US" w:eastAsia="zh-CN"/>
                              </w:rPr>
                            </w:pPr>
                            <w:r>
                              <w:rPr>
                                <w:rFonts w:hint="eastAsia"/>
                                <w:sz w:val="24"/>
                                <w:szCs w:val="24"/>
                                <w:lang w:val="en-US" w:eastAsia="zh-CN"/>
                              </w:rPr>
                              <w:t>项目厂房西侧环境情况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8pt;margin-top:243.1pt;height:27.6pt;width:170.45pt;z-index:251702272;mso-width-relative:page;mso-height-relative:page;" filled="f" stroked="f" coordsize="21600,21600" o:gfxdata="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P64Wr3AAAAAsBAAAPAAAAAAAAAAEA&#10;IAAAACIAAABkcnMvZG93bnJldi54bWxQSwECFAAUAAAACACHTuJA2KkRL0QCAAB2BAAADgAAAAAA&#10;AAABACAAAAArAQAAZHJzL2Uyb0RvYy54bWxQSwUGAAAAAAYABgBZAQAA4QUAAAAA&#10;">
                <v:fill on="f" focussize="0,0"/>
                <v:stroke on="f" weight="0.5pt"/>
                <v:imagedata o:title=""/>
                <o:lock v:ext="edit" aspectratio="f"/>
                <v:textbox>
                  <w:txbxContent>
                    <w:p w14:paraId="4EECB811">
                      <w:pPr>
                        <w:rPr>
                          <w:rFonts w:hint="default" w:eastAsia="宋体"/>
                          <w:sz w:val="24"/>
                          <w:szCs w:val="24"/>
                          <w:lang w:val="en-US" w:eastAsia="zh-CN"/>
                        </w:rPr>
                      </w:pPr>
                      <w:r>
                        <w:rPr>
                          <w:rFonts w:hint="eastAsia"/>
                          <w:sz w:val="24"/>
                          <w:szCs w:val="24"/>
                          <w:lang w:val="en-US" w:eastAsia="zh-CN"/>
                        </w:rPr>
                        <w:t>项目厂房西侧环境情况</w:t>
                      </w:r>
                    </w:p>
                  </w:txbxContent>
                </v:textbox>
              </v:shape>
            </w:pict>
          </mc:Fallback>
        </mc:AlternateContent>
      </w:r>
      <w:r>
        <w:rPr>
          <w:rFonts w:hint="default" w:ascii="Times New Roman" w:hAnsi="Times New Roman" w:cs="Times New Roman"/>
          <w:lang w:val="en-US" w:eastAsia="zh-CN"/>
        </w:rPr>
        <w:drawing>
          <wp:inline distT="0" distB="0" distL="114300" distR="114300">
            <wp:extent cx="4197350" cy="3148330"/>
            <wp:effectExtent l="0" t="0" r="8890" b="6350"/>
            <wp:docPr id="87" name="图片 87" descr="db49543441b45276226e1fb6ef02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b49543441b45276226e1fb6ef02fa7"/>
                    <pic:cNvPicPr>
                      <a:picLocks noChangeAspect="1"/>
                    </pic:cNvPicPr>
                  </pic:nvPicPr>
                  <pic:blipFill>
                    <a:blip r:embed="rId37"/>
                    <a:stretch>
                      <a:fillRect/>
                    </a:stretch>
                  </pic:blipFill>
                  <pic:spPr>
                    <a:xfrm>
                      <a:off x="0" y="0"/>
                      <a:ext cx="4197350" cy="3148330"/>
                    </a:xfrm>
                    <a:prstGeom prst="rect">
                      <a:avLst/>
                    </a:prstGeom>
                  </pic:spPr>
                </pic:pic>
              </a:graphicData>
            </a:graphic>
          </wp:inline>
        </w:drawing>
      </w:r>
      <w:r>
        <w:rPr>
          <w:rFonts w:hint="eastAsia" w:cs="Times New Roman"/>
          <w:lang w:val="en-US" w:eastAsia="zh-CN"/>
        </w:rPr>
        <w:t xml:space="preserve">   </w:t>
      </w:r>
      <w:r>
        <w:rPr>
          <w:rFonts w:hint="default" w:ascii="Times New Roman" w:hAnsi="Times New Roman" w:eastAsia="宋体" w:cs="Times New Roman"/>
          <w:lang w:eastAsia="zh-CN"/>
        </w:rPr>
        <w:drawing>
          <wp:inline distT="0" distB="0" distL="114300" distR="114300">
            <wp:extent cx="4200525" cy="3150870"/>
            <wp:effectExtent l="0" t="0" r="5715" b="3810"/>
            <wp:docPr id="84" name="图片 84" descr="d0c4cb097c7f36f5391a26358e8b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0c4cb097c7f36f5391a26358e8b837"/>
                    <pic:cNvPicPr>
                      <a:picLocks noChangeAspect="1"/>
                    </pic:cNvPicPr>
                  </pic:nvPicPr>
                  <pic:blipFill>
                    <a:blip r:embed="rId38"/>
                    <a:stretch>
                      <a:fillRect/>
                    </a:stretch>
                  </pic:blipFill>
                  <pic:spPr>
                    <a:xfrm>
                      <a:off x="0" y="0"/>
                      <a:ext cx="4200525" cy="3150870"/>
                    </a:xfrm>
                    <a:prstGeom prst="rect">
                      <a:avLst/>
                    </a:prstGeom>
                  </pic:spPr>
                </pic:pic>
              </a:graphicData>
            </a:graphic>
          </wp:inline>
        </w:drawing>
      </w:r>
    </w:p>
    <w:p w14:paraId="2A46E7D3">
      <w:pPr>
        <w:rPr>
          <w:rFonts w:hint="default" w:ascii="Times New Roman" w:hAnsi="Times New Roman" w:eastAsia="宋体"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附件1：备案证明</w:t>
      </w:r>
    </w:p>
    <w:p w14:paraId="47093654">
      <w:pPr>
        <w:pStyle w:val="20"/>
        <w:ind w:left="0" w:lef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901690" cy="8355330"/>
            <wp:effectExtent l="0" t="0" r="11430" b="11430"/>
            <wp:docPr id="90" name="图片 90" descr="29c964af127c7b575c75602e674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9c964af127c7b575c75602e67427e0"/>
                    <pic:cNvPicPr>
                      <a:picLocks noChangeAspect="1"/>
                    </pic:cNvPicPr>
                  </pic:nvPicPr>
                  <pic:blipFill>
                    <a:blip r:embed="rId39"/>
                    <a:stretch>
                      <a:fillRect/>
                    </a:stretch>
                  </pic:blipFill>
                  <pic:spPr>
                    <a:xfrm>
                      <a:off x="0" y="0"/>
                      <a:ext cx="5901690" cy="8355330"/>
                    </a:xfrm>
                    <a:prstGeom prst="rect">
                      <a:avLst/>
                    </a:prstGeom>
                  </pic:spPr>
                </pic:pic>
              </a:graphicData>
            </a:graphic>
          </wp:inline>
        </w:drawing>
      </w:r>
    </w:p>
    <w:p w14:paraId="3CCD9B88">
      <w:pPr>
        <w:rPr>
          <w:rFonts w:hint="default" w:ascii="Times New Roman" w:hAnsi="Times New Roman" w:eastAsia="宋体"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w:t>
      </w:r>
      <w:r>
        <w:rPr>
          <w:rFonts w:hint="eastAsia" w:ascii="Times New Roman" w:hAnsi="Times New Roman" w:cs="Times New Roman"/>
          <w:b/>
          <w:bCs/>
          <w:sz w:val="28"/>
          <w:szCs w:val="28"/>
          <w:highlight w:val="none"/>
          <w:lang w:val="en-US" w:eastAsia="zh-CN"/>
        </w:rPr>
        <w:t>2</w:t>
      </w:r>
      <w:r>
        <w:rPr>
          <w:rFonts w:hint="default" w:ascii="Times New Roman" w:hAnsi="Times New Roman" w:cs="Times New Roman"/>
          <w:b/>
          <w:bCs/>
          <w:sz w:val="28"/>
          <w:szCs w:val="28"/>
          <w:highlight w:val="none"/>
          <w:lang w:val="en-US" w:eastAsia="zh-CN"/>
        </w:rPr>
        <w:t>：</w:t>
      </w:r>
      <w:r>
        <w:rPr>
          <w:rFonts w:hint="eastAsia" w:ascii="Times New Roman" w:hAnsi="Times New Roman" w:cs="Times New Roman"/>
          <w:b/>
          <w:bCs/>
          <w:sz w:val="28"/>
          <w:szCs w:val="28"/>
          <w:highlight w:val="none"/>
          <w:lang w:val="en-US" w:eastAsia="zh-CN"/>
        </w:rPr>
        <w:t>委托书</w:t>
      </w:r>
    </w:p>
    <w:p w14:paraId="3FD1096A">
      <w:pPr>
        <w:rPr>
          <w:rFonts w:hint="default" w:ascii="Times New Roman" w:hAnsi="Times New Roman" w:eastAsia="宋体" w:cs="Times New Roman"/>
          <w:b/>
          <w:bCs/>
          <w:sz w:val="28"/>
          <w:szCs w:val="28"/>
          <w:lang w:val="en-US" w:eastAsia="zh-CN"/>
        </w:rPr>
      </w:pPr>
      <w:r>
        <w:drawing>
          <wp:inline distT="0" distB="0" distL="114300" distR="114300">
            <wp:extent cx="6668135" cy="8253730"/>
            <wp:effectExtent l="0" t="0" r="6985" b="635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0"/>
                    <a:stretch>
                      <a:fillRect/>
                    </a:stretch>
                  </pic:blipFill>
                  <pic:spPr>
                    <a:xfrm>
                      <a:off x="0" y="0"/>
                      <a:ext cx="6668135" cy="8253730"/>
                    </a:xfrm>
                    <a:prstGeom prst="rect">
                      <a:avLst/>
                    </a:prstGeom>
                    <a:noFill/>
                    <a:ln>
                      <a:noFill/>
                    </a:ln>
                  </pic:spPr>
                </pic:pic>
              </a:graphicData>
            </a:graphic>
          </wp:inline>
        </w:drawing>
      </w:r>
    </w:p>
    <w:p w14:paraId="346A2219">
      <w:pPr>
        <w:jc w:val="left"/>
      </w:pPr>
      <w:r>
        <w:rPr>
          <w:rFonts w:hint="default" w:ascii="Times New Roman" w:hAnsi="Times New Roman" w:cs="Times New Roman"/>
          <w:b/>
          <w:bCs/>
          <w:sz w:val="28"/>
          <w:szCs w:val="28"/>
          <w:lang w:val="en-US" w:eastAsia="zh-CN"/>
        </w:rPr>
        <w:t>附件3：</w:t>
      </w:r>
      <w:r>
        <w:rPr>
          <w:rFonts w:hint="eastAsia" w:ascii="Times New Roman" w:hAnsi="Times New Roman" w:cs="Times New Roman"/>
          <w:b/>
          <w:bCs/>
          <w:sz w:val="28"/>
          <w:szCs w:val="28"/>
          <w:lang w:val="en-US" w:eastAsia="zh-CN"/>
        </w:rPr>
        <w:t>污水接收</w:t>
      </w:r>
      <w:r>
        <w:rPr>
          <w:rFonts w:hint="default" w:ascii="Times New Roman" w:hAnsi="Times New Roman" w:cs="Times New Roman"/>
          <w:b/>
          <w:bCs/>
          <w:sz w:val="28"/>
          <w:szCs w:val="28"/>
          <w:lang w:val="en-US" w:eastAsia="zh-CN"/>
        </w:rPr>
        <w:t>证明</w:t>
      </w:r>
      <w:r>
        <w:drawing>
          <wp:inline distT="0" distB="0" distL="114300" distR="114300">
            <wp:extent cx="6036310" cy="8298815"/>
            <wp:effectExtent l="0" t="0" r="1397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1"/>
                    <a:stretch>
                      <a:fillRect/>
                    </a:stretch>
                  </pic:blipFill>
                  <pic:spPr>
                    <a:xfrm>
                      <a:off x="0" y="0"/>
                      <a:ext cx="6036310" cy="8298815"/>
                    </a:xfrm>
                    <a:prstGeom prst="rect">
                      <a:avLst/>
                    </a:prstGeom>
                    <a:noFill/>
                    <a:ln>
                      <a:noFill/>
                    </a:ln>
                  </pic:spPr>
                </pic:pic>
              </a:graphicData>
            </a:graphic>
          </wp:inline>
        </w:drawing>
      </w:r>
    </w:p>
    <w:p w14:paraId="407BED2E">
      <w:pPr>
        <w:jc w:val="left"/>
        <w:rPr>
          <w:rFonts w:hint="default" w:ascii="Times New Roman" w:hAnsi="Times New Roman" w:eastAsia="宋体" w:cs="Times New Roman"/>
          <w:b/>
          <w:bCs/>
          <w:sz w:val="28"/>
          <w:szCs w:val="28"/>
          <w:lang w:val="en-US" w:eastAsia="zh-CN"/>
        </w:rPr>
      </w:pPr>
      <w:r>
        <w:rPr>
          <w:rFonts w:hint="default" w:ascii="Times New Roman" w:hAnsi="Times New Roman" w:cs="Times New Roman"/>
          <w:b/>
          <w:bCs/>
          <w:sz w:val="28"/>
          <w:szCs w:val="28"/>
          <w:lang w:val="en-US" w:eastAsia="zh-CN"/>
        </w:rPr>
        <w:t>附件</w:t>
      </w:r>
      <w:r>
        <w:rPr>
          <w:rFonts w:hint="eastAsia" w:cs="Times New Roman"/>
          <w:b/>
          <w:bCs/>
          <w:sz w:val="28"/>
          <w:szCs w:val="28"/>
          <w:lang w:val="en-US" w:eastAsia="zh-CN"/>
        </w:rPr>
        <w:t>4</w:t>
      </w:r>
      <w:r>
        <w:rPr>
          <w:rFonts w:hint="default" w:ascii="Times New Roman" w:hAnsi="Times New Roman" w:cs="Times New Roman"/>
          <w:b/>
          <w:bCs/>
          <w:sz w:val="28"/>
          <w:szCs w:val="28"/>
          <w:lang w:val="en-US" w:eastAsia="zh-CN"/>
        </w:rPr>
        <w:t>：用地证明</w:t>
      </w:r>
    </w:p>
    <w:p w14:paraId="2BD54942">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5918200" cy="8209915"/>
            <wp:effectExtent l="0" t="0" r="10160" b="4445"/>
            <wp:docPr id="51" name="图片 51" descr="2da2fac07b932da7174e5cd702a3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da2fac07b932da7174e5cd702a3f87"/>
                    <pic:cNvPicPr>
                      <a:picLocks noChangeAspect="1"/>
                    </pic:cNvPicPr>
                  </pic:nvPicPr>
                  <pic:blipFill>
                    <a:blip r:embed="rId42"/>
                    <a:stretch>
                      <a:fillRect/>
                    </a:stretch>
                  </pic:blipFill>
                  <pic:spPr>
                    <a:xfrm>
                      <a:off x="0" y="0"/>
                      <a:ext cx="5918200" cy="8209915"/>
                    </a:xfrm>
                    <a:prstGeom prst="rect">
                      <a:avLst/>
                    </a:prstGeom>
                  </pic:spPr>
                </pic:pic>
              </a:graphicData>
            </a:graphic>
          </wp:inline>
        </w:drawing>
      </w:r>
    </w:p>
    <w:p w14:paraId="1A85D9B6">
      <w:pPr>
        <w:rPr>
          <w:rFonts w:hint="default" w:ascii="Times New Roman" w:hAnsi="Times New Roman" w:eastAsia="宋体"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w:t>
      </w:r>
      <w:r>
        <w:rPr>
          <w:rFonts w:hint="eastAsia" w:cs="Times New Roman"/>
          <w:b/>
          <w:bCs/>
          <w:sz w:val="28"/>
          <w:szCs w:val="28"/>
          <w:highlight w:val="none"/>
          <w:lang w:val="en-US" w:eastAsia="zh-CN"/>
        </w:rPr>
        <w:t>5</w:t>
      </w:r>
      <w:r>
        <w:rPr>
          <w:rFonts w:hint="default" w:ascii="Times New Roman" w:hAnsi="Times New Roman" w:cs="Times New Roman"/>
          <w:b/>
          <w:bCs/>
          <w:sz w:val="28"/>
          <w:szCs w:val="28"/>
          <w:highlight w:val="none"/>
          <w:lang w:val="en-US" w:eastAsia="zh-CN"/>
        </w:rPr>
        <w:t>：营业执照</w:t>
      </w:r>
    </w:p>
    <w:p w14:paraId="3F87BB22">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867400" cy="8070215"/>
            <wp:effectExtent l="0" t="0" r="0" b="6985"/>
            <wp:docPr id="34" name="图片 34" descr="c295a018d01a3f13dc359db513d0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95a018d01a3f13dc359db513d01f9"/>
                    <pic:cNvPicPr>
                      <a:picLocks noChangeAspect="1"/>
                    </pic:cNvPicPr>
                  </pic:nvPicPr>
                  <pic:blipFill>
                    <a:blip r:embed="rId43"/>
                    <a:stretch>
                      <a:fillRect/>
                    </a:stretch>
                  </pic:blipFill>
                  <pic:spPr>
                    <a:xfrm>
                      <a:off x="0" y="0"/>
                      <a:ext cx="5867400" cy="8070215"/>
                    </a:xfrm>
                    <a:prstGeom prst="rect">
                      <a:avLst/>
                    </a:prstGeom>
                  </pic:spPr>
                </pic:pic>
              </a:graphicData>
            </a:graphic>
          </wp:inline>
        </w:drawing>
      </w:r>
    </w:p>
    <w:p w14:paraId="1A92E64D">
      <w:pPr>
        <w:rPr>
          <w:rFonts w:hint="default" w:ascii="Times New Roman" w:hAnsi="Times New Roman" w:cs="Times New Roman"/>
          <w:b/>
          <w:bCs/>
          <w:sz w:val="28"/>
          <w:szCs w:val="28"/>
          <w:highlight w:val="none"/>
          <w:lang w:val="en-US" w:eastAsia="zh-CN"/>
        </w:rPr>
      </w:pPr>
    </w:p>
    <w:p w14:paraId="5FBDFC97">
      <w:pPr>
        <w:rPr>
          <w:rFonts w:hint="default" w:ascii="Times New Roman" w:hAnsi="Times New Roman" w:eastAsia="宋体"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w:t>
      </w:r>
      <w:r>
        <w:rPr>
          <w:rFonts w:hint="eastAsia" w:cs="Times New Roman"/>
          <w:b/>
          <w:bCs/>
          <w:sz w:val="28"/>
          <w:szCs w:val="28"/>
          <w:highlight w:val="none"/>
          <w:lang w:val="en-US" w:eastAsia="zh-CN"/>
        </w:rPr>
        <w:t>6</w:t>
      </w:r>
      <w:r>
        <w:rPr>
          <w:rFonts w:hint="default" w:ascii="Times New Roman" w:hAnsi="Times New Roman" w:cs="Times New Roman"/>
          <w:b/>
          <w:bCs/>
          <w:sz w:val="28"/>
          <w:szCs w:val="28"/>
          <w:highlight w:val="none"/>
          <w:lang w:val="en-US" w:eastAsia="zh-CN"/>
        </w:rPr>
        <w:t>：</w:t>
      </w:r>
      <w:r>
        <w:rPr>
          <w:rFonts w:hint="eastAsia" w:ascii="Times New Roman" w:hAnsi="Times New Roman" w:cs="Times New Roman"/>
          <w:b/>
          <w:bCs/>
          <w:sz w:val="28"/>
          <w:szCs w:val="28"/>
          <w:highlight w:val="none"/>
          <w:lang w:val="en-US" w:eastAsia="zh-CN"/>
        </w:rPr>
        <w:t>承诺书</w:t>
      </w:r>
    </w:p>
    <w:p w14:paraId="4C83462C">
      <w:pPr>
        <w:jc w:val="center"/>
      </w:pPr>
      <w:r>
        <w:drawing>
          <wp:inline distT="0" distB="0" distL="114300" distR="114300">
            <wp:extent cx="6491605" cy="8381365"/>
            <wp:effectExtent l="0" t="0" r="635" b="63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4"/>
                    <a:stretch>
                      <a:fillRect/>
                    </a:stretch>
                  </pic:blipFill>
                  <pic:spPr>
                    <a:xfrm>
                      <a:off x="0" y="0"/>
                      <a:ext cx="6491605" cy="8381365"/>
                    </a:xfrm>
                    <a:prstGeom prst="rect">
                      <a:avLst/>
                    </a:prstGeom>
                    <a:noFill/>
                    <a:ln>
                      <a:noFill/>
                    </a:ln>
                  </pic:spPr>
                </pic:pic>
              </a:graphicData>
            </a:graphic>
          </wp:inline>
        </w:drawing>
      </w:r>
    </w:p>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B3EB6">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E35D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2B7E35D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10BF">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20FD9">
                          <w:pPr>
                            <w:pStyle w:val="1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AE20FD9">
                    <w:pPr>
                      <w:pStyle w:val="1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E8A6F">
    <w:pPr>
      <w:pStyle w:val="15"/>
      <w:tabs>
        <w:tab w:val="left" w:pos="7804"/>
        <w:tab w:val="clear" w:pos="4153"/>
      </w:tabs>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2247F">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4612247F">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A753">
    <w:pPr>
      <w:rPr>
        <w:rFonts w:hint="eastAsia"/>
      </w:rPr>
    </w:pPr>
    <w:r>
      <w:rPr>
        <w:rFonts w:hint="eastAsia"/>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E01AC9"/>
    <w:multiLevelType w:val="singleLevel"/>
    <w:tmpl w:val="AAE01AC9"/>
    <w:lvl w:ilvl="0" w:tentative="0">
      <w:start w:val="2"/>
      <w:numFmt w:val="decimal"/>
      <w:suff w:val="nothing"/>
      <w:lvlText w:val="（%1）"/>
      <w:lvlJc w:val="left"/>
    </w:lvl>
  </w:abstractNum>
  <w:abstractNum w:abstractNumId="1">
    <w:nsid w:val="03FA1F8F"/>
    <w:multiLevelType w:val="singleLevel"/>
    <w:tmpl w:val="03FA1F8F"/>
    <w:lvl w:ilvl="0" w:tentative="0">
      <w:start w:val="1"/>
      <w:numFmt w:val="low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lZmEzNTBkYzY1NjZkNjI1YWJiZjE4Mzk4ZjRmNmMifQ=="/>
  </w:docVars>
  <w:rsids>
    <w:rsidRoot w:val="631102AA"/>
    <w:rsid w:val="00352D66"/>
    <w:rsid w:val="00803428"/>
    <w:rsid w:val="014327FF"/>
    <w:rsid w:val="024816F1"/>
    <w:rsid w:val="04F85BC7"/>
    <w:rsid w:val="06CB509E"/>
    <w:rsid w:val="06ED53FB"/>
    <w:rsid w:val="086C406E"/>
    <w:rsid w:val="08AF6826"/>
    <w:rsid w:val="0A7A69D1"/>
    <w:rsid w:val="0B065FC2"/>
    <w:rsid w:val="0B814D87"/>
    <w:rsid w:val="0D741EEE"/>
    <w:rsid w:val="0D850963"/>
    <w:rsid w:val="0E2D3736"/>
    <w:rsid w:val="0EF63F94"/>
    <w:rsid w:val="0EF820C6"/>
    <w:rsid w:val="118F0A79"/>
    <w:rsid w:val="12B27FA6"/>
    <w:rsid w:val="12CD7AAB"/>
    <w:rsid w:val="14493A5D"/>
    <w:rsid w:val="144E2788"/>
    <w:rsid w:val="159176EF"/>
    <w:rsid w:val="178B7A91"/>
    <w:rsid w:val="18027B12"/>
    <w:rsid w:val="18A04071"/>
    <w:rsid w:val="1E3228A3"/>
    <w:rsid w:val="1EC022D3"/>
    <w:rsid w:val="1EC9718E"/>
    <w:rsid w:val="2002304C"/>
    <w:rsid w:val="209061C6"/>
    <w:rsid w:val="20AF74D9"/>
    <w:rsid w:val="238C0BD7"/>
    <w:rsid w:val="254774AC"/>
    <w:rsid w:val="25C603D0"/>
    <w:rsid w:val="266543C6"/>
    <w:rsid w:val="274572A5"/>
    <w:rsid w:val="281E4238"/>
    <w:rsid w:val="29416447"/>
    <w:rsid w:val="29D137E8"/>
    <w:rsid w:val="29F60EA3"/>
    <w:rsid w:val="2A93262B"/>
    <w:rsid w:val="2B896816"/>
    <w:rsid w:val="2CBF3DCB"/>
    <w:rsid w:val="2D485B6F"/>
    <w:rsid w:val="2E864BA1"/>
    <w:rsid w:val="311D3DF9"/>
    <w:rsid w:val="316F5DC0"/>
    <w:rsid w:val="31751A9E"/>
    <w:rsid w:val="33314B37"/>
    <w:rsid w:val="347D1589"/>
    <w:rsid w:val="34A43FD3"/>
    <w:rsid w:val="353C245D"/>
    <w:rsid w:val="35C97A69"/>
    <w:rsid w:val="386B2CBB"/>
    <w:rsid w:val="39E107B3"/>
    <w:rsid w:val="39FE4185"/>
    <w:rsid w:val="3D006466"/>
    <w:rsid w:val="3E141C6C"/>
    <w:rsid w:val="3FC354B3"/>
    <w:rsid w:val="40196700"/>
    <w:rsid w:val="40E7066C"/>
    <w:rsid w:val="42A265EF"/>
    <w:rsid w:val="42E2383B"/>
    <w:rsid w:val="4335673E"/>
    <w:rsid w:val="43495774"/>
    <w:rsid w:val="45877A38"/>
    <w:rsid w:val="45FD6EF2"/>
    <w:rsid w:val="463F1DAD"/>
    <w:rsid w:val="46601D24"/>
    <w:rsid w:val="467F1B37"/>
    <w:rsid w:val="47022542"/>
    <w:rsid w:val="470703F1"/>
    <w:rsid w:val="48541414"/>
    <w:rsid w:val="49635DB3"/>
    <w:rsid w:val="4AF834EC"/>
    <w:rsid w:val="4B531969"/>
    <w:rsid w:val="4C651E42"/>
    <w:rsid w:val="4E422EFC"/>
    <w:rsid w:val="4E9D0390"/>
    <w:rsid w:val="4F2C0638"/>
    <w:rsid w:val="4F49404D"/>
    <w:rsid w:val="4F852DF6"/>
    <w:rsid w:val="50090912"/>
    <w:rsid w:val="50412BC6"/>
    <w:rsid w:val="504727F8"/>
    <w:rsid w:val="55405531"/>
    <w:rsid w:val="55986DE4"/>
    <w:rsid w:val="579E26AC"/>
    <w:rsid w:val="57BD6BE2"/>
    <w:rsid w:val="58C919AA"/>
    <w:rsid w:val="59322DCF"/>
    <w:rsid w:val="59F34F31"/>
    <w:rsid w:val="5A137381"/>
    <w:rsid w:val="5B003DFF"/>
    <w:rsid w:val="5B1038C0"/>
    <w:rsid w:val="5CCE7A03"/>
    <w:rsid w:val="5CD95285"/>
    <w:rsid w:val="5DB16DA7"/>
    <w:rsid w:val="5E23390B"/>
    <w:rsid w:val="5E572834"/>
    <w:rsid w:val="5E895E64"/>
    <w:rsid w:val="60BB42CE"/>
    <w:rsid w:val="60DD4245"/>
    <w:rsid w:val="60FE6DE5"/>
    <w:rsid w:val="61E76E94"/>
    <w:rsid w:val="631102AA"/>
    <w:rsid w:val="63907D73"/>
    <w:rsid w:val="641461CF"/>
    <w:rsid w:val="65DF45BB"/>
    <w:rsid w:val="661E094E"/>
    <w:rsid w:val="68DA3B4B"/>
    <w:rsid w:val="69382960"/>
    <w:rsid w:val="694E5FCE"/>
    <w:rsid w:val="6BDD334B"/>
    <w:rsid w:val="6D184F79"/>
    <w:rsid w:val="6D6B0216"/>
    <w:rsid w:val="6D9928BF"/>
    <w:rsid w:val="6E0A13F2"/>
    <w:rsid w:val="6E6B0945"/>
    <w:rsid w:val="6EA861BC"/>
    <w:rsid w:val="6ECC7496"/>
    <w:rsid w:val="70404506"/>
    <w:rsid w:val="71453E6C"/>
    <w:rsid w:val="715324BD"/>
    <w:rsid w:val="71A65B6E"/>
    <w:rsid w:val="726E11A1"/>
    <w:rsid w:val="72C47013"/>
    <w:rsid w:val="742A10F7"/>
    <w:rsid w:val="75236EC6"/>
    <w:rsid w:val="7941623B"/>
    <w:rsid w:val="7A9F774F"/>
    <w:rsid w:val="7B312D12"/>
    <w:rsid w:val="7C9D7F51"/>
    <w:rsid w:val="7D8E34C0"/>
    <w:rsid w:val="7E355268"/>
    <w:rsid w:val="7F757659"/>
    <w:rsid w:val="7FFC2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240" w:after="240" w:line="360" w:lineRule="auto"/>
      <w:outlineLvl w:val="0"/>
    </w:pPr>
    <w:rPr>
      <w:b/>
      <w:kern w:val="44"/>
      <w:sz w:val="32"/>
    </w:rPr>
  </w:style>
  <w:style w:type="paragraph" w:styleId="4">
    <w:name w:val="heading 4"/>
    <w:basedOn w:val="1"/>
    <w:next w:val="1"/>
    <w:qFormat/>
    <w:uiPriority w:val="0"/>
    <w:pPr>
      <w:keepNext/>
      <w:keepLines/>
      <w:widowControl w:val="0"/>
      <w:spacing w:line="360" w:lineRule="auto"/>
      <w:ind w:firstLine="482"/>
      <w:jc w:val="both"/>
      <w:outlineLvl w:val="3"/>
    </w:pPr>
    <w:rPr>
      <w:rFonts w:ascii="Arial" w:hAnsi="Arial" w:eastAsia="黑体"/>
      <w:b/>
      <w:bCs/>
      <w:kern w:val="2"/>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macro"/>
    <w:basedOn w:val="1"/>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lang w:val="en-US" w:eastAsia="zh-CN" w:bidi="ar-SA"/>
    </w:rPr>
  </w:style>
  <w:style w:type="paragraph" w:styleId="5">
    <w:name w:val="List 3"/>
    <w:basedOn w:val="1"/>
    <w:next w:val="1"/>
    <w:unhideWhenUsed/>
    <w:qFormat/>
    <w:uiPriority w:val="99"/>
    <w:pPr>
      <w:ind w:left="100" w:leftChars="400" w:hanging="200" w:hangingChars="200"/>
    </w:pPr>
    <w:rPr>
      <w:rFonts w:ascii="宋体" w:hAnsi="宋体"/>
      <w:color w:val="000000"/>
      <w:szCs w:val="21"/>
    </w:rPr>
  </w:style>
  <w:style w:type="paragraph" w:styleId="6">
    <w:name w:val="Normal Indent"/>
    <w:basedOn w:val="1"/>
    <w:next w:val="7"/>
    <w:qFormat/>
    <w:uiPriority w:val="0"/>
    <w:rPr>
      <w:sz w:val="28"/>
      <w:szCs w:val="20"/>
    </w:r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caption"/>
    <w:basedOn w:val="1"/>
    <w:next w:val="1"/>
    <w:qFormat/>
    <w:uiPriority w:val="35"/>
    <w:rPr>
      <w:rFonts w:ascii="Cambria" w:hAnsi="Cambria" w:eastAsia="黑体"/>
      <w:sz w:val="20"/>
      <w:szCs w:val="20"/>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style>
  <w:style w:type="paragraph" w:styleId="11">
    <w:name w:val="Body Text Indent"/>
    <w:basedOn w:val="1"/>
    <w:next w:val="10"/>
    <w:qFormat/>
    <w:uiPriority w:val="0"/>
    <w:pPr>
      <w:spacing w:after="120"/>
      <w:ind w:left="420" w:leftChars="200"/>
    </w:pPr>
    <w:rPr>
      <w:kern w:val="0"/>
      <w:sz w:val="24"/>
      <w:szCs w:val="20"/>
    </w:rPr>
  </w:style>
  <w:style w:type="paragraph" w:styleId="12">
    <w:name w:val="Block Text"/>
    <w:basedOn w:val="1"/>
    <w:next w:val="1"/>
    <w:unhideWhenUsed/>
    <w:qFormat/>
    <w:uiPriority w:val="99"/>
    <w:pPr>
      <w:snapToGrid w:val="0"/>
      <w:spacing w:line="408" w:lineRule="auto"/>
      <w:ind w:left="-113" w:right="-510" w:firstLine="510"/>
    </w:pPr>
    <w:rPr>
      <w:rFonts w:cs="Times New Roman"/>
      <w:sz w:val="24"/>
    </w:rPr>
  </w:style>
  <w:style w:type="paragraph" w:styleId="13">
    <w:name w:val="Plain Text"/>
    <w:basedOn w:val="1"/>
    <w:next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qFormat/>
    <w:uiPriority w:val="0"/>
    <w:pPr>
      <w:spacing w:line="520" w:lineRule="exact"/>
      <w:jc w:val="center"/>
    </w:pPr>
    <w:rPr>
      <w:rFonts w:ascii="Cambria" w:hAnsi="Cambria"/>
      <w:b/>
      <w:bCs/>
      <w:sz w:val="24"/>
      <w:szCs w:val="32"/>
    </w:rPr>
  </w:style>
  <w:style w:type="paragraph" w:styleId="19">
    <w:name w:val="Body Text First Indent"/>
    <w:basedOn w:val="10"/>
    <w:qFormat/>
    <w:uiPriority w:val="0"/>
    <w:pPr>
      <w:ind w:firstLine="420" w:firstLineChars="100"/>
    </w:pPr>
  </w:style>
  <w:style w:type="paragraph" w:styleId="20">
    <w:name w:val="Body Text First Indent 2"/>
    <w:basedOn w:val="11"/>
    <w:next w:val="1"/>
    <w:qFormat/>
    <w:uiPriority w:val="99"/>
    <w:pPr>
      <w:spacing w:after="120" w:line="240" w:lineRule="auto"/>
      <w:ind w:left="420" w:leftChars="200" w:firstLine="42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annotation reference"/>
    <w:basedOn w:val="23"/>
    <w:qFormat/>
    <w:uiPriority w:val="0"/>
    <w:rPr>
      <w:sz w:val="21"/>
      <w:szCs w:val="21"/>
    </w:rPr>
  </w:style>
  <w:style w:type="paragraph" w:customStyle="1" w:styleId="27">
    <w:name w:val="00"/>
    <w:basedOn w:val="1"/>
    <w:next w:val="3"/>
    <w:autoRedefine/>
    <w:qFormat/>
    <w:uiPriority w:val="0"/>
    <w:pPr>
      <w:spacing w:line="520" w:lineRule="exact"/>
      <w:ind w:firstLine="480"/>
    </w:pPr>
    <w:rPr>
      <w:rFonts w:hAnsi="宋体"/>
      <w:sz w:val="24"/>
    </w:rPr>
  </w:style>
  <w:style w:type="paragraph" w:customStyle="1" w:styleId="28">
    <w:name w:val="Default"/>
    <w:basedOn w:val="29"/>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9">
    <w:name w:val="纯文本1"/>
    <w:autoRedefine/>
    <w:qFormat/>
    <w:uiPriority w:val="0"/>
    <w:pPr>
      <w:widowControl w:val="0"/>
      <w:adjustRightInd w:val="0"/>
      <w:spacing w:line="520" w:lineRule="atLeast"/>
      <w:ind w:firstLine="547" w:firstLineChars="200"/>
    </w:pPr>
    <w:rPr>
      <w:rFonts w:ascii="宋体" w:hAnsi="Courier New" w:eastAsia="宋体" w:cs="Times New Roman"/>
      <w:kern w:val="2"/>
      <w:sz w:val="24"/>
      <w:szCs w:val="22"/>
      <w:lang w:val="en-US" w:eastAsia="zh-CN" w:bidi="ar-SA"/>
    </w:rPr>
  </w:style>
  <w:style w:type="paragraph" w:customStyle="1" w:styleId="30">
    <w:name w:val="刘表格居中"/>
    <w:basedOn w:val="1"/>
    <w:autoRedefine/>
    <w:qFormat/>
    <w:uiPriority w:val="0"/>
    <w:pPr>
      <w:jc w:val="center"/>
    </w:pPr>
    <w:rPr>
      <w:color w:val="000000"/>
      <w:szCs w:val="21"/>
    </w:rPr>
  </w:style>
  <w:style w:type="paragraph" w:customStyle="1" w:styleId="31">
    <w:name w:val="样式12"/>
    <w:basedOn w:val="1"/>
    <w:next w:val="18"/>
    <w:autoRedefine/>
    <w:qFormat/>
    <w:uiPriority w:val="0"/>
    <w:pPr>
      <w:autoSpaceDE w:val="0"/>
      <w:autoSpaceDN w:val="0"/>
      <w:adjustRightInd w:val="0"/>
      <w:snapToGrid w:val="0"/>
      <w:spacing w:line="440" w:lineRule="exact"/>
      <w:jc w:val="center"/>
    </w:pPr>
    <w:rPr>
      <w:rFonts w:ascii="Times New Roman" w:hAnsi="Times New Roman" w:eastAsia="宋体" w:cs="Times New Roman"/>
      <w:b/>
      <w:bCs/>
      <w:color w:val="auto"/>
      <w:kern w:val="0"/>
      <w:sz w:val="24"/>
    </w:rPr>
  </w:style>
  <w:style w:type="paragraph" w:customStyle="1" w:styleId="32">
    <w:name w:val="标准正文"/>
    <w:basedOn w:val="1"/>
    <w:autoRedefine/>
    <w:qFormat/>
    <w:uiPriority w:val="0"/>
    <w:pPr>
      <w:spacing w:line="360" w:lineRule="auto"/>
      <w:ind w:firstLine="480" w:firstLineChars="200"/>
      <w:jc w:val="left"/>
    </w:pPr>
    <w:rPr>
      <w:rFonts w:ascii="Times New Roman" w:hAnsi="Times New Roman" w:eastAsia="宋体" w:cs="Times New Roman"/>
    </w:rPr>
  </w:style>
  <w:style w:type="paragraph" w:customStyle="1" w:styleId="33">
    <w:name w:val="段落"/>
    <w:basedOn w:val="13"/>
    <w:qFormat/>
    <w:uiPriority w:val="99"/>
    <w:pPr>
      <w:spacing w:line="500" w:lineRule="exact"/>
      <w:ind w:firstLine="578"/>
    </w:pPr>
    <w:rPr>
      <w:rFonts w:ascii="Times New Roman" w:hAnsi="Times New Roman"/>
      <w:color w:val="auto"/>
      <w:sz w:val="28"/>
      <w:szCs w:val="24"/>
    </w:rPr>
  </w:style>
  <w:style w:type="paragraph" w:customStyle="1" w:styleId="34">
    <w:name w:val="Table Paragraph"/>
    <w:basedOn w:val="1"/>
    <w:autoRedefine/>
    <w:semiHidden/>
    <w:qFormat/>
    <w:uiPriority w:val="99"/>
    <w:pPr>
      <w:widowControl/>
      <w:jc w:val="left"/>
    </w:pPr>
    <w:rPr>
      <w:rFonts w:ascii="Calibri" w:hAnsi="Calibri" w:cs="宋体"/>
      <w:kern w:val="0"/>
      <w:sz w:val="22"/>
      <w:szCs w:val="22"/>
    </w:rPr>
  </w:style>
  <w:style w:type="paragraph" w:customStyle="1" w:styleId="35">
    <w:name w:val="5正文"/>
    <w:autoRedefine/>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36">
    <w:name w:val="07表格内容"/>
    <w:autoRedefine/>
    <w:qFormat/>
    <w:uiPriority w:val="0"/>
    <w:pPr>
      <w:widowControl w:val="0"/>
      <w:spacing w:line="360" w:lineRule="exact"/>
      <w:jc w:val="center"/>
    </w:pPr>
    <w:rPr>
      <w:rFonts w:ascii="Times New Roman" w:hAnsi="Times New Roman" w:eastAsia="宋体" w:cs="Times New Roman"/>
      <w:szCs w:val="24"/>
      <w:lang w:val="en-US" w:eastAsia="zh-CN" w:bidi="ar-SA"/>
    </w:rPr>
  </w:style>
  <w:style w:type="paragraph" w:customStyle="1" w:styleId="37">
    <w:name w:val="书"/>
    <w:basedOn w:val="1"/>
    <w:autoRedefine/>
    <w:qFormat/>
    <w:uiPriority w:val="0"/>
    <w:pPr>
      <w:spacing w:line="520" w:lineRule="exact"/>
    </w:pPr>
    <w:rPr>
      <w:rFonts w:ascii="楷体_GB2312" w:hAnsi="宋体" w:eastAsia="楷体_GB2312" w:cs="宋体"/>
      <w:b/>
      <w:sz w:val="28"/>
      <w:szCs w:val="28"/>
    </w:rPr>
  </w:style>
  <w:style w:type="paragraph" w:customStyle="1" w:styleId="38">
    <w:name w:val="表格内容5号"/>
    <w:autoRedefine/>
    <w:qFormat/>
    <w:uiPriority w:val="0"/>
    <w:pPr>
      <w:widowControl w:val="0"/>
      <w:snapToGrid w:val="0"/>
      <w:spacing w:line="320" w:lineRule="atLeast"/>
      <w:jc w:val="center"/>
    </w:pPr>
    <w:rPr>
      <w:rFonts w:ascii="Times New Roman" w:hAnsi="Times New Roman" w:eastAsia="宋体" w:cs="Times New Roman"/>
      <w:kern w:val="2"/>
      <w:sz w:val="21"/>
      <w:szCs w:val="24"/>
      <w:lang w:val="en-US" w:eastAsia="zh-CN" w:bidi="ar-SA"/>
    </w:rPr>
  </w:style>
  <w:style w:type="character" w:customStyle="1" w:styleId="39">
    <w:name w:val="font11"/>
    <w:basedOn w:val="23"/>
    <w:autoRedefine/>
    <w:qFormat/>
    <w:uiPriority w:val="0"/>
    <w:rPr>
      <w:rFonts w:hint="default" w:ascii="Times New Roman" w:hAnsi="Times New Roman" w:cs="Times New Roman"/>
      <w:color w:val="000000"/>
      <w:sz w:val="21"/>
      <w:szCs w:val="21"/>
      <w:u w:val="none"/>
    </w:rPr>
  </w:style>
  <w:style w:type="paragraph" w:customStyle="1" w:styleId="40">
    <w:name w:val="刘正文"/>
    <w:basedOn w:val="1"/>
    <w:autoRedefine/>
    <w:qFormat/>
    <w:uiPriority w:val="0"/>
    <w:pPr>
      <w:spacing w:line="460" w:lineRule="exact"/>
      <w:ind w:firstLine="480" w:firstLineChars="200"/>
      <w:jc w:val="left"/>
    </w:pPr>
    <w:rPr>
      <w:color w:val="000000"/>
      <w:sz w:val="24"/>
    </w:rPr>
  </w:style>
  <w:style w:type="paragraph" w:customStyle="1" w:styleId="41">
    <w:name w:val="05正文"/>
    <w:basedOn w:val="1"/>
    <w:autoRedefine/>
    <w:qFormat/>
    <w:uiPriority w:val="0"/>
    <w:pPr>
      <w:spacing w:line="500" w:lineRule="exact"/>
      <w:ind w:firstLine="200" w:firstLineChars="200"/>
    </w:pPr>
    <w:rPr>
      <w:sz w:val="24"/>
    </w:rPr>
  </w:style>
  <w:style w:type="paragraph" w:customStyle="1" w:styleId="42">
    <w:name w:val="报告书正文"/>
    <w:basedOn w:val="1"/>
    <w:autoRedefine/>
    <w:qFormat/>
    <w:uiPriority w:val="0"/>
    <w:pPr>
      <w:autoSpaceDE w:val="0"/>
      <w:autoSpaceDN w:val="0"/>
      <w:spacing w:line="520" w:lineRule="exact"/>
      <w:ind w:firstLine="200" w:firstLineChars="200"/>
    </w:pPr>
    <w:rPr>
      <w:rFonts w:eastAsia="宋体"/>
      <w:kern w:val="2"/>
      <w:sz w:val="28"/>
      <w:szCs w:val="28"/>
      <w:lang w:val="en-US" w:eastAsia="zh-CN" w:bidi="ar-SA"/>
    </w:rPr>
  </w:style>
  <w:style w:type="paragraph" w:customStyle="1" w:styleId="43">
    <w:name w:val="张正文"/>
    <w:basedOn w:val="1"/>
    <w:autoRedefine/>
    <w:qFormat/>
    <w:uiPriority w:val="0"/>
    <w:pPr>
      <w:adjustRightInd w:val="0"/>
      <w:snapToGrid w:val="0"/>
      <w:spacing w:line="500" w:lineRule="exact"/>
      <w:ind w:firstLine="720" w:firstLineChars="200"/>
    </w:pPr>
    <w:rPr>
      <w:kern w:val="0"/>
      <w:sz w:val="24"/>
      <w:szCs w:val="22"/>
    </w:rPr>
  </w:style>
  <w:style w:type="paragraph" w:customStyle="1" w:styleId="44">
    <w:name w:val="报告正文"/>
    <w:basedOn w:val="1"/>
    <w:autoRedefine/>
    <w:qFormat/>
    <w:uiPriority w:val="0"/>
    <w:pPr>
      <w:snapToGrid w:val="0"/>
      <w:spacing w:line="360" w:lineRule="auto"/>
      <w:ind w:firstLine="200" w:firstLineChars="200"/>
    </w:pPr>
    <w:rPr>
      <w:rFonts w:ascii="宋体" w:hAnsi="宋体"/>
      <w:sz w:val="28"/>
    </w:rPr>
  </w:style>
  <w:style w:type="paragraph" w:customStyle="1" w:styleId="45">
    <w:name w:val="表格"/>
    <w:basedOn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1文章"/>
    <w:basedOn w:val="1"/>
    <w:qFormat/>
    <w:uiPriority w:val="0"/>
    <w:pPr>
      <w:snapToGrid w:val="0"/>
      <w:spacing w:line="360" w:lineRule="auto"/>
      <w:ind w:firstLine="573"/>
    </w:pPr>
    <w:rPr>
      <w:rFonts w:ascii="Times New Roman" w:hAnsi="Times New Roman" w:eastAsia="仿宋_GB2312"/>
      <w:szCs w:val="24"/>
    </w:rPr>
  </w:style>
  <w:style w:type="paragraph" w:customStyle="1" w:styleId="48">
    <w:name w:val="表格文字"/>
    <w:basedOn w:val="1"/>
    <w:qFormat/>
    <w:uiPriority w:val="0"/>
    <w:pPr>
      <w:widowControl/>
      <w:adjustRightInd w:val="0"/>
      <w:snapToGrid w:val="0"/>
      <w:spacing w:line="360" w:lineRule="exact"/>
      <w:ind w:firstLine="480" w:firstLineChars="200"/>
    </w:pPr>
    <w:rPr>
      <w:rFonts w:ascii="Times New Roman" w:hAnsi="Times New Roman" w:eastAsia="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em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14170</Words>
  <Characters>14851</Characters>
  <Lines>0</Lines>
  <Paragraphs>0</Paragraphs>
  <TotalTime>31</TotalTime>
  <ScaleCrop>false</ScaleCrop>
  <LinksUpToDate>false</LinksUpToDate>
  <CharactersWithSpaces>14910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2024-09-04T01:56:00Z</dcterms:created>
  <dc:creator>XINL</dc:creator>
  <cp:lastModifiedBy>XINL</cp:lastModifiedBy>
  <dcterms:modified xsi:type="dcterms:W3CDTF">2024-11-12T09:33:03Z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16D4173EC49C4A9AAA73D92E869D6A5B_13</vt:lpwstr>
  </property>
</Properties>
</file>