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F4F82">
      <w:pPr>
        <w:pStyle w:val="3"/>
        <w:rPr>
          <w:b w:val="0"/>
          <w:bCs w:val="0"/>
          <w:u w:val="none"/>
        </w:rPr>
      </w:pPr>
      <w:r>
        <w:rPr>
          <w:rFonts w:hint="eastAsia"/>
          <w:b w:val="0"/>
          <w:bCs w:val="0"/>
          <w:u w:val="none"/>
        </w:rPr>
        <w:t>建设项目基本情况</w:t>
      </w:r>
    </w:p>
    <w:tbl>
      <w:tblPr>
        <w:tblStyle w:val="27"/>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18"/>
        <w:gridCol w:w="2401"/>
        <w:gridCol w:w="2212"/>
        <w:gridCol w:w="2639"/>
      </w:tblGrid>
      <w:tr w14:paraId="23FAC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18" w:type="dxa"/>
            <w:tcBorders>
              <w:top w:val="single" w:color="auto" w:sz="8" w:space="0"/>
              <w:left w:val="single" w:color="auto" w:sz="8" w:space="0"/>
              <w:bottom w:val="single" w:color="auto" w:sz="4" w:space="0"/>
              <w:right w:val="single" w:color="auto" w:sz="4" w:space="0"/>
            </w:tcBorders>
            <w:tcMar>
              <w:top w:w="16" w:type="dxa"/>
              <w:left w:w="16" w:type="dxa"/>
              <w:bottom w:w="0" w:type="dxa"/>
              <w:right w:w="16" w:type="dxa"/>
            </w:tcMar>
            <w:vAlign w:val="center"/>
          </w:tcPr>
          <w:p w14:paraId="6AEA14CD">
            <w:pPr>
              <w:jc w:val="center"/>
              <w:rPr>
                <w:b w:val="0"/>
                <w:bCs w:val="0"/>
                <w:u w:val="none"/>
              </w:rPr>
            </w:pPr>
            <w:r>
              <w:rPr>
                <w:rFonts w:hint="eastAsia"/>
                <w:b w:val="0"/>
                <w:bCs w:val="0"/>
                <w:u w:val="none"/>
              </w:rPr>
              <w:t>建设项目名称</w:t>
            </w:r>
          </w:p>
        </w:tc>
        <w:tc>
          <w:tcPr>
            <w:tcW w:w="7252" w:type="dxa"/>
            <w:gridSpan w:val="3"/>
            <w:tcBorders>
              <w:top w:val="single" w:color="auto" w:sz="8" w:space="0"/>
              <w:left w:val="single" w:color="auto" w:sz="4" w:space="0"/>
              <w:bottom w:val="single" w:color="auto" w:sz="4" w:space="0"/>
              <w:right w:val="single" w:color="auto" w:sz="8" w:space="0"/>
            </w:tcBorders>
            <w:vAlign w:val="center"/>
          </w:tcPr>
          <w:p w14:paraId="312CEFDD">
            <w:pPr>
              <w:jc w:val="center"/>
              <w:rPr>
                <w:b w:val="0"/>
                <w:bCs w:val="0"/>
                <w:u w:val="none"/>
              </w:rPr>
            </w:pPr>
            <w:r>
              <w:rPr>
                <w:rFonts w:hint="eastAsia"/>
                <w:b w:val="0"/>
                <w:bCs w:val="0"/>
                <w:u w:val="none"/>
              </w:rPr>
              <w:t>平顶山尼龙产业园工业气体岛一期项目</w:t>
            </w:r>
          </w:p>
        </w:tc>
      </w:tr>
      <w:tr w14:paraId="16685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18" w:type="dxa"/>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65BCEE67">
            <w:pPr>
              <w:jc w:val="center"/>
              <w:rPr>
                <w:b w:val="0"/>
                <w:bCs w:val="0"/>
                <w:u w:val="none"/>
              </w:rPr>
            </w:pPr>
            <w:r>
              <w:rPr>
                <w:rFonts w:hint="eastAsia"/>
                <w:b w:val="0"/>
                <w:bCs w:val="0"/>
                <w:u w:val="none"/>
              </w:rPr>
              <w:t>项目代码</w:t>
            </w:r>
          </w:p>
        </w:tc>
        <w:tc>
          <w:tcPr>
            <w:tcW w:w="7252" w:type="dxa"/>
            <w:gridSpan w:val="3"/>
            <w:tcBorders>
              <w:top w:val="single" w:color="auto" w:sz="4" w:space="0"/>
              <w:left w:val="single" w:color="auto" w:sz="4" w:space="0"/>
              <w:bottom w:val="single" w:color="auto" w:sz="4" w:space="0"/>
              <w:right w:val="single" w:color="auto" w:sz="8" w:space="0"/>
            </w:tcBorders>
            <w:vAlign w:val="center"/>
          </w:tcPr>
          <w:p w14:paraId="1C12C04F">
            <w:pPr>
              <w:jc w:val="center"/>
              <w:rPr>
                <w:b w:val="0"/>
                <w:bCs w:val="0"/>
                <w:u w:val="none"/>
              </w:rPr>
            </w:pPr>
            <w:r>
              <w:rPr>
                <w:b w:val="0"/>
                <w:bCs w:val="0"/>
                <w:u w:val="none"/>
              </w:rPr>
              <w:t>2205-410422-04-01-346744</w:t>
            </w:r>
          </w:p>
        </w:tc>
      </w:tr>
      <w:tr w14:paraId="557CB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18" w:type="dxa"/>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3BD83C2A">
            <w:pPr>
              <w:jc w:val="center"/>
              <w:rPr>
                <w:b w:val="0"/>
                <w:bCs w:val="0"/>
                <w:u w:val="none"/>
              </w:rPr>
            </w:pPr>
            <w:r>
              <w:rPr>
                <w:rFonts w:hint="eastAsia"/>
                <w:b w:val="0"/>
                <w:bCs w:val="0"/>
                <w:u w:val="none"/>
              </w:rPr>
              <w:t>建设单位联系人</w:t>
            </w:r>
          </w:p>
        </w:tc>
        <w:tc>
          <w:tcPr>
            <w:tcW w:w="2401" w:type="dxa"/>
            <w:tcBorders>
              <w:top w:val="single" w:color="auto" w:sz="4" w:space="0"/>
              <w:left w:val="single" w:color="auto" w:sz="4" w:space="0"/>
              <w:bottom w:val="single" w:color="auto" w:sz="4" w:space="0"/>
              <w:right w:val="single" w:color="auto" w:sz="4" w:space="0"/>
            </w:tcBorders>
            <w:vAlign w:val="center"/>
          </w:tcPr>
          <w:p w14:paraId="7188EABA">
            <w:pPr>
              <w:jc w:val="center"/>
              <w:rPr>
                <w:b w:val="0"/>
                <w:bCs w:val="0"/>
                <w:u w:val="none"/>
              </w:rPr>
            </w:pPr>
            <w:r>
              <w:rPr>
                <w:rFonts w:hint="eastAsia"/>
                <w:b w:val="0"/>
                <w:bCs w:val="0"/>
                <w:u w:val="none"/>
              </w:rPr>
              <w:t>郭新杰</w:t>
            </w:r>
          </w:p>
        </w:tc>
        <w:tc>
          <w:tcPr>
            <w:tcW w:w="2212" w:type="dxa"/>
            <w:tcBorders>
              <w:top w:val="single" w:color="auto" w:sz="4" w:space="0"/>
              <w:left w:val="single" w:color="auto" w:sz="4" w:space="0"/>
              <w:bottom w:val="single" w:color="auto" w:sz="4" w:space="0"/>
              <w:right w:val="single" w:color="auto" w:sz="4" w:space="0"/>
            </w:tcBorders>
            <w:vAlign w:val="center"/>
          </w:tcPr>
          <w:p w14:paraId="2CA1C8C0">
            <w:pPr>
              <w:jc w:val="center"/>
              <w:rPr>
                <w:b w:val="0"/>
                <w:bCs w:val="0"/>
                <w:u w:val="none"/>
              </w:rPr>
            </w:pPr>
            <w:r>
              <w:rPr>
                <w:rFonts w:hint="eastAsia"/>
                <w:b w:val="0"/>
                <w:bCs w:val="0"/>
                <w:u w:val="none"/>
              </w:rPr>
              <w:t>联系方式</w:t>
            </w:r>
          </w:p>
        </w:tc>
        <w:tc>
          <w:tcPr>
            <w:tcW w:w="2639" w:type="dxa"/>
            <w:tcBorders>
              <w:top w:val="single" w:color="auto" w:sz="4" w:space="0"/>
              <w:left w:val="single" w:color="auto" w:sz="4" w:space="0"/>
              <w:bottom w:val="single" w:color="auto" w:sz="4" w:space="0"/>
              <w:right w:val="single" w:color="auto" w:sz="8" w:space="0"/>
            </w:tcBorders>
            <w:vAlign w:val="center"/>
          </w:tcPr>
          <w:p w14:paraId="559F25DF">
            <w:pPr>
              <w:jc w:val="center"/>
              <w:rPr>
                <w:b w:val="0"/>
                <w:bCs w:val="0"/>
                <w:u w:val="none"/>
              </w:rPr>
            </w:pPr>
            <w:r>
              <w:rPr>
                <w:rFonts w:hint="eastAsia"/>
                <w:b w:val="0"/>
                <w:bCs w:val="0"/>
                <w:u w:val="none"/>
              </w:rPr>
              <w:t>189 3719 9827</w:t>
            </w:r>
          </w:p>
        </w:tc>
      </w:tr>
      <w:tr w14:paraId="5CD0ED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18" w:type="dxa"/>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2CA11AA3">
            <w:pPr>
              <w:jc w:val="center"/>
              <w:rPr>
                <w:b w:val="0"/>
                <w:bCs w:val="0"/>
                <w:u w:val="none"/>
              </w:rPr>
            </w:pPr>
            <w:r>
              <w:rPr>
                <w:rFonts w:hint="eastAsia"/>
                <w:b w:val="0"/>
                <w:bCs w:val="0"/>
                <w:u w:val="none"/>
              </w:rPr>
              <w:t>建设地点</w:t>
            </w:r>
          </w:p>
        </w:tc>
        <w:tc>
          <w:tcPr>
            <w:tcW w:w="7252" w:type="dxa"/>
            <w:gridSpan w:val="3"/>
            <w:tcBorders>
              <w:top w:val="single" w:color="auto" w:sz="4" w:space="0"/>
              <w:left w:val="single" w:color="auto" w:sz="4" w:space="0"/>
              <w:bottom w:val="single" w:color="auto" w:sz="4" w:space="0"/>
              <w:right w:val="single" w:color="auto" w:sz="8" w:space="0"/>
            </w:tcBorders>
            <w:vAlign w:val="center"/>
          </w:tcPr>
          <w:p w14:paraId="3B879E4E">
            <w:pPr>
              <w:jc w:val="center"/>
              <w:rPr>
                <w:b w:val="0"/>
                <w:bCs w:val="0"/>
                <w:u w:val="none"/>
              </w:rPr>
            </w:pPr>
            <w:r>
              <w:rPr>
                <w:rFonts w:hint="eastAsia"/>
                <w:b w:val="0"/>
                <w:bCs w:val="0"/>
                <w:u w:val="none"/>
              </w:rPr>
              <w:t>河南省平顶山市叶县平顶山尼龙新材料开发区</w:t>
            </w:r>
          </w:p>
        </w:tc>
      </w:tr>
      <w:tr w14:paraId="100AA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18" w:type="dxa"/>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564483E6">
            <w:pPr>
              <w:jc w:val="center"/>
              <w:rPr>
                <w:b w:val="0"/>
                <w:bCs w:val="0"/>
                <w:u w:val="none"/>
              </w:rPr>
            </w:pPr>
            <w:r>
              <w:rPr>
                <w:rFonts w:hint="eastAsia"/>
                <w:b w:val="0"/>
                <w:bCs w:val="0"/>
                <w:u w:val="none"/>
              </w:rPr>
              <w:t>地理坐标</w:t>
            </w:r>
          </w:p>
        </w:tc>
        <w:tc>
          <w:tcPr>
            <w:tcW w:w="7252" w:type="dxa"/>
            <w:gridSpan w:val="3"/>
            <w:tcBorders>
              <w:top w:val="single" w:color="auto" w:sz="4" w:space="0"/>
              <w:left w:val="single" w:color="auto" w:sz="4" w:space="0"/>
              <w:bottom w:val="single" w:color="auto" w:sz="4" w:space="0"/>
              <w:right w:val="single" w:color="auto" w:sz="8" w:space="0"/>
            </w:tcBorders>
            <w:vAlign w:val="center"/>
          </w:tcPr>
          <w:p w14:paraId="1D84F07D">
            <w:pPr>
              <w:jc w:val="center"/>
              <w:rPr>
                <w:b w:val="0"/>
                <w:bCs w:val="0"/>
                <w:u w:val="none"/>
              </w:rPr>
            </w:pPr>
            <w:r>
              <w:rPr>
                <w:rFonts w:hint="eastAsia"/>
                <w:b w:val="0"/>
                <w:bCs w:val="0"/>
                <w:u w:val="none"/>
              </w:rPr>
              <w:t>（  113 度  26  分  29.032  秒，  33   度  40   分   36.120 秒）</w:t>
            </w:r>
          </w:p>
        </w:tc>
      </w:tr>
      <w:tr w14:paraId="735626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18" w:type="dxa"/>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04D1415F">
            <w:pPr>
              <w:jc w:val="center"/>
              <w:rPr>
                <w:b w:val="0"/>
                <w:bCs w:val="0"/>
                <w:u w:val="none"/>
              </w:rPr>
            </w:pPr>
            <w:r>
              <w:rPr>
                <w:rFonts w:hint="eastAsia"/>
                <w:b w:val="0"/>
                <w:bCs w:val="0"/>
                <w:u w:val="none"/>
              </w:rPr>
              <w:t>国民经济</w:t>
            </w:r>
          </w:p>
          <w:p w14:paraId="6AC58378">
            <w:pPr>
              <w:jc w:val="center"/>
              <w:rPr>
                <w:b w:val="0"/>
                <w:bCs w:val="0"/>
                <w:u w:val="none"/>
              </w:rPr>
            </w:pPr>
            <w:r>
              <w:rPr>
                <w:rFonts w:hint="eastAsia"/>
                <w:b w:val="0"/>
                <w:bCs w:val="0"/>
                <w:u w:val="none"/>
              </w:rPr>
              <w:t>行业类别</w:t>
            </w:r>
          </w:p>
        </w:tc>
        <w:tc>
          <w:tcPr>
            <w:tcW w:w="2401" w:type="dxa"/>
            <w:tcBorders>
              <w:top w:val="single" w:color="auto" w:sz="4" w:space="0"/>
              <w:left w:val="single" w:color="auto" w:sz="4" w:space="0"/>
              <w:bottom w:val="single" w:color="auto" w:sz="4" w:space="0"/>
              <w:right w:val="single" w:color="auto" w:sz="4" w:space="0"/>
            </w:tcBorders>
            <w:vAlign w:val="center"/>
          </w:tcPr>
          <w:p w14:paraId="36518802">
            <w:pPr>
              <w:jc w:val="center"/>
              <w:rPr>
                <w:b w:val="0"/>
                <w:bCs w:val="0"/>
                <w:u w:val="none"/>
              </w:rPr>
            </w:pPr>
            <w:r>
              <w:rPr>
                <w:b w:val="0"/>
                <w:bCs w:val="0"/>
                <w:u w:val="none"/>
              </w:rPr>
              <w:t xml:space="preserve">C2619 </w:t>
            </w:r>
            <w:r>
              <w:rPr>
                <w:rFonts w:hint="eastAsia"/>
                <w:b w:val="0"/>
                <w:bCs w:val="0"/>
                <w:u w:val="none"/>
              </w:rPr>
              <w:t>其他基础化学原料制造</w:t>
            </w:r>
          </w:p>
        </w:tc>
        <w:tc>
          <w:tcPr>
            <w:tcW w:w="2212" w:type="dxa"/>
            <w:tcBorders>
              <w:top w:val="single" w:color="auto" w:sz="4" w:space="0"/>
              <w:left w:val="single" w:color="auto" w:sz="4" w:space="0"/>
              <w:bottom w:val="single" w:color="auto" w:sz="4" w:space="0"/>
              <w:right w:val="single" w:color="auto" w:sz="4" w:space="0"/>
            </w:tcBorders>
            <w:vAlign w:val="center"/>
          </w:tcPr>
          <w:p w14:paraId="70DB807A">
            <w:pPr>
              <w:jc w:val="center"/>
              <w:rPr>
                <w:b w:val="0"/>
                <w:bCs w:val="0"/>
                <w:u w:val="none"/>
              </w:rPr>
            </w:pPr>
            <w:bookmarkStart w:id="0" w:name="_Hlk49843745"/>
            <w:r>
              <w:rPr>
                <w:rFonts w:hint="eastAsia"/>
                <w:b w:val="0"/>
                <w:bCs w:val="0"/>
                <w:u w:val="none"/>
              </w:rPr>
              <w:t>建设项目</w:t>
            </w:r>
            <w:bookmarkEnd w:id="0"/>
          </w:p>
          <w:p w14:paraId="2FDCBAAA">
            <w:pPr>
              <w:jc w:val="center"/>
              <w:rPr>
                <w:b w:val="0"/>
                <w:bCs w:val="0"/>
                <w:u w:val="none"/>
              </w:rPr>
            </w:pPr>
            <w:r>
              <w:rPr>
                <w:rFonts w:hint="eastAsia"/>
                <w:b w:val="0"/>
                <w:bCs w:val="0"/>
                <w:u w:val="none"/>
              </w:rPr>
              <w:t>行业类别</w:t>
            </w:r>
          </w:p>
        </w:tc>
        <w:tc>
          <w:tcPr>
            <w:tcW w:w="2639" w:type="dxa"/>
            <w:tcBorders>
              <w:top w:val="single" w:color="auto" w:sz="4" w:space="0"/>
              <w:left w:val="single" w:color="auto" w:sz="4" w:space="0"/>
              <w:bottom w:val="single" w:color="auto" w:sz="4" w:space="0"/>
              <w:right w:val="single" w:color="auto" w:sz="8" w:space="0"/>
            </w:tcBorders>
            <w:vAlign w:val="center"/>
          </w:tcPr>
          <w:p w14:paraId="41F1C66D">
            <w:pPr>
              <w:jc w:val="center"/>
              <w:rPr>
                <w:b w:val="0"/>
                <w:bCs w:val="0"/>
                <w:u w:val="none"/>
              </w:rPr>
            </w:pPr>
            <w:r>
              <w:rPr>
                <w:rFonts w:hint="eastAsia"/>
                <w:b w:val="0"/>
                <w:bCs w:val="0"/>
                <w:u w:val="none"/>
              </w:rPr>
              <w:t>二十三、化学原料和化学制品制造业中第</w:t>
            </w:r>
            <w:r>
              <w:rPr>
                <w:b w:val="0"/>
                <w:bCs w:val="0"/>
                <w:u w:val="none"/>
              </w:rPr>
              <w:t>44</w:t>
            </w:r>
            <w:r>
              <w:rPr>
                <w:rFonts w:hint="eastAsia"/>
                <w:b w:val="0"/>
                <w:bCs w:val="0"/>
                <w:u w:val="none"/>
              </w:rPr>
              <w:t xml:space="preserve">条基础化学原料制造 </w:t>
            </w:r>
            <w:r>
              <w:rPr>
                <w:b w:val="0"/>
                <w:bCs w:val="0"/>
                <w:u w:val="none"/>
              </w:rPr>
              <w:t>261</w:t>
            </w:r>
          </w:p>
        </w:tc>
      </w:tr>
      <w:tr w14:paraId="54E09A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18" w:type="dxa"/>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4AFEB47D">
            <w:pPr>
              <w:jc w:val="center"/>
              <w:rPr>
                <w:b w:val="0"/>
                <w:bCs w:val="0"/>
                <w:u w:val="none"/>
              </w:rPr>
            </w:pPr>
            <w:r>
              <w:rPr>
                <w:rFonts w:hint="eastAsia"/>
                <w:b w:val="0"/>
                <w:bCs w:val="0"/>
                <w:u w:val="none"/>
              </w:rPr>
              <w:t>建设性质</w:t>
            </w:r>
          </w:p>
        </w:tc>
        <w:tc>
          <w:tcPr>
            <w:tcW w:w="2401" w:type="dxa"/>
            <w:tcBorders>
              <w:top w:val="single" w:color="auto" w:sz="4" w:space="0"/>
              <w:left w:val="single" w:color="auto" w:sz="4" w:space="0"/>
              <w:bottom w:val="single" w:color="auto" w:sz="4" w:space="0"/>
              <w:right w:val="single" w:color="auto" w:sz="4" w:space="0"/>
            </w:tcBorders>
            <w:vAlign w:val="center"/>
          </w:tcPr>
          <w:p w14:paraId="285EEB50">
            <w:pPr>
              <w:jc w:val="left"/>
              <w:rPr>
                <w:b w:val="0"/>
                <w:bCs w:val="0"/>
                <w:u w:val="none"/>
              </w:rPr>
            </w:pPr>
            <w:r>
              <w:rPr>
                <w:rFonts w:hint="eastAsia"/>
                <w:b w:val="0"/>
                <w:bCs w:val="0"/>
                <w:u w:val="none"/>
              </w:rPr>
              <w:t>☑新建（迁建）</w:t>
            </w:r>
          </w:p>
          <w:p w14:paraId="5C7635FA">
            <w:pPr>
              <w:jc w:val="left"/>
              <w:rPr>
                <w:b w:val="0"/>
                <w:bCs w:val="0"/>
                <w:u w:val="none"/>
              </w:rPr>
            </w:pPr>
            <w:r>
              <w:rPr>
                <w:rFonts w:hint="eastAsia"/>
                <w:b w:val="0"/>
                <w:bCs w:val="0"/>
                <w:u w:val="none"/>
              </w:rPr>
              <w:t>□改建</w:t>
            </w:r>
          </w:p>
          <w:p w14:paraId="3E019076">
            <w:pPr>
              <w:jc w:val="left"/>
              <w:rPr>
                <w:b w:val="0"/>
                <w:bCs w:val="0"/>
                <w:u w:val="none"/>
              </w:rPr>
            </w:pPr>
            <w:r>
              <w:rPr>
                <w:rFonts w:hint="eastAsia"/>
                <w:b w:val="0"/>
                <w:bCs w:val="0"/>
                <w:u w:val="none"/>
              </w:rPr>
              <w:t>□扩建</w:t>
            </w:r>
          </w:p>
          <w:p w14:paraId="5D0FD422">
            <w:pPr>
              <w:jc w:val="left"/>
              <w:rPr>
                <w:b w:val="0"/>
                <w:bCs w:val="0"/>
                <w:u w:val="none"/>
              </w:rPr>
            </w:pPr>
            <w:r>
              <w:rPr>
                <w:rFonts w:hint="eastAsia"/>
                <w:b w:val="0"/>
                <w:bCs w:val="0"/>
                <w:u w:val="none"/>
              </w:rPr>
              <w:t>□技术改造</w:t>
            </w:r>
          </w:p>
        </w:tc>
        <w:tc>
          <w:tcPr>
            <w:tcW w:w="2212" w:type="dxa"/>
            <w:tcBorders>
              <w:top w:val="single" w:color="auto" w:sz="4" w:space="0"/>
              <w:left w:val="single" w:color="auto" w:sz="4" w:space="0"/>
              <w:bottom w:val="single" w:color="auto" w:sz="4" w:space="0"/>
              <w:right w:val="single" w:color="auto" w:sz="4" w:space="0"/>
            </w:tcBorders>
            <w:vAlign w:val="center"/>
          </w:tcPr>
          <w:p w14:paraId="434A1151">
            <w:pPr>
              <w:jc w:val="center"/>
              <w:rPr>
                <w:b w:val="0"/>
                <w:bCs w:val="0"/>
                <w:u w:val="none"/>
              </w:rPr>
            </w:pPr>
            <w:r>
              <w:rPr>
                <w:rFonts w:hint="eastAsia"/>
                <w:b w:val="0"/>
                <w:bCs w:val="0"/>
                <w:u w:val="none"/>
              </w:rPr>
              <w:t>建设项目</w:t>
            </w:r>
          </w:p>
          <w:p w14:paraId="0B8718A9">
            <w:pPr>
              <w:jc w:val="center"/>
              <w:rPr>
                <w:b w:val="0"/>
                <w:bCs w:val="0"/>
                <w:u w:val="none"/>
              </w:rPr>
            </w:pPr>
            <w:r>
              <w:rPr>
                <w:rFonts w:hint="eastAsia"/>
                <w:b w:val="0"/>
                <w:bCs w:val="0"/>
                <w:u w:val="none"/>
              </w:rPr>
              <w:t>申报情形</w:t>
            </w:r>
          </w:p>
        </w:tc>
        <w:tc>
          <w:tcPr>
            <w:tcW w:w="2639" w:type="dxa"/>
            <w:tcBorders>
              <w:top w:val="single" w:color="auto" w:sz="4" w:space="0"/>
              <w:left w:val="single" w:color="auto" w:sz="4" w:space="0"/>
              <w:bottom w:val="single" w:color="auto" w:sz="4" w:space="0"/>
              <w:right w:val="single" w:color="auto" w:sz="8" w:space="0"/>
            </w:tcBorders>
            <w:vAlign w:val="center"/>
          </w:tcPr>
          <w:p w14:paraId="58C9C2C4">
            <w:pPr>
              <w:jc w:val="left"/>
              <w:rPr>
                <w:b w:val="0"/>
                <w:bCs w:val="0"/>
                <w:u w:val="none"/>
              </w:rPr>
            </w:pPr>
            <w:r>
              <w:rPr>
                <w:rFonts w:hint="eastAsia"/>
                <w:b w:val="0"/>
                <w:bCs w:val="0"/>
                <w:u w:val="none"/>
              </w:rPr>
              <w:t>☑首次申报项目</w:t>
            </w:r>
          </w:p>
          <w:p w14:paraId="4F41BBF5">
            <w:pPr>
              <w:jc w:val="left"/>
              <w:rPr>
                <w:b w:val="0"/>
                <w:bCs w:val="0"/>
                <w:u w:val="none"/>
              </w:rPr>
            </w:pPr>
            <w:r>
              <w:rPr>
                <w:rFonts w:hint="eastAsia"/>
                <w:b w:val="0"/>
                <w:bCs w:val="0"/>
                <w:u w:val="none"/>
              </w:rPr>
              <w:t>□不予批准后再次申报项目</w:t>
            </w:r>
          </w:p>
          <w:p w14:paraId="27D48F48">
            <w:pPr>
              <w:jc w:val="left"/>
              <w:rPr>
                <w:b w:val="0"/>
                <w:bCs w:val="0"/>
                <w:u w:val="none"/>
              </w:rPr>
            </w:pPr>
            <w:r>
              <w:rPr>
                <w:rFonts w:hint="eastAsia"/>
                <w:b w:val="0"/>
                <w:bCs w:val="0"/>
                <w:u w:val="none"/>
              </w:rPr>
              <w:t>□超五年重新审核项目</w:t>
            </w:r>
          </w:p>
          <w:p w14:paraId="20897880">
            <w:pPr>
              <w:jc w:val="left"/>
              <w:rPr>
                <w:b w:val="0"/>
                <w:bCs w:val="0"/>
                <w:u w:val="none"/>
              </w:rPr>
            </w:pPr>
            <w:r>
              <w:rPr>
                <w:rFonts w:hint="eastAsia"/>
                <w:b w:val="0"/>
                <w:bCs w:val="0"/>
                <w:u w:val="none"/>
              </w:rPr>
              <w:t>□重大变动重新报批项目</w:t>
            </w:r>
          </w:p>
        </w:tc>
      </w:tr>
      <w:tr w14:paraId="1C6F7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618" w:type="dxa"/>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47A50497">
            <w:pPr>
              <w:jc w:val="center"/>
              <w:rPr>
                <w:b w:val="0"/>
                <w:bCs w:val="0"/>
                <w:u w:val="none"/>
              </w:rPr>
            </w:pPr>
            <w:r>
              <w:rPr>
                <w:rFonts w:hint="eastAsia"/>
                <w:b w:val="0"/>
                <w:bCs w:val="0"/>
                <w:u w:val="none"/>
              </w:rPr>
              <w:t>项目审批部门</w:t>
            </w:r>
          </w:p>
        </w:tc>
        <w:tc>
          <w:tcPr>
            <w:tcW w:w="2401" w:type="dxa"/>
            <w:tcBorders>
              <w:top w:val="single" w:color="auto" w:sz="4" w:space="0"/>
              <w:left w:val="single" w:color="auto" w:sz="4" w:space="0"/>
              <w:bottom w:val="single" w:color="auto" w:sz="4" w:space="0"/>
              <w:right w:val="single" w:color="auto" w:sz="4" w:space="0"/>
            </w:tcBorders>
            <w:vAlign w:val="center"/>
          </w:tcPr>
          <w:p w14:paraId="20ADE40F">
            <w:pPr>
              <w:jc w:val="center"/>
              <w:rPr>
                <w:b w:val="0"/>
                <w:bCs w:val="0"/>
                <w:u w:val="none"/>
              </w:rPr>
            </w:pPr>
            <w:r>
              <w:rPr>
                <w:rFonts w:hint="eastAsia"/>
                <w:b w:val="0"/>
                <w:bCs w:val="0"/>
                <w:u w:val="none"/>
              </w:rPr>
              <w:t>平顶山尼龙新材料开发区管委会</w:t>
            </w:r>
          </w:p>
        </w:tc>
        <w:tc>
          <w:tcPr>
            <w:tcW w:w="2212" w:type="dxa"/>
            <w:tcBorders>
              <w:top w:val="single" w:color="auto" w:sz="4" w:space="0"/>
              <w:left w:val="single" w:color="auto" w:sz="4" w:space="0"/>
              <w:bottom w:val="single" w:color="auto" w:sz="4" w:space="0"/>
              <w:right w:val="single" w:color="auto" w:sz="4" w:space="0"/>
            </w:tcBorders>
            <w:vAlign w:val="center"/>
          </w:tcPr>
          <w:p w14:paraId="4A12C6B3">
            <w:pPr>
              <w:jc w:val="center"/>
              <w:rPr>
                <w:b w:val="0"/>
                <w:bCs w:val="0"/>
                <w:u w:val="none"/>
              </w:rPr>
            </w:pPr>
            <w:r>
              <w:rPr>
                <w:rFonts w:hint="eastAsia"/>
                <w:b w:val="0"/>
                <w:bCs w:val="0"/>
                <w:u w:val="none"/>
              </w:rPr>
              <w:t>项目审批文号</w:t>
            </w:r>
          </w:p>
        </w:tc>
        <w:tc>
          <w:tcPr>
            <w:tcW w:w="2639" w:type="dxa"/>
            <w:tcBorders>
              <w:top w:val="single" w:color="auto" w:sz="4" w:space="0"/>
              <w:left w:val="single" w:color="auto" w:sz="4" w:space="0"/>
              <w:bottom w:val="single" w:color="auto" w:sz="4" w:space="0"/>
              <w:right w:val="single" w:color="auto" w:sz="8" w:space="0"/>
            </w:tcBorders>
            <w:vAlign w:val="center"/>
          </w:tcPr>
          <w:p w14:paraId="4D5DA428">
            <w:pPr>
              <w:jc w:val="center"/>
              <w:rPr>
                <w:b w:val="0"/>
                <w:bCs w:val="0"/>
                <w:u w:val="none"/>
              </w:rPr>
            </w:pPr>
            <w:r>
              <w:rPr>
                <w:rFonts w:hint="eastAsia"/>
                <w:b w:val="0"/>
                <w:bCs w:val="0"/>
                <w:u w:val="none"/>
              </w:rPr>
              <w:t>2205-410422-04-01-346744</w:t>
            </w:r>
          </w:p>
        </w:tc>
      </w:tr>
      <w:tr w14:paraId="432E9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18" w:type="dxa"/>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7B66559E">
            <w:pPr>
              <w:jc w:val="center"/>
              <w:rPr>
                <w:b w:val="0"/>
                <w:bCs w:val="0"/>
                <w:u w:val="none"/>
              </w:rPr>
            </w:pPr>
            <w:r>
              <w:rPr>
                <w:rFonts w:hint="eastAsia"/>
                <w:b w:val="0"/>
                <w:bCs w:val="0"/>
                <w:u w:val="none"/>
              </w:rPr>
              <w:t>总投资（万元）</w:t>
            </w:r>
          </w:p>
        </w:tc>
        <w:tc>
          <w:tcPr>
            <w:tcW w:w="2401" w:type="dxa"/>
            <w:tcBorders>
              <w:top w:val="single" w:color="auto" w:sz="4" w:space="0"/>
              <w:left w:val="single" w:color="auto" w:sz="4" w:space="0"/>
              <w:bottom w:val="single" w:color="auto" w:sz="4" w:space="0"/>
              <w:right w:val="single" w:color="auto" w:sz="4" w:space="0"/>
            </w:tcBorders>
            <w:vAlign w:val="center"/>
          </w:tcPr>
          <w:p w14:paraId="1FEF8B15">
            <w:pPr>
              <w:jc w:val="center"/>
              <w:rPr>
                <w:b w:val="0"/>
                <w:bCs w:val="0"/>
                <w:u w:val="none"/>
              </w:rPr>
            </w:pPr>
            <w:r>
              <w:rPr>
                <w:rFonts w:hint="eastAsia"/>
                <w:b w:val="0"/>
                <w:bCs w:val="0"/>
                <w:u w:val="none"/>
              </w:rPr>
              <w:t>31000</w:t>
            </w:r>
          </w:p>
        </w:tc>
        <w:tc>
          <w:tcPr>
            <w:tcW w:w="2212"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43B761B2">
            <w:pPr>
              <w:jc w:val="center"/>
              <w:rPr>
                <w:b w:val="0"/>
                <w:bCs w:val="0"/>
                <w:u w:val="none"/>
              </w:rPr>
            </w:pPr>
            <w:r>
              <w:rPr>
                <w:rFonts w:hint="eastAsia"/>
                <w:b w:val="0"/>
                <w:bCs w:val="0"/>
                <w:u w:val="none"/>
              </w:rPr>
              <w:t>环保投资（万元）</w:t>
            </w:r>
          </w:p>
        </w:tc>
        <w:tc>
          <w:tcPr>
            <w:tcW w:w="2639" w:type="dxa"/>
            <w:tcBorders>
              <w:top w:val="single" w:color="auto" w:sz="4" w:space="0"/>
              <w:left w:val="single" w:color="auto" w:sz="4" w:space="0"/>
              <w:bottom w:val="single" w:color="auto" w:sz="4" w:space="0"/>
              <w:right w:val="single" w:color="auto" w:sz="8" w:space="0"/>
            </w:tcBorders>
            <w:vAlign w:val="center"/>
          </w:tcPr>
          <w:p w14:paraId="6D2BC4ED">
            <w:pPr>
              <w:jc w:val="center"/>
              <w:rPr>
                <w:b w:val="0"/>
                <w:bCs w:val="0"/>
                <w:u w:val="none"/>
              </w:rPr>
            </w:pPr>
            <w:r>
              <w:rPr>
                <w:rFonts w:hint="eastAsia"/>
                <w:b w:val="0"/>
                <w:bCs w:val="0"/>
                <w:u w:val="none"/>
              </w:rPr>
              <w:t>210</w:t>
            </w:r>
          </w:p>
        </w:tc>
      </w:tr>
      <w:tr w14:paraId="6B220A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18" w:type="dxa"/>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6E002627">
            <w:pPr>
              <w:jc w:val="center"/>
              <w:rPr>
                <w:b w:val="0"/>
                <w:bCs w:val="0"/>
                <w:u w:val="none"/>
              </w:rPr>
            </w:pPr>
            <w:r>
              <w:rPr>
                <w:rFonts w:hint="eastAsia"/>
                <w:b w:val="0"/>
                <w:bCs w:val="0"/>
                <w:u w:val="none"/>
              </w:rPr>
              <w:t>环保投资占比（%）</w:t>
            </w:r>
          </w:p>
        </w:tc>
        <w:tc>
          <w:tcPr>
            <w:tcW w:w="2401" w:type="dxa"/>
            <w:tcBorders>
              <w:top w:val="single" w:color="auto" w:sz="4" w:space="0"/>
              <w:left w:val="single" w:color="auto" w:sz="4" w:space="0"/>
              <w:bottom w:val="single" w:color="auto" w:sz="4" w:space="0"/>
              <w:right w:val="single" w:color="auto" w:sz="4" w:space="0"/>
            </w:tcBorders>
            <w:vAlign w:val="center"/>
          </w:tcPr>
          <w:p w14:paraId="16C4A8D9">
            <w:pPr>
              <w:jc w:val="center"/>
              <w:rPr>
                <w:b w:val="0"/>
                <w:bCs w:val="0"/>
                <w:u w:val="none"/>
              </w:rPr>
            </w:pPr>
            <w:r>
              <w:rPr>
                <w:rFonts w:hint="eastAsia"/>
                <w:b w:val="0"/>
                <w:bCs w:val="0"/>
                <w:u w:val="none"/>
              </w:rPr>
              <w:t>0.68%</w:t>
            </w:r>
          </w:p>
        </w:tc>
        <w:tc>
          <w:tcPr>
            <w:tcW w:w="2212"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118E37EB">
            <w:pPr>
              <w:jc w:val="center"/>
              <w:rPr>
                <w:b w:val="0"/>
                <w:bCs w:val="0"/>
                <w:u w:val="none"/>
              </w:rPr>
            </w:pPr>
            <w:r>
              <w:rPr>
                <w:rFonts w:hint="eastAsia"/>
                <w:b w:val="0"/>
                <w:bCs w:val="0"/>
                <w:u w:val="none"/>
              </w:rPr>
              <w:t>施工工期</w:t>
            </w:r>
          </w:p>
        </w:tc>
        <w:tc>
          <w:tcPr>
            <w:tcW w:w="2639" w:type="dxa"/>
            <w:tcBorders>
              <w:top w:val="single" w:color="auto" w:sz="4" w:space="0"/>
              <w:left w:val="single" w:color="auto" w:sz="4" w:space="0"/>
              <w:bottom w:val="single" w:color="auto" w:sz="4" w:space="0"/>
              <w:right w:val="single" w:color="auto" w:sz="8" w:space="0"/>
            </w:tcBorders>
            <w:vAlign w:val="center"/>
          </w:tcPr>
          <w:p w14:paraId="1803F6DC">
            <w:pPr>
              <w:jc w:val="center"/>
              <w:rPr>
                <w:b w:val="0"/>
                <w:bCs w:val="0"/>
                <w:u w:val="none"/>
              </w:rPr>
            </w:pPr>
            <w:r>
              <w:rPr>
                <w:rFonts w:hint="eastAsia"/>
                <w:b w:val="0"/>
                <w:bCs w:val="0"/>
                <w:u w:val="none"/>
              </w:rPr>
              <w:t>10个月</w:t>
            </w:r>
          </w:p>
        </w:tc>
      </w:tr>
      <w:tr w14:paraId="1C3E2E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18" w:type="dxa"/>
            <w:tcBorders>
              <w:top w:val="single" w:color="auto" w:sz="4" w:space="0"/>
              <w:left w:val="single" w:color="auto" w:sz="8" w:space="0"/>
              <w:bottom w:val="single" w:color="auto" w:sz="4" w:space="0"/>
              <w:right w:val="single" w:color="auto" w:sz="4" w:space="0"/>
            </w:tcBorders>
            <w:tcMar>
              <w:top w:w="16" w:type="dxa"/>
              <w:left w:w="16" w:type="dxa"/>
              <w:bottom w:w="0" w:type="dxa"/>
              <w:right w:w="16" w:type="dxa"/>
            </w:tcMar>
            <w:vAlign w:val="center"/>
          </w:tcPr>
          <w:p w14:paraId="13EC1E70">
            <w:pPr>
              <w:jc w:val="center"/>
              <w:rPr>
                <w:b w:val="0"/>
                <w:bCs w:val="0"/>
                <w:u w:val="none"/>
              </w:rPr>
            </w:pPr>
            <w:r>
              <w:rPr>
                <w:rFonts w:hint="eastAsia"/>
                <w:b w:val="0"/>
                <w:bCs w:val="0"/>
                <w:u w:val="none"/>
              </w:rPr>
              <w:t>是否开工建设</w:t>
            </w:r>
          </w:p>
        </w:tc>
        <w:tc>
          <w:tcPr>
            <w:tcW w:w="2401" w:type="dxa"/>
            <w:tcBorders>
              <w:top w:val="single" w:color="auto" w:sz="4" w:space="0"/>
              <w:left w:val="single" w:color="auto" w:sz="4" w:space="0"/>
              <w:bottom w:val="single" w:color="auto" w:sz="4" w:space="0"/>
              <w:right w:val="single" w:color="auto" w:sz="4" w:space="0"/>
            </w:tcBorders>
            <w:vAlign w:val="center"/>
          </w:tcPr>
          <w:p w14:paraId="64585EDD">
            <w:pPr>
              <w:jc w:val="left"/>
              <w:rPr>
                <w:b w:val="0"/>
                <w:bCs w:val="0"/>
                <w:u w:val="none"/>
              </w:rPr>
            </w:pPr>
            <w:r>
              <w:rPr>
                <w:rFonts w:hint="eastAsia"/>
                <w:b w:val="0"/>
                <w:bCs w:val="0"/>
                <w:u w:val="none"/>
              </w:rPr>
              <w:t>☑否</w:t>
            </w:r>
          </w:p>
          <w:p w14:paraId="2D3C3C9F">
            <w:pPr>
              <w:jc w:val="left"/>
              <w:rPr>
                <w:b w:val="0"/>
                <w:bCs w:val="0"/>
                <w:u w:val="none"/>
              </w:rPr>
            </w:pPr>
            <w:r>
              <w:rPr>
                <w:rFonts w:hint="eastAsia"/>
                <w:b w:val="0"/>
                <w:bCs w:val="0"/>
                <w:u w:val="none"/>
              </w:rPr>
              <w:t>□是：</w:t>
            </w:r>
          </w:p>
        </w:tc>
        <w:tc>
          <w:tcPr>
            <w:tcW w:w="2212"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14:paraId="7AEE6EA8">
            <w:pPr>
              <w:jc w:val="center"/>
              <w:rPr>
                <w:b w:val="0"/>
                <w:bCs w:val="0"/>
                <w:spacing w:val="-6"/>
                <w:u w:val="none"/>
              </w:rPr>
            </w:pPr>
            <w:r>
              <w:rPr>
                <w:rFonts w:hint="eastAsia"/>
                <w:b w:val="0"/>
                <w:bCs w:val="0"/>
                <w:spacing w:val="-6"/>
                <w:u w:val="none"/>
              </w:rPr>
              <w:t>用地（用海）</w:t>
            </w:r>
          </w:p>
          <w:p w14:paraId="28182D80">
            <w:pPr>
              <w:jc w:val="center"/>
              <w:rPr>
                <w:b w:val="0"/>
                <w:bCs w:val="0"/>
                <w:u w:val="none"/>
              </w:rPr>
            </w:pPr>
            <w:r>
              <w:rPr>
                <w:rFonts w:hint="eastAsia"/>
                <w:b w:val="0"/>
                <w:bCs w:val="0"/>
                <w:spacing w:val="-6"/>
                <w:u w:val="none"/>
              </w:rPr>
              <w:t>面积（m</w:t>
            </w:r>
            <w:r>
              <w:rPr>
                <w:rFonts w:hint="eastAsia"/>
                <w:b w:val="0"/>
                <w:bCs w:val="0"/>
                <w:spacing w:val="-6"/>
                <w:u w:val="none"/>
                <w:vertAlign w:val="superscript"/>
              </w:rPr>
              <w:t>2</w:t>
            </w:r>
            <w:r>
              <w:rPr>
                <w:rFonts w:hint="eastAsia"/>
                <w:b w:val="0"/>
                <w:bCs w:val="0"/>
                <w:spacing w:val="-6"/>
                <w:u w:val="none"/>
              </w:rPr>
              <w:t>）</w:t>
            </w:r>
          </w:p>
        </w:tc>
        <w:tc>
          <w:tcPr>
            <w:tcW w:w="2639" w:type="dxa"/>
            <w:tcBorders>
              <w:top w:val="single" w:color="auto" w:sz="4" w:space="0"/>
              <w:left w:val="single" w:color="auto" w:sz="4" w:space="0"/>
              <w:bottom w:val="single" w:color="auto" w:sz="4" w:space="0"/>
              <w:right w:val="single" w:color="auto" w:sz="8" w:space="0"/>
            </w:tcBorders>
            <w:vAlign w:val="center"/>
          </w:tcPr>
          <w:p w14:paraId="429654C0">
            <w:pPr>
              <w:jc w:val="center"/>
              <w:rPr>
                <w:b w:val="0"/>
                <w:bCs w:val="0"/>
                <w:u w:val="none"/>
              </w:rPr>
            </w:pPr>
            <w:r>
              <w:rPr>
                <w:rFonts w:hint="eastAsia"/>
                <w:b w:val="0"/>
                <w:bCs w:val="0"/>
                <w:u w:val="none"/>
              </w:rPr>
              <w:t>39984</w:t>
            </w:r>
          </w:p>
        </w:tc>
      </w:tr>
      <w:tr w14:paraId="23167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618"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1877B78E">
            <w:pPr>
              <w:jc w:val="center"/>
              <w:rPr>
                <w:b w:val="0"/>
                <w:bCs w:val="0"/>
                <w:kern w:val="0"/>
                <w:u w:val="none"/>
              </w:rPr>
            </w:pPr>
            <w:r>
              <w:rPr>
                <w:rFonts w:hint="eastAsia"/>
                <w:b w:val="0"/>
                <w:bCs w:val="0"/>
                <w:kern w:val="0"/>
                <w:u w:val="none"/>
              </w:rPr>
              <w:t>专项评价设置情况</w:t>
            </w:r>
          </w:p>
        </w:tc>
        <w:tc>
          <w:tcPr>
            <w:tcW w:w="7252" w:type="dxa"/>
            <w:gridSpan w:val="3"/>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43C9783C">
            <w:pPr>
              <w:jc w:val="center"/>
              <w:rPr>
                <w:b w:val="0"/>
                <w:bCs w:val="0"/>
                <w:kern w:val="0"/>
                <w:u w:val="none"/>
              </w:rPr>
            </w:pPr>
            <w:r>
              <w:rPr>
                <w:rFonts w:hint="eastAsia"/>
                <w:b w:val="0"/>
                <w:bCs w:val="0"/>
                <w:kern w:val="0"/>
                <w:u w:val="none"/>
              </w:rPr>
              <w:t>根据《建设项目环境影响报告表编制技术指南 （污染影响类）（试行）》要求，“有毒有害和易燃易爆危险物质存储量超过临界量的建设项目”需设置环境风险专项，本项目危险物质液氨、氨水等储存数量与临界量比值Q（</w:t>
            </w:r>
            <w:r>
              <w:rPr>
                <w:rFonts w:hint="eastAsia"/>
                <w:b w:val="0"/>
                <w:bCs w:val="0"/>
                <w:u w:val="none"/>
              </w:rPr>
              <w:t>33.141</w:t>
            </w:r>
            <w:r>
              <w:rPr>
                <w:rFonts w:hint="eastAsia"/>
                <w:b w:val="0"/>
                <w:bCs w:val="0"/>
                <w:kern w:val="0"/>
                <w:u w:val="none"/>
              </w:rPr>
              <w:t>）＞1，需设置环境风险专项评价。</w:t>
            </w:r>
          </w:p>
        </w:tc>
      </w:tr>
      <w:tr w14:paraId="10868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618"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2F160E44">
            <w:pPr>
              <w:jc w:val="center"/>
              <w:rPr>
                <w:b w:val="0"/>
                <w:bCs w:val="0"/>
                <w:kern w:val="0"/>
                <w:u w:val="none"/>
              </w:rPr>
            </w:pPr>
            <w:r>
              <w:rPr>
                <w:rFonts w:hint="eastAsia"/>
                <w:b w:val="0"/>
                <w:bCs w:val="0"/>
                <w:u w:val="none"/>
              </w:rPr>
              <w:t>规划情况</w:t>
            </w:r>
          </w:p>
        </w:tc>
        <w:tc>
          <w:tcPr>
            <w:tcW w:w="7252" w:type="dxa"/>
            <w:gridSpan w:val="3"/>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7C2E1FCA">
            <w:pPr>
              <w:jc w:val="center"/>
              <w:rPr>
                <w:b w:val="0"/>
                <w:bCs w:val="0"/>
                <w:kern w:val="0"/>
                <w:u w:val="none"/>
              </w:rPr>
            </w:pPr>
            <w:r>
              <w:rPr>
                <w:rFonts w:hint="eastAsia"/>
                <w:b w:val="0"/>
                <w:bCs w:val="0"/>
                <w:kern w:val="0"/>
                <w:u w:val="none"/>
              </w:rPr>
              <w:t>《平顶山尼龙新材料产业集聚区总体发展规划（2021-2030）》</w:t>
            </w:r>
          </w:p>
        </w:tc>
      </w:tr>
      <w:tr w14:paraId="63197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618"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1407961B">
            <w:pPr>
              <w:jc w:val="center"/>
              <w:rPr>
                <w:b w:val="0"/>
                <w:bCs w:val="0"/>
                <w:u w:val="none"/>
              </w:rPr>
            </w:pPr>
            <w:r>
              <w:rPr>
                <w:rFonts w:hint="eastAsia"/>
                <w:b w:val="0"/>
                <w:bCs w:val="0"/>
                <w:u w:val="none"/>
              </w:rPr>
              <w:t>规划环境影响</w:t>
            </w:r>
          </w:p>
          <w:p w14:paraId="0216544B">
            <w:pPr>
              <w:jc w:val="center"/>
              <w:rPr>
                <w:b w:val="0"/>
                <w:bCs w:val="0"/>
                <w:kern w:val="0"/>
                <w:u w:val="none"/>
              </w:rPr>
            </w:pPr>
            <w:r>
              <w:rPr>
                <w:rFonts w:hint="eastAsia"/>
                <w:b w:val="0"/>
                <w:bCs w:val="0"/>
                <w:u w:val="none"/>
              </w:rPr>
              <w:t>评价情况</w:t>
            </w:r>
          </w:p>
        </w:tc>
        <w:tc>
          <w:tcPr>
            <w:tcW w:w="7252" w:type="dxa"/>
            <w:gridSpan w:val="3"/>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2DAC637D">
            <w:pPr>
              <w:rPr>
                <w:b w:val="0"/>
                <w:bCs w:val="0"/>
                <w:kern w:val="0"/>
                <w:u w:val="none"/>
              </w:rPr>
            </w:pPr>
            <w:r>
              <w:rPr>
                <w:rFonts w:hint="eastAsia"/>
                <w:b w:val="0"/>
                <w:bCs w:val="0"/>
                <w:kern w:val="0"/>
                <w:u w:val="none"/>
              </w:rPr>
              <w:t>规划环境影响评价文件名称：《平顶山尼龙新材料产业集聚区总体发展规划（2021-2030）环境影响报告书》</w:t>
            </w:r>
          </w:p>
          <w:p w14:paraId="49718CA0">
            <w:pPr>
              <w:rPr>
                <w:b w:val="0"/>
                <w:bCs w:val="0"/>
                <w:kern w:val="0"/>
                <w:u w:val="none"/>
              </w:rPr>
            </w:pPr>
            <w:r>
              <w:rPr>
                <w:rFonts w:hint="eastAsia"/>
                <w:b w:val="0"/>
                <w:bCs w:val="0"/>
                <w:kern w:val="0"/>
                <w:u w:val="none"/>
              </w:rPr>
              <w:t>审批机关：河南省生态环境厅</w:t>
            </w:r>
          </w:p>
          <w:p w14:paraId="242CBB48">
            <w:pPr>
              <w:rPr>
                <w:b w:val="0"/>
                <w:bCs w:val="0"/>
                <w:kern w:val="0"/>
                <w:u w:val="none"/>
              </w:rPr>
            </w:pPr>
            <w:r>
              <w:rPr>
                <w:rFonts w:hint="eastAsia"/>
                <w:b w:val="0"/>
                <w:bCs w:val="0"/>
                <w:kern w:val="0"/>
                <w:u w:val="none"/>
              </w:rPr>
              <w:t>审批文件名称及文号：《平顶山尼龙新材料产业集聚区总体发展规划（2021-2030）环境影响报告的审查意见》豫环函〔2022〕19号</w:t>
            </w:r>
          </w:p>
        </w:tc>
      </w:tr>
      <w:tr w14:paraId="0C158E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618"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62A5864C">
            <w:pPr>
              <w:jc w:val="center"/>
              <w:rPr>
                <w:b w:val="0"/>
                <w:bCs w:val="0"/>
                <w:u w:val="none"/>
              </w:rPr>
            </w:pPr>
            <w:r>
              <w:rPr>
                <w:rFonts w:hint="eastAsia"/>
                <w:b w:val="0"/>
                <w:bCs w:val="0"/>
                <w:u w:val="none"/>
              </w:rPr>
              <w:t>规划及规划环境影响评价符合性分析</w:t>
            </w:r>
          </w:p>
        </w:tc>
        <w:tc>
          <w:tcPr>
            <w:tcW w:w="7252" w:type="dxa"/>
            <w:gridSpan w:val="3"/>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031DF20C">
            <w:pPr>
              <w:pStyle w:val="5"/>
              <w:rPr>
                <w:rFonts w:hint="default"/>
                <w:b w:val="0"/>
                <w:bCs w:val="0"/>
                <w:u w:val="none"/>
              </w:rPr>
            </w:pPr>
            <w:r>
              <w:rPr>
                <w:rFonts w:hint="default"/>
                <w:b w:val="0"/>
                <w:bCs w:val="0"/>
                <w:u w:val="none"/>
              </w:rPr>
              <w:t>尼龙新材料产业集聚区前身为2008年批准建设的平顶山化工产业集聚区，2016年更名为平顶山尼龙新材料产业集聚区，</w:t>
            </w:r>
            <w:r>
              <w:rPr>
                <w:b w:val="0"/>
                <w:bCs w:val="0"/>
                <w:u w:val="none"/>
              </w:rPr>
              <w:t>2023年</w:t>
            </w:r>
            <w:r>
              <w:rPr>
                <w:rFonts w:hint="default"/>
                <w:b w:val="0"/>
                <w:bCs w:val="0"/>
                <w:u w:val="none"/>
              </w:rPr>
              <w:t>2月经省政府同意</w:t>
            </w:r>
            <w:r>
              <w:rPr>
                <w:b w:val="0"/>
                <w:bCs w:val="0"/>
                <w:u w:val="none"/>
              </w:rPr>
              <w:t>，</w:t>
            </w:r>
            <w:r>
              <w:rPr>
                <w:rFonts w:hint="default"/>
                <w:b w:val="0"/>
                <w:bCs w:val="0"/>
                <w:u w:val="none"/>
              </w:rPr>
              <w:t>整合为平顶山尼龙新材料开发区。</w:t>
            </w:r>
          </w:p>
          <w:p w14:paraId="2EDB6112">
            <w:pPr>
              <w:pStyle w:val="5"/>
              <w:rPr>
                <w:rFonts w:hint="default"/>
                <w:b w:val="0"/>
                <w:bCs w:val="0"/>
                <w:kern w:val="0"/>
                <w:u w:val="none"/>
              </w:rPr>
            </w:pPr>
            <w:r>
              <w:rPr>
                <w:b w:val="0"/>
                <w:bCs w:val="0"/>
                <w:kern w:val="0"/>
                <w:u w:val="none"/>
              </w:rPr>
              <w:t>本项目利用河南神马氢化学有限责任公司净化装置尾气和</w:t>
            </w:r>
            <w:r>
              <w:rPr>
                <w:rFonts w:hint="eastAsia"/>
                <w:b w:val="0"/>
                <w:bCs w:val="0"/>
                <w:kern w:val="0"/>
                <w:u w:val="none"/>
                <w:lang w:eastAsia="zh-CN"/>
              </w:rPr>
              <w:t>优等品</w:t>
            </w:r>
            <w:r>
              <w:rPr>
                <w:b w:val="0"/>
                <w:bCs w:val="0"/>
                <w:kern w:val="0"/>
                <w:u w:val="none"/>
              </w:rPr>
              <w:t>产品液氨，分别提纯得到液体CO</w:t>
            </w:r>
            <w:r>
              <w:rPr>
                <w:b w:val="0"/>
                <w:bCs w:val="0"/>
                <w:kern w:val="0"/>
                <w:u w:val="none"/>
                <w:vertAlign w:val="subscript"/>
              </w:rPr>
              <w:t>2</w:t>
            </w:r>
            <w:r>
              <w:rPr>
                <w:b w:val="0"/>
                <w:bCs w:val="0"/>
                <w:kern w:val="0"/>
                <w:u w:val="none"/>
              </w:rPr>
              <w:t>和超纯氨，属于现有企业延伸行业。选址位于</w:t>
            </w:r>
            <w:r>
              <w:rPr>
                <w:rFonts w:hint="default"/>
                <w:b w:val="0"/>
                <w:bCs w:val="0"/>
                <w:u w:val="none"/>
              </w:rPr>
              <w:t>平顶山尼龙新材料开发区</w:t>
            </w:r>
            <w:r>
              <w:rPr>
                <w:b w:val="0"/>
                <w:bCs w:val="0"/>
                <w:kern w:val="0"/>
                <w:u w:val="none"/>
              </w:rPr>
              <w:t>尼龙材料及原料配套产业区，符合集聚区产业发展定位，符合其产业布局。</w:t>
            </w:r>
          </w:p>
          <w:p w14:paraId="3127B78C">
            <w:pPr>
              <w:pStyle w:val="4"/>
              <w:rPr>
                <w:b w:val="0"/>
                <w:bCs w:val="0"/>
                <w:u w:val="none"/>
              </w:rPr>
            </w:pPr>
            <w:r>
              <w:rPr>
                <w:rFonts w:hint="eastAsia"/>
                <w:b w:val="0"/>
                <w:bCs w:val="0"/>
                <w:u w:val="none"/>
              </w:rPr>
              <w:t>与平顶山尼龙新材料产业集聚区准入条件符合性分析</w:t>
            </w:r>
          </w:p>
          <w:p w14:paraId="5BB955B1">
            <w:pPr>
              <w:pStyle w:val="5"/>
              <w:rPr>
                <w:rFonts w:hint="default"/>
                <w:b w:val="0"/>
                <w:bCs w:val="0"/>
                <w:u w:val="none"/>
              </w:rPr>
            </w:pPr>
            <w:r>
              <w:rPr>
                <w:b w:val="0"/>
                <w:bCs w:val="0"/>
                <w:u w:val="none"/>
              </w:rPr>
              <w:t>对照《平顶山尼龙新材料产业集聚区总体发展规划（2021-2030）环境影响报告书》中提出的平顶山尼龙新材料产业集聚区生态环境准入清单要求，本项目符合相关要求，具体分析如下：</w:t>
            </w:r>
          </w:p>
          <w:p w14:paraId="70194D5A">
            <w:pPr>
              <w:pStyle w:val="44"/>
              <w:numPr>
                <w:ilvl w:val="0"/>
                <w:numId w:val="2"/>
              </w:numPr>
              <w:rPr>
                <w:rFonts w:hint="default"/>
                <w:b w:val="0"/>
                <w:bCs w:val="0"/>
                <w:u w:val="none"/>
              </w:rPr>
            </w:pPr>
            <w:r>
              <w:rPr>
                <w:b w:val="0"/>
                <w:bCs w:val="0"/>
                <w:u w:val="none"/>
              </w:rPr>
              <w:t xml:space="preserve">  与集聚区生态环境准入清单的符合性</w:t>
            </w:r>
          </w:p>
          <w:tbl>
            <w:tblPr>
              <w:tblStyle w:val="27"/>
              <w:tblW w:w="4998"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28" w:type="dxa"/>
                <w:bottom w:w="0" w:type="dxa"/>
                <w:right w:w="28" w:type="dxa"/>
              </w:tblCellMar>
            </w:tblPr>
            <w:tblGrid>
              <w:gridCol w:w="625"/>
              <w:gridCol w:w="3525"/>
              <w:gridCol w:w="2085"/>
              <w:gridCol w:w="798"/>
            </w:tblGrid>
            <w:tr w14:paraId="37749D4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44" w:type="pct"/>
                  <w:tcBorders>
                    <w:tl2br w:val="nil"/>
                    <w:tr2bl w:val="nil"/>
                  </w:tcBorders>
                  <w:vAlign w:val="center"/>
                </w:tcPr>
                <w:p w14:paraId="15B95EAC">
                  <w:pPr>
                    <w:pStyle w:val="45"/>
                    <w:rPr>
                      <w:rFonts w:hint="default"/>
                      <w:b w:val="0"/>
                      <w:bCs w:val="0"/>
                      <w:u w:val="none"/>
                    </w:rPr>
                  </w:pPr>
                  <w:r>
                    <w:rPr>
                      <w:b w:val="0"/>
                      <w:bCs w:val="0"/>
                      <w:u w:val="none"/>
                    </w:rPr>
                    <w:t>类别</w:t>
                  </w:r>
                </w:p>
              </w:tc>
              <w:tc>
                <w:tcPr>
                  <w:tcW w:w="2506" w:type="pct"/>
                  <w:tcBorders>
                    <w:tl2br w:val="nil"/>
                    <w:tr2bl w:val="nil"/>
                  </w:tcBorders>
                  <w:vAlign w:val="center"/>
                </w:tcPr>
                <w:p w14:paraId="0371B266">
                  <w:pPr>
                    <w:pStyle w:val="45"/>
                    <w:rPr>
                      <w:rFonts w:hint="default"/>
                      <w:b w:val="0"/>
                      <w:bCs w:val="0"/>
                      <w:u w:val="none"/>
                    </w:rPr>
                  </w:pPr>
                  <w:r>
                    <w:rPr>
                      <w:b w:val="0"/>
                      <w:bCs w:val="0"/>
                      <w:u w:val="none"/>
                    </w:rPr>
                    <w:t>项目准入条件</w:t>
                  </w:r>
                </w:p>
              </w:tc>
              <w:tc>
                <w:tcPr>
                  <w:tcW w:w="1482" w:type="pct"/>
                  <w:tcBorders>
                    <w:tl2br w:val="nil"/>
                    <w:tr2bl w:val="nil"/>
                  </w:tcBorders>
                  <w:vAlign w:val="center"/>
                </w:tcPr>
                <w:p w14:paraId="3BD5923A">
                  <w:pPr>
                    <w:pStyle w:val="45"/>
                    <w:rPr>
                      <w:rFonts w:hint="default"/>
                      <w:b w:val="0"/>
                      <w:bCs w:val="0"/>
                      <w:u w:val="none"/>
                    </w:rPr>
                  </w:pPr>
                  <w:r>
                    <w:rPr>
                      <w:rFonts w:hint="default"/>
                      <w:b w:val="0"/>
                      <w:bCs w:val="0"/>
                      <w:u w:val="none"/>
                    </w:rPr>
                    <w:t>本项目</w:t>
                  </w:r>
                  <w:r>
                    <w:rPr>
                      <w:b w:val="0"/>
                      <w:bCs w:val="0"/>
                      <w:u w:val="none"/>
                    </w:rPr>
                    <w:t>情况</w:t>
                  </w:r>
                </w:p>
              </w:tc>
              <w:tc>
                <w:tcPr>
                  <w:tcW w:w="567" w:type="pct"/>
                  <w:tcBorders>
                    <w:tl2br w:val="nil"/>
                    <w:tr2bl w:val="nil"/>
                  </w:tcBorders>
                  <w:vAlign w:val="center"/>
                </w:tcPr>
                <w:p w14:paraId="0B578421">
                  <w:pPr>
                    <w:pStyle w:val="45"/>
                    <w:rPr>
                      <w:rFonts w:hint="default"/>
                      <w:b w:val="0"/>
                      <w:bCs w:val="0"/>
                      <w:u w:val="none"/>
                    </w:rPr>
                  </w:pPr>
                  <w:r>
                    <w:rPr>
                      <w:rFonts w:hint="default"/>
                      <w:b w:val="0"/>
                      <w:bCs w:val="0"/>
                      <w:u w:val="none"/>
                    </w:rPr>
                    <w:t>符合性</w:t>
                  </w:r>
                </w:p>
              </w:tc>
            </w:tr>
            <w:tr w14:paraId="4742C06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44" w:type="pct"/>
                  <w:vMerge w:val="restart"/>
                  <w:tcBorders>
                    <w:tl2br w:val="nil"/>
                    <w:tr2bl w:val="nil"/>
                  </w:tcBorders>
                  <w:vAlign w:val="center"/>
                </w:tcPr>
                <w:p w14:paraId="0FC2D54F">
                  <w:pPr>
                    <w:pStyle w:val="45"/>
                    <w:rPr>
                      <w:rFonts w:hint="default"/>
                      <w:b w:val="0"/>
                      <w:bCs w:val="0"/>
                      <w:u w:val="none"/>
                    </w:rPr>
                  </w:pPr>
                  <w:r>
                    <w:rPr>
                      <w:b w:val="0"/>
                      <w:bCs w:val="0"/>
                      <w:u w:val="none"/>
                    </w:rPr>
                    <w:t>产业发展</w:t>
                  </w:r>
                </w:p>
              </w:tc>
              <w:tc>
                <w:tcPr>
                  <w:tcW w:w="2506" w:type="pct"/>
                  <w:tcBorders>
                    <w:tl2br w:val="nil"/>
                    <w:tr2bl w:val="nil"/>
                  </w:tcBorders>
                  <w:vAlign w:val="center"/>
                </w:tcPr>
                <w:p w14:paraId="407DFEBB">
                  <w:pPr>
                    <w:pStyle w:val="45"/>
                    <w:rPr>
                      <w:rFonts w:hint="default"/>
                      <w:b w:val="0"/>
                      <w:bCs w:val="0"/>
                      <w:u w:val="none"/>
                    </w:rPr>
                  </w:pPr>
                  <w:r>
                    <w:rPr>
                      <w:rFonts w:hint="default"/>
                      <w:b w:val="0"/>
                      <w:bCs w:val="0"/>
                      <w:u w:val="none"/>
                    </w:rPr>
                    <w:t>禁止入驻《产业结构调整指导目录》中淘汰类项目。</w:t>
                  </w:r>
                </w:p>
              </w:tc>
              <w:tc>
                <w:tcPr>
                  <w:tcW w:w="1482" w:type="pct"/>
                  <w:tcBorders>
                    <w:tl2br w:val="nil"/>
                    <w:tr2bl w:val="nil"/>
                  </w:tcBorders>
                  <w:vAlign w:val="center"/>
                </w:tcPr>
                <w:p w14:paraId="3CA22D44">
                  <w:pPr>
                    <w:pStyle w:val="45"/>
                    <w:rPr>
                      <w:rFonts w:hint="default"/>
                      <w:b w:val="0"/>
                      <w:bCs w:val="0"/>
                      <w:u w:val="none"/>
                    </w:rPr>
                  </w:pPr>
                  <w:r>
                    <w:rPr>
                      <w:rFonts w:hint="default"/>
                      <w:b w:val="0"/>
                      <w:bCs w:val="0"/>
                      <w:u w:val="none"/>
                    </w:rPr>
                    <w:t>本项目不属于《产业结构调整指导目录》中淘汰类项目，为</w:t>
                  </w:r>
                  <w:r>
                    <w:rPr>
                      <w:b w:val="0"/>
                      <w:bCs w:val="0"/>
                      <w:u w:val="none"/>
                    </w:rPr>
                    <w:t>鼓励类</w:t>
                  </w:r>
                  <w:r>
                    <w:rPr>
                      <w:rFonts w:hint="default"/>
                      <w:b w:val="0"/>
                      <w:bCs w:val="0"/>
                      <w:u w:val="none"/>
                    </w:rPr>
                    <w:t>项目</w:t>
                  </w:r>
                </w:p>
              </w:tc>
              <w:tc>
                <w:tcPr>
                  <w:tcW w:w="567" w:type="pct"/>
                  <w:tcBorders>
                    <w:tl2br w:val="nil"/>
                    <w:tr2bl w:val="nil"/>
                  </w:tcBorders>
                  <w:vAlign w:val="center"/>
                </w:tcPr>
                <w:p w14:paraId="34AF61AC">
                  <w:pPr>
                    <w:pStyle w:val="45"/>
                    <w:rPr>
                      <w:rFonts w:hint="default"/>
                      <w:b w:val="0"/>
                      <w:bCs w:val="0"/>
                      <w:u w:val="none"/>
                    </w:rPr>
                  </w:pPr>
                  <w:r>
                    <w:rPr>
                      <w:b w:val="0"/>
                      <w:bCs w:val="0"/>
                      <w:u w:val="none"/>
                    </w:rPr>
                    <w:t>符合</w:t>
                  </w:r>
                </w:p>
              </w:tc>
            </w:tr>
            <w:tr w14:paraId="4804ECF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44" w:type="pct"/>
                  <w:vMerge w:val="continue"/>
                  <w:tcBorders>
                    <w:tl2br w:val="nil"/>
                    <w:tr2bl w:val="nil"/>
                  </w:tcBorders>
                  <w:vAlign w:val="center"/>
                </w:tcPr>
                <w:p w14:paraId="66DBFCBE">
                  <w:pPr>
                    <w:pStyle w:val="45"/>
                    <w:rPr>
                      <w:rFonts w:hint="default"/>
                      <w:b w:val="0"/>
                      <w:bCs w:val="0"/>
                      <w:u w:val="none"/>
                    </w:rPr>
                  </w:pPr>
                </w:p>
              </w:tc>
              <w:tc>
                <w:tcPr>
                  <w:tcW w:w="2506" w:type="pct"/>
                  <w:tcBorders>
                    <w:tl2br w:val="nil"/>
                    <w:tr2bl w:val="nil"/>
                  </w:tcBorders>
                  <w:vAlign w:val="center"/>
                </w:tcPr>
                <w:p w14:paraId="207BF040">
                  <w:pPr>
                    <w:pStyle w:val="45"/>
                    <w:rPr>
                      <w:rFonts w:hint="default"/>
                      <w:b w:val="0"/>
                      <w:bCs w:val="0"/>
                      <w:u w:val="none"/>
                    </w:rPr>
                  </w:pPr>
                  <w:r>
                    <w:rPr>
                      <w:rFonts w:hint="default"/>
                      <w:b w:val="0"/>
                      <w:bCs w:val="0"/>
                      <w:u w:val="none"/>
                    </w:rPr>
                    <w:t>禁止新建高毒性农药、农药原药制造等项目。</w:t>
                  </w:r>
                </w:p>
              </w:tc>
              <w:tc>
                <w:tcPr>
                  <w:tcW w:w="1482" w:type="pct"/>
                  <w:tcBorders>
                    <w:tl2br w:val="nil"/>
                    <w:tr2bl w:val="nil"/>
                  </w:tcBorders>
                  <w:vAlign w:val="center"/>
                </w:tcPr>
                <w:p w14:paraId="4DBC77F4">
                  <w:pPr>
                    <w:pStyle w:val="45"/>
                    <w:rPr>
                      <w:rFonts w:hint="default"/>
                      <w:b w:val="0"/>
                      <w:bCs w:val="0"/>
                      <w:u w:val="none"/>
                    </w:rPr>
                  </w:pPr>
                  <w:r>
                    <w:rPr>
                      <w:rFonts w:hint="default"/>
                      <w:b w:val="0"/>
                      <w:bCs w:val="0"/>
                      <w:u w:val="none"/>
                    </w:rPr>
                    <w:t>本项目不属于高毒性农药、农药原药制造项目</w:t>
                  </w:r>
                </w:p>
              </w:tc>
              <w:tc>
                <w:tcPr>
                  <w:tcW w:w="567" w:type="pct"/>
                  <w:tcBorders>
                    <w:tl2br w:val="nil"/>
                    <w:tr2bl w:val="nil"/>
                  </w:tcBorders>
                  <w:vAlign w:val="center"/>
                </w:tcPr>
                <w:p w14:paraId="5252A807">
                  <w:pPr>
                    <w:pStyle w:val="45"/>
                    <w:rPr>
                      <w:rFonts w:hint="default"/>
                      <w:b w:val="0"/>
                      <w:bCs w:val="0"/>
                      <w:u w:val="none"/>
                    </w:rPr>
                  </w:pPr>
                  <w:r>
                    <w:rPr>
                      <w:b w:val="0"/>
                      <w:bCs w:val="0"/>
                      <w:u w:val="none"/>
                    </w:rPr>
                    <w:t>/</w:t>
                  </w:r>
                </w:p>
              </w:tc>
            </w:tr>
            <w:tr w14:paraId="7E214D8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44" w:type="pct"/>
                  <w:vMerge w:val="continue"/>
                  <w:tcBorders>
                    <w:tl2br w:val="nil"/>
                    <w:tr2bl w:val="nil"/>
                  </w:tcBorders>
                  <w:vAlign w:val="center"/>
                </w:tcPr>
                <w:p w14:paraId="000359BC">
                  <w:pPr>
                    <w:pStyle w:val="45"/>
                    <w:rPr>
                      <w:rFonts w:hint="default"/>
                      <w:b w:val="0"/>
                      <w:bCs w:val="0"/>
                      <w:u w:val="none"/>
                    </w:rPr>
                  </w:pPr>
                </w:p>
              </w:tc>
              <w:tc>
                <w:tcPr>
                  <w:tcW w:w="2506" w:type="pct"/>
                  <w:tcBorders>
                    <w:tl2br w:val="nil"/>
                    <w:tr2bl w:val="nil"/>
                  </w:tcBorders>
                  <w:vAlign w:val="center"/>
                </w:tcPr>
                <w:p w14:paraId="1B9635E6">
                  <w:pPr>
                    <w:pStyle w:val="45"/>
                    <w:rPr>
                      <w:rFonts w:hint="default"/>
                      <w:b w:val="0"/>
                      <w:bCs w:val="0"/>
                      <w:u w:val="none"/>
                    </w:rPr>
                  </w:pPr>
                  <w:r>
                    <w:rPr>
                      <w:rFonts w:hint="default"/>
                      <w:b w:val="0"/>
                      <w:bCs w:val="0"/>
                      <w:u w:val="none"/>
                    </w:rPr>
                    <w:t>新建、改建、扩建“两高”项目应采用先进的工艺技术和装备，国家、省绩效分级重点行业新建、扩建项目达到A级水平，改建项目达到B级以上水平。</w:t>
                  </w:r>
                </w:p>
              </w:tc>
              <w:tc>
                <w:tcPr>
                  <w:tcW w:w="1482" w:type="pct"/>
                  <w:tcBorders>
                    <w:tl2br w:val="nil"/>
                    <w:tr2bl w:val="nil"/>
                  </w:tcBorders>
                  <w:vAlign w:val="center"/>
                </w:tcPr>
                <w:p w14:paraId="6C9E7FA9">
                  <w:pPr>
                    <w:pStyle w:val="45"/>
                    <w:rPr>
                      <w:rFonts w:hint="default"/>
                      <w:b w:val="0"/>
                      <w:bCs w:val="0"/>
                      <w:u w:val="none"/>
                    </w:rPr>
                  </w:pPr>
                  <w:r>
                    <w:rPr>
                      <w:b w:val="0"/>
                      <w:bCs w:val="0"/>
                      <w:kern w:val="24"/>
                      <w:szCs w:val="18"/>
                      <w:u w:val="none"/>
                    </w:rPr>
                    <w:t>本项目</w:t>
                  </w:r>
                  <w:r>
                    <w:rPr>
                      <w:b w:val="0"/>
                      <w:bCs w:val="0"/>
                      <w:u w:val="none"/>
                    </w:rPr>
                    <w:t>为化学原料和化学制品制造业，根据企业提供平顶山尼龙产业园工业气体岛一期项目</w:t>
                  </w:r>
                  <w:r>
                    <w:rPr>
                      <w:rFonts w:hint="eastAsia"/>
                      <w:b w:val="0"/>
                      <w:bCs w:val="0"/>
                      <w:u w:val="none"/>
                      <w:lang w:eastAsia="zh-CN"/>
                    </w:rPr>
                    <w:t>节能评估报告</w:t>
                  </w:r>
                  <w:r>
                    <w:rPr>
                      <w:b w:val="0"/>
                      <w:bCs w:val="0"/>
                      <w:u w:val="none"/>
                    </w:rPr>
                    <w:t>，</w:t>
                  </w:r>
                  <w:r>
                    <w:rPr>
                      <w:rFonts w:hint="eastAsia"/>
                      <w:b w:val="0"/>
                      <w:bCs w:val="0"/>
                      <w:u w:val="none"/>
                      <w:lang w:eastAsia="zh-CN"/>
                    </w:rPr>
                    <w:t>项目</w:t>
                  </w:r>
                  <w:r>
                    <w:rPr>
                      <w:b w:val="0"/>
                      <w:bCs w:val="0"/>
                      <w:u w:val="none"/>
                    </w:rPr>
                    <w:t>综合能耗等价值为</w:t>
                  </w:r>
                  <w:r>
                    <w:rPr>
                      <w:rFonts w:hint="eastAsia"/>
                      <w:b w:val="0"/>
                      <w:bCs w:val="0"/>
                      <w:u w:val="none"/>
                      <w:lang w:val="en-US" w:eastAsia="zh-CN"/>
                    </w:rPr>
                    <w:t>10038.07</w:t>
                  </w:r>
                  <w:r>
                    <w:rPr>
                      <w:b w:val="0"/>
                      <w:bCs w:val="0"/>
                      <w:u w:val="none"/>
                    </w:rPr>
                    <w:t>吨标准煤</w:t>
                  </w:r>
                  <w:r>
                    <w:rPr>
                      <w:b w:val="0"/>
                      <w:bCs w:val="0"/>
                      <w:szCs w:val="18"/>
                      <w:u w:val="none"/>
                    </w:rPr>
                    <w:t>。对照《河南省“两高”项目管理目录（2023年修订）》，本项目不属于“两高”项目；</w:t>
                  </w:r>
                </w:p>
                <w:p w14:paraId="17946C86">
                  <w:pPr>
                    <w:pStyle w:val="45"/>
                    <w:rPr>
                      <w:rFonts w:hint="default"/>
                      <w:b w:val="0"/>
                      <w:bCs w:val="0"/>
                      <w:u w:val="none"/>
                    </w:rPr>
                  </w:pPr>
                  <w:r>
                    <w:rPr>
                      <w:rFonts w:hint="default"/>
                      <w:b w:val="0"/>
                      <w:bCs w:val="0"/>
                      <w:u w:val="none"/>
                    </w:rPr>
                    <w:t>本项目</w:t>
                  </w:r>
                  <w:r>
                    <w:rPr>
                      <w:b w:val="0"/>
                      <w:bCs w:val="0"/>
                      <w:u w:val="none"/>
                    </w:rPr>
                    <w:t>不属于国家及省级绩效分级重点行业。本项二氧化碳原料气中含有甲醇，涉及《河南省重污染天气通用行业应急减排措施制定技术指南（2021 年修订版）》中“涉 VOCs 企业基本要求”。</w:t>
                  </w:r>
                </w:p>
              </w:tc>
              <w:tc>
                <w:tcPr>
                  <w:tcW w:w="567" w:type="pct"/>
                  <w:tcBorders>
                    <w:tl2br w:val="nil"/>
                    <w:tr2bl w:val="nil"/>
                  </w:tcBorders>
                  <w:vAlign w:val="center"/>
                </w:tcPr>
                <w:p w14:paraId="3413FEC3">
                  <w:pPr>
                    <w:pStyle w:val="45"/>
                    <w:rPr>
                      <w:rFonts w:hint="default"/>
                      <w:b w:val="0"/>
                      <w:bCs w:val="0"/>
                      <w:u w:val="none"/>
                    </w:rPr>
                  </w:pPr>
                  <w:r>
                    <w:rPr>
                      <w:rFonts w:hint="default"/>
                      <w:b w:val="0"/>
                      <w:bCs w:val="0"/>
                      <w:u w:val="none"/>
                    </w:rPr>
                    <w:t>符合</w:t>
                  </w:r>
                </w:p>
              </w:tc>
            </w:tr>
            <w:tr w14:paraId="7366353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44" w:type="pct"/>
                  <w:vMerge w:val="continue"/>
                  <w:tcBorders>
                    <w:tl2br w:val="nil"/>
                    <w:tr2bl w:val="nil"/>
                  </w:tcBorders>
                  <w:vAlign w:val="center"/>
                </w:tcPr>
                <w:p w14:paraId="5EA79027">
                  <w:pPr>
                    <w:pStyle w:val="45"/>
                    <w:rPr>
                      <w:rFonts w:hint="default"/>
                      <w:b w:val="0"/>
                      <w:bCs w:val="0"/>
                      <w:u w:val="none"/>
                    </w:rPr>
                  </w:pPr>
                </w:p>
              </w:tc>
              <w:tc>
                <w:tcPr>
                  <w:tcW w:w="2506" w:type="pct"/>
                  <w:tcBorders>
                    <w:tl2br w:val="nil"/>
                    <w:tr2bl w:val="nil"/>
                  </w:tcBorders>
                  <w:vAlign w:val="center"/>
                </w:tcPr>
                <w:p w14:paraId="5D5201DB">
                  <w:pPr>
                    <w:pStyle w:val="45"/>
                    <w:rPr>
                      <w:rFonts w:hint="default"/>
                      <w:b w:val="0"/>
                      <w:bCs w:val="0"/>
                      <w:u w:val="none"/>
                    </w:rPr>
                  </w:pPr>
                  <w:r>
                    <w:rPr>
                      <w:rFonts w:hint="default"/>
                      <w:b w:val="0"/>
                      <w:bCs w:val="0"/>
                      <w:u w:val="none"/>
                    </w:rPr>
                    <w:t>耗煤项目建设单位应当编制煤炭替代方案，作为节能报告编制及审查的重要内容。因建设内容调整造成煤炭消费量增加的，项目建设单位应在项目投产前，按相关要求落实煤炭替代新增量，编制煤炭替代补充方案，报送有权限的节能主管部门审查。耗煤项目投入生产使用前，建设单位应按照煤炭替代方案落实全部煤炭替代量，并经所在地人民政府相关部门审查认定出具意见。</w:t>
                  </w:r>
                </w:p>
              </w:tc>
              <w:tc>
                <w:tcPr>
                  <w:tcW w:w="1482" w:type="pct"/>
                  <w:tcBorders>
                    <w:tl2br w:val="nil"/>
                    <w:tr2bl w:val="nil"/>
                  </w:tcBorders>
                  <w:vAlign w:val="center"/>
                </w:tcPr>
                <w:p w14:paraId="2E1E18A9">
                  <w:pPr>
                    <w:pStyle w:val="45"/>
                    <w:rPr>
                      <w:rFonts w:hint="default"/>
                      <w:b w:val="0"/>
                      <w:bCs w:val="0"/>
                      <w:u w:val="none"/>
                    </w:rPr>
                  </w:pPr>
                  <w:r>
                    <w:rPr>
                      <w:rFonts w:hint="default"/>
                      <w:b w:val="0"/>
                      <w:bCs w:val="0"/>
                      <w:u w:val="none"/>
                    </w:rPr>
                    <w:t>本项目不使用煤炭</w:t>
                  </w:r>
                </w:p>
              </w:tc>
              <w:tc>
                <w:tcPr>
                  <w:tcW w:w="567" w:type="pct"/>
                  <w:tcBorders>
                    <w:tl2br w:val="nil"/>
                    <w:tr2bl w:val="nil"/>
                  </w:tcBorders>
                  <w:vAlign w:val="center"/>
                </w:tcPr>
                <w:p w14:paraId="53A4C6A9">
                  <w:pPr>
                    <w:pStyle w:val="45"/>
                    <w:rPr>
                      <w:rFonts w:hint="default"/>
                      <w:b w:val="0"/>
                      <w:bCs w:val="0"/>
                      <w:u w:val="none"/>
                    </w:rPr>
                  </w:pPr>
                  <w:r>
                    <w:rPr>
                      <w:b w:val="0"/>
                      <w:bCs w:val="0"/>
                      <w:u w:val="none"/>
                    </w:rPr>
                    <w:t>/</w:t>
                  </w:r>
                </w:p>
              </w:tc>
            </w:tr>
            <w:tr w14:paraId="13943C4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44" w:type="pct"/>
                  <w:vMerge w:val="continue"/>
                  <w:tcBorders>
                    <w:tl2br w:val="nil"/>
                    <w:tr2bl w:val="nil"/>
                  </w:tcBorders>
                  <w:vAlign w:val="center"/>
                </w:tcPr>
                <w:p w14:paraId="33151198">
                  <w:pPr>
                    <w:pStyle w:val="45"/>
                    <w:rPr>
                      <w:rFonts w:hint="default"/>
                      <w:b w:val="0"/>
                      <w:bCs w:val="0"/>
                      <w:u w:val="none"/>
                    </w:rPr>
                  </w:pPr>
                </w:p>
              </w:tc>
              <w:tc>
                <w:tcPr>
                  <w:tcW w:w="2506" w:type="pct"/>
                  <w:tcBorders>
                    <w:tl2br w:val="nil"/>
                    <w:tr2bl w:val="nil"/>
                  </w:tcBorders>
                  <w:vAlign w:val="center"/>
                </w:tcPr>
                <w:p w14:paraId="4A50C31E">
                  <w:pPr>
                    <w:pStyle w:val="45"/>
                    <w:rPr>
                      <w:rFonts w:hint="default"/>
                      <w:b w:val="0"/>
                      <w:bCs w:val="0"/>
                      <w:u w:val="none"/>
                    </w:rPr>
                  </w:pPr>
                  <w:r>
                    <w:rPr>
                      <w:rFonts w:hint="default"/>
                      <w:b w:val="0"/>
                      <w:bCs w:val="0"/>
                      <w:u w:val="none"/>
                    </w:rPr>
                    <w:t>鼓励中水回用、污水深度治理等基础设施、资源综合利用项目入驻。</w:t>
                  </w:r>
                </w:p>
              </w:tc>
              <w:tc>
                <w:tcPr>
                  <w:tcW w:w="1482" w:type="pct"/>
                  <w:tcBorders>
                    <w:tl2br w:val="nil"/>
                    <w:tr2bl w:val="nil"/>
                  </w:tcBorders>
                  <w:vAlign w:val="center"/>
                </w:tcPr>
                <w:p w14:paraId="175A3A01">
                  <w:pPr>
                    <w:pStyle w:val="45"/>
                    <w:rPr>
                      <w:rFonts w:hint="default"/>
                      <w:b w:val="0"/>
                      <w:bCs w:val="0"/>
                      <w:u w:val="none"/>
                    </w:rPr>
                  </w:pPr>
                  <w:r>
                    <w:rPr>
                      <w:b w:val="0"/>
                      <w:bCs w:val="0"/>
                      <w:u w:val="none"/>
                    </w:rPr>
                    <w:t>不涉及</w:t>
                  </w:r>
                </w:p>
              </w:tc>
              <w:tc>
                <w:tcPr>
                  <w:tcW w:w="567" w:type="pct"/>
                  <w:tcBorders>
                    <w:tl2br w:val="nil"/>
                    <w:tr2bl w:val="nil"/>
                  </w:tcBorders>
                  <w:vAlign w:val="center"/>
                </w:tcPr>
                <w:p w14:paraId="7B70059C">
                  <w:pPr>
                    <w:pStyle w:val="45"/>
                    <w:rPr>
                      <w:rFonts w:hint="default"/>
                      <w:b w:val="0"/>
                      <w:bCs w:val="0"/>
                      <w:u w:val="none"/>
                    </w:rPr>
                  </w:pPr>
                  <w:r>
                    <w:rPr>
                      <w:rFonts w:hint="default"/>
                      <w:b w:val="0"/>
                      <w:bCs w:val="0"/>
                      <w:u w:val="none"/>
                    </w:rPr>
                    <w:t>符合</w:t>
                  </w:r>
                </w:p>
              </w:tc>
            </w:tr>
            <w:tr w14:paraId="4C42C26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44" w:type="pct"/>
                  <w:tcBorders>
                    <w:tl2br w:val="nil"/>
                    <w:tr2bl w:val="nil"/>
                  </w:tcBorders>
                  <w:vAlign w:val="center"/>
                </w:tcPr>
                <w:p w14:paraId="38D9BE39">
                  <w:pPr>
                    <w:pStyle w:val="45"/>
                    <w:rPr>
                      <w:rFonts w:hint="default"/>
                      <w:b w:val="0"/>
                      <w:bCs w:val="0"/>
                      <w:u w:val="none"/>
                    </w:rPr>
                  </w:pPr>
                  <w:r>
                    <w:rPr>
                      <w:b w:val="0"/>
                      <w:bCs w:val="0"/>
                      <w:u w:val="none"/>
                    </w:rPr>
                    <w:t>生产工艺及装备水平</w:t>
                  </w:r>
                </w:p>
              </w:tc>
              <w:tc>
                <w:tcPr>
                  <w:tcW w:w="2506" w:type="pct"/>
                  <w:tcBorders>
                    <w:tl2br w:val="nil"/>
                    <w:tr2bl w:val="nil"/>
                  </w:tcBorders>
                  <w:vAlign w:val="center"/>
                </w:tcPr>
                <w:p w14:paraId="1463544C">
                  <w:pPr>
                    <w:pStyle w:val="45"/>
                    <w:rPr>
                      <w:rFonts w:hint="default"/>
                      <w:b w:val="0"/>
                      <w:bCs w:val="0"/>
                      <w:u w:val="none"/>
                    </w:rPr>
                  </w:pPr>
                  <w:r>
                    <w:rPr>
                      <w:b w:val="0"/>
                      <w:bCs w:val="0"/>
                      <w:u w:val="none"/>
                    </w:rPr>
                    <w:t>新建企业的生产工艺、设备、污染治理技术、清洁生产水平均需达到同行业国内先进水平，否则禁止入驻。</w:t>
                  </w:r>
                </w:p>
              </w:tc>
              <w:tc>
                <w:tcPr>
                  <w:tcW w:w="1482" w:type="pct"/>
                  <w:tcBorders>
                    <w:tl2br w:val="nil"/>
                    <w:tr2bl w:val="nil"/>
                  </w:tcBorders>
                  <w:vAlign w:val="center"/>
                </w:tcPr>
                <w:p w14:paraId="41A594F1">
                  <w:pPr>
                    <w:pStyle w:val="45"/>
                    <w:rPr>
                      <w:rFonts w:hint="default"/>
                      <w:b w:val="0"/>
                      <w:bCs w:val="0"/>
                      <w:kern w:val="0"/>
                      <w:u w:val="none"/>
                    </w:rPr>
                  </w:pPr>
                  <w:r>
                    <w:rPr>
                      <w:b w:val="0"/>
                      <w:bCs w:val="0"/>
                      <w:u w:val="none"/>
                    </w:rPr>
                    <w:t>本项目</w:t>
                  </w:r>
                  <w:r>
                    <w:rPr>
                      <w:b w:val="0"/>
                      <w:bCs w:val="0"/>
                      <w:kern w:val="0"/>
                      <w:u w:val="none"/>
                    </w:rPr>
                    <w:t>利用河南神马氢化学有限责任公司净化装置尾气和</w:t>
                  </w:r>
                  <w:r>
                    <w:rPr>
                      <w:rFonts w:hint="eastAsia"/>
                      <w:b w:val="0"/>
                      <w:bCs w:val="0"/>
                      <w:kern w:val="0"/>
                      <w:u w:val="none"/>
                      <w:lang w:eastAsia="zh-CN"/>
                    </w:rPr>
                    <w:t>优等品</w:t>
                  </w:r>
                  <w:r>
                    <w:rPr>
                      <w:b w:val="0"/>
                      <w:bCs w:val="0"/>
                      <w:kern w:val="0"/>
                      <w:u w:val="none"/>
                    </w:rPr>
                    <w:t>产品液氨，分别提纯得到液体CO</w:t>
                  </w:r>
                  <w:r>
                    <w:rPr>
                      <w:b w:val="0"/>
                      <w:bCs w:val="0"/>
                      <w:kern w:val="0"/>
                      <w:u w:val="none"/>
                      <w:vertAlign w:val="subscript"/>
                    </w:rPr>
                    <w:t>2</w:t>
                  </w:r>
                  <w:r>
                    <w:rPr>
                      <w:b w:val="0"/>
                      <w:bCs w:val="0"/>
                      <w:kern w:val="0"/>
                      <w:u w:val="none"/>
                    </w:rPr>
                    <w:t>和超纯氨，其中尾气提纯液体CO</w:t>
                  </w:r>
                  <w:r>
                    <w:rPr>
                      <w:b w:val="0"/>
                      <w:bCs w:val="0"/>
                      <w:kern w:val="0"/>
                      <w:u w:val="none"/>
                      <w:vertAlign w:val="subscript"/>
                    </w:rPr>
                    <w:t>2</w:t>
                  </w:r>
                  <w:r>
                    <w:rPr>
                      <w:b w:val="0"/>
                      <w:bCs w:val="0"/>
                      <w:kern w:val="0"/>
                      <w:u w:val="none"/>
                    </w:rPr>
                    <w:t>可减少温室气体的排放，对区域“碳达峰”“碳中和”等工作有积极促进作用，具有环保意义，项目生产设备、污染治理技术均采用成熟可行工艺，因此项目</w:t>
                  </w:r>
                </w:p>
                <w:p w14:paraId="084FB746">
                  <w:pPr>
                    <w:pStyle w:val="45"/>
                    <w:rPr>
                      <w:rFonts w:hint="default"/>
                      <w:b w:val="0"/>
                      <w:bCs w:val="0"/>
                      <w:u w:val="none"/>
                    </w:rPr>
                  </w:pPr>
                  <w:r>
                    <w:rPr>
                      <w:b w:val="0"/>
                      <w:bCs w:val="0"/>
                      <w:u w:val="none"/>
                    </w:rPr>
                    <w:t>生产工艺、设备、污染治理技术、清洁生产水平均能够达到同行业国内先进水平</w:t>
                  </w:r>
                </w:p>
              </w:tc>
              <w:tc>
                <w:tcPr>
                  <w:tcW w:w="567" w:type="pct"/>
                  <w:tcBorders>
                    <w:tl2br w:val="nil"/>
                    <w:tr2bl w:val="nil"/>
                  </w:tcBorders>
                  <w:vAlign w:val="center"/>
                </w:tcPr>
                <w:p w14:paraId="7536A41C">
                  <w:pPr>
                    <w:pStyle w:val="45"/>
                    <w:rPr>
                      <w:rFonts w:hint="default"/>
                      <w:b w:val="0"/>
                      <w:bCs w:val="0"/>
                      <w:u w:val="none"/>
                    </w:rPr>
                  </w:pPr>
                  <w:r>
                    <w:rPr>
                      <w:rFonts w:hint="default"/>
                      <w:b w:val="0"/>
                      <w:bCs w:val="0"/>
                      <w:u w:val="none"/>
                    </w:rPr>
                    <w:t>符合</w:t>
                  </w:r>
                </w:p>
              </w:tc>
            </w:tr>
            <w:tr w14:paraId="4631F09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44" w:type="pct"/>
                  <w:vMerge w:val="restart"/>
                  <w:tcBorders>
                    <w:tl2br w:val="nil"/>
                    <w:tr2bl w:val="nil"/>
                  </w:tcBorders>
                  <w:vAlign w:val="center"/>
                </w:tcPr>
                <w:p w14:paraId="3828C98D">
                  <w:pPr>
                    <w:pStyle w:val="45"/>
                    <w:rPr>
                      <w:rFonts w:hint="default"/>
                      <w:b w:val="0"/>
                      <w:bCs w:val="0"/>
                      <w:u w:val="none"/>
                    </w:rPr>
                  </w:pPr>
                  <w:r>
                    <w:rPr>
                      <w:b w:val="0"/>
                      <w:bCs w:val="0"/>
                      <w:u w:val="none"/>
                    </w:rPr>
                    <w:t>空间布局约束</w:t>
                  </w:r>
                </w:p>
              </w:tc>
              <w:tc>
                <w:tcPr>
                  <w:tcW w:w="2506" w:type="pct"/>
                  <w:tcBorders>
                    <w:tl2br w:val="nil"/>
                    <w:tr2bl w:val="nil"/>
                  </w:tcBorders>
                  <w:vAlign w:val="center"/>
                </w:tcPr>
                <w:p w14:paraId="0FC901CA">
                  <w:pPr>
                    <w:pStyle w:val="45"/>
                    <w:rPr>
                      <w:rFonts w:hint="default"/>
                      <w:b w:val="0"/>
                      <w:bCs w:val="0"/>
                      <w:u w:val="none"/>
                    </w:rPr>
                  </w:pPr>
                  <w:r>
                    <w:rPr>
                      <w:rFonts w:hint="default"/>
                      <w:b w:val="0"/>
                      <w:bCs w:val="0"/>
                      <w:u w:val="none"/>
                    </w:rPr>
                    <w:t>禁止新建选址不符合“三线一单”和规划环评空间管控要求的项目入驻。</w:t>
                  </w:r>
                </w:p>
              </w:tc>
              <w:tc>
                <w:tcPr>
                  <w:tcW w:w="1482" w:type="pct"/>
                  <w:tcBorders>
                    <w:tl2br w:val="nil"/>
                    <w:tr2bl w:val="nil"/>
                  </w:tcBorders>
                  <w:vAlign w:val="center"/>
                </w:tcPr>
                <w:p w14:paraId="2D565483">
                  <w:pPr>
                    <w:pStyle w:val="45"/>
                    <w:rPr>
                      <w:rFonts w:hint="default"/>
                      <w:b w:val="0"/>
                      <w:bCs w:val="0"/>
                      <w:u w:val="none"/>
                    </w:rPr>
                  </w:pPr>
                  <w:r>
                    <w:rPr>
                      <w:rFonts w:hint="default"/>
                      <w:b w:val="0"/>
                      <w:bCs w:val="0"/>
                      <w:u w:val="none"/>
                    </w:rPr>
                    <w:t>本项目选址符合“三线一单”和规划环评空间管控要求</w:t>
                  </w:r>
                </w:p>
              </w:tc>
              <w:tc>
                <w:tcPr>
                  <w:tcW w:w="567" w:type="pct"/>
                  <w:tcBorders>
                    <w:tl2br w:val="nil"/>
                    <w:tr2bl w:val="nil"/>
                  </w:tcBorders>
                  <w:vAlign w:val="center"/>
                </w:tcPr>
                <w:p w14:paraId="63F4ECEB">
                  <w:pPr>
                    <w:pStyle w:val="45"/>
                    <w:rPr>
                      <w:rFonts w:hint="default"/>
                      <w:b w:val="0"/>
                      <w:bCs w:val="0"/>
                      <w:u w:val="none"/>
                    </w:rPr>
                  </w:pPr>
                  <w:r>
                    <w:rPr>
                      <w:rFonts w:hint="default"/>
                      <w:b w:val="0"/>
                      <w:bCs w:val="0"/>
                      <w:u w:val="none"/>
                    </w:rPr>
                    <w:t>符合</w:t>
                  </w:r>
                </w:p>
              </w:tc>
            </w:tr>
            <w:tr w14:paraId="1969F3D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44" w:type="pct"/>
                  <w:vMerge w:val="continue"/>
                  <w:tcBorders>
                    <w:tl2br w:val="nil"/>
                    <w:tr2bl w:val="nil"/>
                  </w:tcBorders>
                  <w:vAlign w:val="center"/>
                </w:tcPr>
                <w:p w14:paraId="04E72540">
                  <w:pPr>
                    <w:pStyle w:val="45"/>
                    <w:rPr>
                      <w:rFonts w:hint="default"/>
                      <w:b w:val="0"/>
                      <w:bCs w:val="0"/>
                      <w:u w:val="none"/>
                    </w:rPr>
                  </w:pPr>
                </w:p>
              </w:tc>
              <w:tc>
                <w:tcPr>
                  <w:tcW w:w="2506" w:type="pct"/>
                  <w:tcBorders>
                    <w:tl2br w:val="nil"/>
                    <w:tr2bl w:val="nil"/>
                  </w:tcBorders>
                  <w:vAlign w:val="center"/>
                </w:tcPr>
                <w:p w14:paraId="328CC6AB">
                  <w:pPr>
                    <w:pStyle w:val="45"/>
                    <w:rPr>
                      <w:rFonts w:hint="default"/>
                      <w:b w:val="0"/>
                      <w:bCs w:val="0"/>
                      <w:u w:val="none"/>
                    </w:rPr>
                  </w:pPr>
                  <w:r>
                    <w:rPr>
                      <w:rFonts w:hint="default"/>
                      <w:b w:val="0"/>
                      <w:bCs w:val="0"/>
                      <w:u w:val="none"/>
                    </w:rPr>
                    <w:t>禁止入驻大气环境防护距离和大气毒性终点浓度-1范围内涉及现有未搬迁和规划的居住、教育、医疗等用地的项目。</w:t>
                  </w:r>
                </w:p>
              </w:tc>
              <w:tc>
                <w:tcPr>
                  <w:tcW w:w="1482" w:type="pct"/>
                  <w:tcBorders>
                    <w:tl2br w:val="nil"/>
                    <w:tr2bl w:val="nil"/>
                  </w:tcBorders>
                  <w:vAlign w:val="center"/>
                </w:tcPr>
                <w:p w14:paraId="5DAE4D5C">
                  <w:pPr>
                    <w:pStyle w:val="45"/>
                    <w:rPr>
                      <w:rFonts w:hint="default"/>
                      <w:b w:val="0"/>
                      <w:bCs w:val="0"/>
                      <w:u w:val="none"/>
                    </w:rPr>
                  </w:pPr>
                  <w:r>
                    <w:rPr>
                      <w:rFonts w:hint="default"/>
                      <w:b w:val="0"/>
                      <w:bCs w:val="0"/>
                      <w:u w:val="none"/>
                    </w:rPr>
                    <w:t>本项目不设置大气环境防护距离，</w:t>
                  </w:r>
                  <w:r>
                    <w:rPr>
                      <w:b w:val="0"/>
                      <w:bCs w:val="0"/>
                      <w:u w:val="none"/>
                    </w:rPr>
                    <w:t>距离项目最近的敏感点为366m处的常李村。</w:t>
                  </w:r>
                  <w:r>
                    <w:rPr>
                      <w:rFonts w:hint="default"/>
                      <w:b w:val="0"/>
                      <w:bCs w:val="0"/>
                      <w:u w:val="none"/>
                    </w:rPr>
                    <w:t>大气毒性重点浓度-1</w:t>
                  </w:r>
                  <w:r>
                    <w:rPr>
                      <w:b w:val="0"/>
                      <w:bCs w:val="0"/>
                      <w:u w:val="none"/>
                    </w:rPr>
                    <w:t>（氨气为770mg/m</w:t>
                  </w:r>
                  <w:r>
                    <w:rPr>
                      <w:b w:val="0"/>
                      <w:bCs w:val="0"/>
                      <w:u w:val="none"/>
                      <w:vertAlign w:val="superscript"/>
                    </w:rPr>
                    <w:t>3</w:t>
                  </w:r>
                  <w:r>
                    <w:rPr>
                      <w:b w:val="0"/>
                      <w:bCs w:val="0"/>
                      <w:u w:val="none"/>
                    </w:rPr>
                    <w:t>）</w:t>
                  </w:r>
                  <w:r>
                    <w:rPr>
                      <w:rFonts w:hint="default"/>
                      <w:b w:val="0"/>
                      <w:bCs w:val="0"/>
                      <w:u w:val="none"/>
                    </w:rPr>
                    <w:t>范围</w:t>
                  </w:r>
                  <w:r>
                    <w:rPr>
                      <w:b w:val="0"/>
                      <w:bCs w:val="0"/>
                      <w:u w:val="none"/>
                    </w:rPr>
                    <w:t>为46m，其范围内</w:t>
                  </w:r>
                  <w:r>
                    <w:rPr>
                      <w:rFonts w:hint="default"/>
                      <w:b w:val="0"/>
                      <w:bCs w:val="0"/>
                      <w:u w:val="none"/>
                    </w:rPr>
                    <w:t>无居住、教育、医疗等环境敏感区</w:t>
                  </w:r>
                  <w:r>
                    <w:rPr>
                      <w:b w:val="0"/>
                      <w:bCs w:val="0"/>
                      <w:u w:val="none"/>
                    </w:rPr>
                    <w:t>。</w:t>
                  </w:r>
                </w:p>
              </w:tc>
              <w:tc>
                <w:tcPr>
                  <w:tcW w:w="567" w:type="pct"/>
                  <w:tcBorders>
                    <w:tl2br w:val="nil"/>
                    <w:tr2bl w:val="nil"/>
                  </w:tcBorders>
                  <w:vAlign w:val="center"/>
                </w:tcPr>
                <w:p w14:paraId="02DAA7F4">
                  <w:pPr>
                    <w:pStyle w:val="45"/>
                    <w:rPr>
                      <w:rFonts w:hint="default"/>
                      <w:b w:val="0"/>
                      <w:bCs w:val="0"/>
                      <w:u w:val="none"/>
                    </w:rPr>
                  </w:pPr>
                  <w:r>
                    <w:rPr>
                      <w:rFonts w:hint="default"/>
                      <w:b w:val="0"/>
                      <w:bCs w:val="0"/>
                      <w:u w:val="none"/>
                    </w:rPr>
                    <w:t>符合</w:t>
                  </w:r>
                </w:p>
              </w:tc>
            </w:tr>
            <w:tr w14:paraId="1A1B012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44" w:type="pct"/>
                  <w:vMerge w:val="continue"/>
                  <w:tcBorders>
                    <w:tl2br w:val="nil"/>
                    <w:tr2bl w:val="nil"/>
                  </w:tcBorders>
                  <w:vAlign w:val="center"/>
                </w:tcPr>
                <w:p w14:paraId="10BC3B6E">
                  <w:pPr>
                    <w:pStyle w:val="45"/>
                    <w:rPr>
                      <w:rFonts w:hint="default"/>
                      <w:b w:val="0"/>
                      <w:bCs w:val="0"/>
                      <w:u w:val="none"/>
                    </w:rPr>
                  </w:pPr>
                </w:p>
              </w:tc>
              <w:tc>
                <w:tcPr>
                  <w:tcW w:w="2506" w:type="pct"/>
                  <w:tcBorders>
                    <w:tl2br w:val="nil"/>
                    <w:tr2bl w:val="nil"/>
                  </w:tcBorders>
                  <w:vAlign w:val="center"/>
                </w:tcPr>
                <w:p w14:paraId="2040978C">
                  <w:pPr>
                    <w:pStyle w:val="45"/>
                    <w:rPr>
                      <w:rFonts w:hint="default"/>
                      <w:b w:val="0"/>
                      <w:bCs w:val="0"/>
                      <w:u w:val="none"/>
                    </w:rPr>
                  </w:pPr>
                  <w:r>
                    <w:rPr>
                      <w:rFonts w:hint="default"/>
                      <w:b w:val="0"/>
                      <w:bCs w:val="0"/>
                      <w:u w:val="none"/>
                    </w:rPr>
                    <w:t>被列入建设用地土壤污染风险管控和修复名录的地块，不得作为住宅、公共管理和公共服务设施用地。</w:t>
                  </w:r>
                </w:p>
              </w:tc>
              <w:tc>
                <w:tcPr>
                  <w:tcW w:w="1482" w:type="pct"/>
                  <w:tcBorders>
                    <w:tl2br w:val="nil"/>
                    <w:tr2bl w:val="nil"/>
                  </w:tcBorders>
                  <w:vAlign w:val="center"/>
                </w:tcPr>
                <w:p w14:paraId="69028C41">
                  <w:pPr>
                    <w:pStyle w:val="45"/>
                    <w:rPr>
                      <w:rFonts w:hint="default"/>
                      <w:b w:val="0"/>
                      <w:bCs w:val="0"/>
                      <w:u w:val="none"/>
                    </w:rPr>
                  </w:pPr>
                  <w:r>
                    <w:rPr>
                      <w:rFonts w:hint="default"/>
                      <w:b w:val="0"/>
                      <w:bCs w:val="0"/>
                      <w:u w:val="none"/>
                    </w:rPr>
                    <w:t>本项目用地为工业用地，项目地块不属于列入土壤污染风险管控和修复名录的地块</w:t>
                  </w:r>
                </w:p>
              </w:tc>
              <w:tc>
                <w:tcPr>
                  <w:tcW w:w="567" w:type="pct"/>
                  <w:tcBorders>
                    <w:tl2br w:val="nil"/>
                    <w:tr2bl w:val="nil"/>
                  </w:tcBorders>
                  <w:vAlign w:val="center"/>
                </w:tcPr>
                <w:p w14:paraId="21CB94DF">
                  <w:pPr>
                    <w:pStyle w:val="45"/>
                    <w:rPr>
                      <w:rFonts w:hint="default"/>
                      <w:b w:val="0"/>
                      <w:bCs w:val="0"/>
                      <w:u w:val="none"/>
                    </w:rPr>
                  </w:pPr>
                  <w:r>
                    <w:rPr>
                      <w:rFonts w:hint="default"/>
                      <w:b w:val="0"/>
                      <w:bCs w:val="0"/>
                      <w:u w:val="none"/>
                    </w:rPr>
                    <w:t>符合</w:t>
                  </w:r>
                </w:p>
              </w:tc>
            </w:tr>
            <w:tr w14:paraId="1FEA537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44" w:type="pct"/>
                  <w:vMerge w:val="restart"/>
                  <w:tcBorders>
                    <w:tl2br w:val="nil"/>
                    <w:tr2bl w:val="nil"/>
                  </w:tcBorders>
                  <w:vAlign w:val="center"/>
                </w:tcPr>
                <w:p w14:paraId="19075231">
                  <w:pPr>
                    <w:pStyle w:val="45"/>
                    <w:rPr>
                      <w:rFonts w:hint="default"/>
                      <w:b w:val="0"/>
                      <w:bCs w:val="0"/>
                      <w:u w:val="none"/>
                    </w:rPr>
                  </w:pPr>
                  <w:r>
                    <w:rPr>
                      <w:rFonts w:hint="default"/>
                      <w:b w:val="0"/>
                      <w:bCs w:val="0"/>
                      <w:u w:val="none"/>
                    </w:rPr>
                    <w:t>污染物排放管控</w:t>
                  </w:r>
                </w:p>
              </w:tc>
              <w:tc>
                <w:tcPr>
                  <w:tcW w:w="2506" w:type="pct"/>
                  <w:tcBorders>
                    <w:tl2br w:val="nil"/>
                    <w:tr2bl w:val="nil"/>
                  </w:tcBorders>
                  <w:vAlign w:val="center"/>
                </w:tcPr>
                <w:p w14:paraId="48E8D74D">
                  <w:pPr>
                    <w:pStyle w:val="45"/>
                    <w:rPr>
                      <w:rFonts w:hint="default"/>
                      <w:b w:val="0"/>
                      <w:bCs w:val="0"/>
                      <w:u w:val="none"/>
                    </w:rPr>
                  </w:pPr>
                  <w:r>
                    <w:rPr>
                      <w:rFonts w:hint="default"/>
                      <w:b w:val="0"/>
                      <w:bCs w:val="0"/>
                      <w:u w:val="none"/>
                    </w:rPr>
                    <w:t>入驻企业应根据污染物排放标准和相关环境管理要求，适时对企业生产及治污设施进行升级改造，满足达标排放、总量控制等环境管理要求，否则应予以逐步淘汰。</w:t>
                  </w:r>
                </w:p>
              </w:tc>
              <w:tc>
                <w:tcPr>
                  <w:tcW w:w="1482" w:type="pct"/>
                  <w:tcBorders>
                    <w:tl2br w:val="nil"/>
                    <w:tr2bl w:val="nil"/>
                  </w:tcBorders>
                  <w:vAlign w:val="center"/>
                </w:tcPr>
                <w:p w14:paraId="279872FA">
                  <w:pPr>
                    <w:pStyle w:val="45"/>
                    <w:rPr>
                      <w:rFonts w:hint="default"/>
                      <w:b w:val="0"/>
                      <w:bCs w:val="0"/>
                      <w:u w:val="none"/>
                    </w:rPr>
                  </w:pPr>
                  <w:r>
                    <w:rPr>
                      <w:rFonts w:hint="default"/>
                      <w:b w:val="0"/>
                      <w:bCs w:val="0"/>
                      <w:u w:val="none"/>
                    </w:rPr>
                    <w:t>本项目各项污染物均能</w:t>
                  </w:r>
                  <w:r>
                    <w:rPr>
                      <w:b w:val="0"/>
                      <w:bCs w:val="0"/>
                      <w:u w:val="none"/>
                    </w:rPr>
                    <w:t>满足《无机化学工业污染物排放标准》（GB31573—2015）、《大气污染物综合排放标准》等相关标准要求，项目污染物分别采取等量和倍量替代，能够满足总量控制要求</w:t>
                  </w:r>
                </w:p>
              </w:tc>
              <w:tc>
                <w:tcPr>
                  <w:tcW w:w="567" w:type="pct"/>
                  <w:tcBorders>
                    <w:tl2br w:val="nil"/>
                    <w:tr2bl w:val="nil"/>
                  </w:tcBorders>
                  <w:vAlign w:val="center"/>
                </w:tcPr>
                <w:p w14:paraId="1E7F97AC">
                  <w:pPr>
                    <w:pStyle w:val="45"/>
                    <w:rPr>
                      <w:rFonts w:hint="default"/>
                      <w:b w:val="0"/>
                      <w:bCs w:val="0"/>
                      <w:u w:val="none"/>
                    </w:rPr>
                  </w:pPr>
                  <w:r>
                    <w:rPr>
                      <w:rFonts w:hint="default"/>
                      <w:b w:val="0"/>
                      <w:bCs w:val="0"/>
                      <w:u w:val="none"/>
                    </w:rPr>
                    <w:t>符合</w:t>
                  </w:r>
                </w:p>
              </w:tc>
            </w:tr>
            <w:tr w14:paraId="7B31546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44" w:type="pct"/>
                  <w:vMerge w:val="continue"/>
                  <w:tcBorders>
                    <w:tl2br w:val="nil"/>
                    <w:tr2bl w:val="nil"/>
                  </w:tcBorders>
                  <w:vAlign w:val="center"/>
                </w:tcPr>
                <w:p w14:paraId="7B90B59F">
                  <w:pPr>
                    <w:pStyle w:val="45"/>
                    <w:rPr>
                      <w:rFonts w:hint="default"/>
                      <w:b w:val="0"/>
                      <w:bCs w:val="0"/>
                      <w:u w:val="none"/>
                    </w:rPr>
                  </w:pPr>
                </w:p>
              </w:tc>
              <w:tc>
                <w:tcPr>
                  <w:tcW w:w="2506" w:type="pct"/>
                  <w:tcBorders>
                    <w:tl2br w:val="nil"/>
                    <w:tr2bl w:val="nil"/>
                  </w:tcBorders>
                  <w:vAlign w:val="center"/>
                </w:tcPr>
                <w:p w14:paraId="79949A35">
                  <w:pPr>
                    <w:pStyle w:val="45"/>
                    <w:rPr>
                      <w:rFonts w:hint="default"/>
                      <w:b w:val="0"/>
                      <w:bCs w:val="0"/>
                      <w:u w:val="none"/>
                    </w:rPr>
                  </w:pPr>
                  <w:r>
                    <w:rPr>
                      <w:rFonts w:hint="default"/>
                      <w:b w:val="0"/>
                      <w:bCs w:val="0"/>
                      <w:u w:val="none"/>
                    </w:rPr>
                    <w:t>新建项目VOCs排放需实行区域内等量或倍量削减替代。园区内涉及VOCs废气排放的企业废气治理措施采用低温等离子体技术、UV光催化氧化技术、活性炭吸附技术等两种或两种以上组合工艺，禁止使用单一吸附、催化氧化等处理技术</w:t>
                  </w:r>
                </w:p>
              </w:tc>
              <w:tc>
                <w:tcPr>
                  <w:tcW w:w="1482" w:type="pct"/>
                  <w:tcBorders>
                    <w:tl2br w:val="nil"/>
                    <w:tr2bl w:val="nil"/>
                  </w:tcBorders>
                  <w:vAlign w:val="center"/>
                </w:tcPr>
                <w:p w14:paraId="54ECD06C">
                  <w:pPr>
                    <w:pStyle w:val="45"/>
                    <w:rPr>
                      <w:rFonts w:hint="default"/>
                      <w:b w:val="0"/>
                      <w:bCs w:val="0"/>
                      <w:u w:val="none"/>
                    </w:rPr>
                  </w:pPr>
                  <w:r>
                    <w:rPr>
                      <w:rFonts w:hint="default"/>
                      <w:b w:val="0"/>
                      <w:bCs w:val="0"/>
                      <w:u w:val="none"/>
                    </w:rPr>
                    <w:t>本项目</w:t>
                  </w:r>
                  <w:r>
                    <w:rPr>
                      <w:b w:val="0"/>
                      <w:bCs w:val="0"/>
                      <w:u w:val="none"/>
                    </w:rPr>
                    <w:t>二氧化碳回收尾气中含有极少部分甲醇，不会对环境空气影响可接受</w:t>
                  </w:r>
                </w:p>
              </w:tc>
              <w:tc>
                <w:tcPr>
                  <w:tcW w:w="567" w:type="pct"/>
                  <w:tcBorders>
                    <w:tl2br w:val="nil"/>
                    <w:tr2bl w:val="nil"/>
                  </w:tcBorders>
                  <w:vAlign w:val="center"/>
                </w:tcPr>
                <w:p w14:paraId="1C04B21A">
                  <w:pPr>
                    <w:pStyle w:val="45"/>
                    <w:rPr>
                      <w:rFonts w:hint="default"/>
                      <w:b w:val="0"/>
                      <w:bCs w:val="0"/>
                      <w:u w:val="none"/>
                    </w:rPr>
                  </w:pPr>
                  <w:r>
                    <w:rPr>
                      <w:rFonts w:hint="default"/>
                      <w:b w:val="0"/>
                      <w:bCs w:val="0"/>
                      <w:u w:val="none"/>
                    </w:rPr>
                    <w:t>符合</w:t>
                  </w:r>
                </w:p>
              </w:tc>
            </w:tr>
            <w:tr w14:paraId="67E36EF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44" w:type="pct"/>
                  <w:vMerge w:val="continue"/>
                  <w:tcBorders>
                    <w:tl2br w:val="nil"/>
                    <w:tr2bl w:val="nil"/>
                  </w:tcBorders>
                  <w:vAlign w:val="center"/>
                </w:tcPr>
                <w:p w14:paraId="2E7EEB46">
                  <w:pPr>
                    <w:pStyle w:val="45"/>
                    <w:rPr>
                      <w:rFonts w:hint="default"/>
                      <w:b w:val="0"/>
                      <w:bCs w:val="0"/>
                      <w:u w:val="none"/>
                    </w:rPr>
                  </w:pPr>
                </w:p>
              </w:tc>
              <w:tc>
                <w:tcPr>
                  <w:tcW w:w="2506" w:type="pct"/>
                  <w:tcBorders>
                    <w:tl2br w:val="nil"/>
                    <w:tr2bl w:val="nil"/>
                  </w:tcBorders>
                  <w:vAlign w:val="center"/>
                </w:tcPr>
                <w:p w14:paraId="5614B4C5">
                  <w:pPr>
                    <w:pStyle w:val="45"/>
                    <w:rPr>
                      <w:rFonts w:hint="default"/>
                      <w:b w:val="0"/>
                      <w:bCs w:val="0"/>
                      <w:u w:val="none"/>
                    </w:rPr>
                  </w:pPr>
                  <w:r>
                    <w:rPr>
                      <w:rFonts w:hint="default"/>
                      <w:b w:val="0"/>
                      <w:bCs w:val="0"/>
                      <w:u w:val="none"/>
                    </w:rPr>
                    <w:t>禁止新增非集中供热性质的燃煤锅炉及燃重油、渣油锅炉和直接燃用生物质的锅炉项目。</w:t>
                  </w:r>
                </w:p>
              </w:tc>
              <w:tc>
                <w:tcPr>
                  <w:tcW w:w="1482" w:type="pct"/>
                  <w:tcBorders>
                    <w:tl2br w:val="nil"/>
                    <w:tr2bl w:val="nil"/>
                  </w:tcBorders>
                  <w:vAlign w:val="center"/>
                </w:tcPr>
                <w:p w14:paraId="7367C952">
                  <w:pPr>
                    <w:pStyle w:val="45"/>
                    <w:rPr>
                      <w:rFonts w:hint="default"/>
                      <w:b w:val="0"/>
                      <w:bCs w:val="0"/>
                      <w:u w:val="none"/>
                    </w:rPr>
                  </w:pPr>
                  <w:r>
                    <w:rPr>
                      <w:b w:val="0"/>
                      <w:bCs w:val="0"/>
                      <w:u w:val="none"/>
                    </w:rPr>
                    <w:t>不涉及</w:t>
                  </w:r>
                </w:p>
              </w:tc>
              <w:tc>
                <w:tcPr>
                  <w:tcW w:w="567" w:type="pct"/>
                  <w:tcBorders>
                    <w:tl2br w:val="nil"/>
                    <w:tr2bl w:val="nil"/>
                  </w:tcBorders>
                  <w:vAlign w:val="center"/>
                </w:tcPr>
                <w:p w14:paraId="6FA3543C">
                  <w:pPr>
                    <w:pStyle w:val="45"/>
                    <w:rPr>
                      <w:rFonts w:hint="default"/>
                      <w:b w:val="0"/>
                      <w:bCs w:val="0"/>
                      <w:u w:val="none"/>
                    </w:rPr>
                  </w:pPr>
                  <w:r>
                    <w:rPr>
                      <w:b w:val="0"/>
                      <w:bCs w:val="0"/>
                      <w:u w:val="none"/>
                    </w:rPr>
                    <w:t>不涉及</w:t>
                  </w:r>
                </w:p>
              </w:tc>
            </w:tr>
            <w:tr w14:paraId="2BA0A40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44" w:type="pct"/>
                  <w:vMerge w:val="continue"/>
                  <w:tcBorders>
                    <w:tl2br w:val="nil"/>
                    <w:tr2bl w:val="nil"/>
                  </w:tcBorders>
                  <w:vAlign w:val="center"/>
                </w:tcPr>
                <w:p w14:paraId="1B24EC99">
                  <w:pPr>
                    <w:pStyle w:val="45"/>
                    <w:rPr>
                      <w:rFonts w:hint="default"/>
                      <w:b w:val="0"/>
                      <w:bCs w:val="0"/>
                      <w:u w:val="none"/>
                    </w:rPr>
                  </w:pPr>
                </w:p>
              </w:tc>
              <w:tc>
                <w:tcPr>
                  <w:tcW w:w="2506" w:type="pct"/>
                  <w:tcBorders>
                    <w:tl2br w:val="nil"/>
                    <w:tr2bl w:val="nil"/>
                  </w:tcBorders>
                  <w:vAlign w:val="center"/>
                </w:tcPr>
                <w:p w14:paraId="72956E83">
                  <w:pPr>
                    <w:pStyle w:val="45"/>
                    <w:rPr>
                      <w:rFonts w:hint="default"/>
                      <w:b w:val="0"/>
                      <w:bCs w:val="0"/>
                      <w:u w:val="none"/>
                    </w:rPr>
                  </w:pPr>
                  <w:r>
                    <w:rPr>
                      <w:rFonts w:hint="default"/>
                      <w:b w:val="0"/>
                      <w:bCs w:val="0"/>
                      <w:u w:val="none"/>
                    </w:rPr>
                    <w:t>入区企业的废水需通过污水管网排入集聚区污水处理厂处理，在不具备接入污水管网的区域，禁止入驻涉及废水直接排放的企业。</w:t>
                  </w:r>
                </w:p>
              </w:tc>
              <w:tc>
                <w:tcPr>
                  <w:tcW w:w="1482" w:type="pct"/>
                  <w:tcBorders>
                    <w:tl2br w:val="nil"/>
                    <w:tr2bl w:val="nil"/>
                  </w:tcBorders>
                  <w:vAlign w:val="center"/>
                </w:tcPr>
                <w:p w14:paraId="69BD9BFC">
                  <w:pPr>
                    <w:pStyle w:val="45"/>
                    <w:rPr>
                      <w:rFonts w:hint="default"/>
                      <w:b w:val="0"/>
                      <w:bCs w:val="0"/>
                      <w:u w:val="none"/>
                    </w:rPr>
                  </w:pPr>
                  <w:r>
                    <w:rPr>
                      <w:rFonts w:hint="default"/>
                      <w:b w:val="0"/>
                      <w:bCs w:val="0"/>
                      <w:u w:val="none"/>
                    </w:rPr>
                    <w:t>本项目废水通过污水管网排入</w:t>
                  </w:r>
                  <w:r>
                    <w:rPr>
                      <w:b w:val="0"/>
                      <w:bCs w:val="0"/>
                      <w:kern w:val="0"/>
                      <w:szCs w:val="18"/>
                      <w:u w:val="none"/>
                      <w:lang w:val="zh-CN"/>
                    </w:rPr>
                    <w:t>平顶山首创水务有限公司（平顶山市第三污水处理厂）</w:t>
                  </w:r>
                  <w:r>
                    <w:rPr>
                      <w:rFonts w:hint="default"/>
                      <w:b w:val="0"/>
                      <w:bCs w:val="0"/>
                      <w:u w:val="none"/>
                    </w:rPr>
                    <w:t>处理</w:t>
                  </w:r>
                </w:p>
              </w:tc>
              <w:tc>
                <w:tcPr>
                  <w:tcW w:w="567" w:type="pct"/>
                  <w:tcBorders>
                    <w:tl2br w:val="nil"/>
                    <w:tr2bl w:val="nil"/>
                  </w:tcBorders>
                  <w:vAlign w:val="center"/>
                </w:tcPr>
                <w:p w14:paraId="2A161141">
                  <w:pPr>
                    <w:pStyle w:val="45"/>
                    <w:rPr>
                      <w:rFonts w:hint="default"/>
                      <w:b w:val="0"/>
                      <w:bCs w:val="0"/>
                      <w:u w:val="none"/>
                    </w:rPr>
                  </w:pPr>
                  <w:r>
                    <w:rPr>
                      <w:b w:val="0"/>
                      <w:bCs w:val="0"/>
                      <w:u w:val="none"/>
                    </w:rPr>
                    <w:t>符合</w:t>
                  </w:r>
                </w:p>
              </w:tc>
            </w:tr>
            <w:tr w14:paraId="5757D9E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44" w:type="pct"/>
                  <w:vMerge w:val="continue"/>
                  <w:tcBorders>
                    <w:tl2br w:val="nil"/>
                    <w:tr2bl w:val="nil"/>
                  </w:tcBorders>
                  <w:vAlign w:val="center"/>
                </w:tcPr>
                <w:p w14:paraId="4CC0BFCF">
                  <w:pPr>
                    <w:pStyle w:val="45"/>
                    <w:rPr>
                      <w:rFonts w:hint="default"/>
                      <w:b w:val="0"/>
                      <w:bCs w:val="0"/>
                      <w:u w:val="none"/>
                    </w:rPr>
                  </w:pPr>
                </w:p>
              </w:tc>
              <w:tc>
                <w:tcPr>
                  <w:tcW w:w="2506" w:type="pct"/>
                  <w:tcBorders>
                    <w:tl2br w:val="nil"/>
                    <w:tr2bl w:val="nil"/>
                  </w:tcBorders>
                  <w:vAlign w:val="center"/>
                </w:tcPr>
                <w:p w14:paraId="198B554C">
                  <w:pPr>
                    <w:pStyle w:val="45"/>
                    <w:rPr>
                      <w:rFonts w:hint="default"/>
                      <w:b w:val="0"/>
                      <w:bCs w:val="0"/>
                      <w:u w:val="none"/>
                    </w:rPr>
                  </w:pPr>
                  <w:r>
                    <w:rPr>
                      <w:rFonts w:hint="default"/>
                      <w:b w:val="0"/>
                      <w:bCs w:val="0"/>
                      <w:u w:val="none"/>
                    </w:rPr>
                    <w:t>新增污染物排放总量的项目，需满足国家、省、市等区域或行业替代的相关要求。</w:t>
                  </w:r>
                </w:p>
              </w:tc>
              <w:tc>
                <w:tcPr>
                  <w:tcW w:w="1482" w:type="pct"/>
                  <w:tcBorders>
                    <w:tl2br w:val="nil"/>
                    <w:tr2bl w:val="nil"/>
                  </w:tcBorders>
                  <w:vAlign w:val="center"/>
                </w:tcPr>
                <w:p w14:paraId="11540A12">
                  <w:pPr>
                    <w:pStyle w:val="45"/>
                    <w:rPr>
                      <w:rFonts w:hint="default"/>
                      <w:b w:val="0"/>
                      <w:bCs w:val="0"/>
                      <w:u w:val="none"/>
                    </w:rPr>
                  </w:pPr>
                  <w:r>
                    <w:rPr>
                      <w:rFonts w:hint="default"/>
                      <w:b w:val="0"/>
                      <w:bCs w:val="0"/>
                      <w:u w:val="none"/>
                    </w:rPr>
                    <w:t>本项目</w:t>
                  </w:r>
                  <w:r>
                    <w:rPr>
                      <w:b w:val="0"/>
                      <w:bCs w:val="0"/>
                      <w:u w:val="none"/>
                    </w:rPr>
                    <w:t>按照要求对</w:t>
                  </w:r>
                  <w:r>
                    <w:rPr>
                      <w:rFonts w:hint="default"/>
                      <w:b w:val="0"/>
                      <w:bCs w:val="0"/>
                      <w:u w:val="none"/>
                    </w:rPr>
                    <w:t>新增污染物排放总量实行替代</w:t>
                  </w:r>
                </w:p>
              </w:tc>
              <w:tc>
                <w:tcPr>
                  <w:tcW w:w="567" w:type="pct"/>
                  <w:tcBorders>
                    <w:tl2br w:val="nil"/>
                    <w:tr2bl w:val="nil"/>
                  </w:tcBorders>
                  <w:vAlign w:val="center"/>
                </w:tcPr>
                <w:p w14:paraId="601316A0">
                  <w:pPr>
                    <w:pStyle w:val="45"/>
                    <w:rPr>
                      <w:rFonts w:hint="default"/>
                      <w:b w:val="0"/>
                      <w:bCs w:val="0"/>
                      <w:u w:val="none"/>
                    </w:rPr>
                  </w:pPr>
                  <w:r>
                    <w:rPr>
                      <w:rFonts w:hint="default"/>
                      <w:b w:val="0"/>
                      <w:bCs w:val="0"/>
                      <w:u w:val="none"/>
                    </w:rPr>
                    <w:t>符合</w:t>
                  </w:r>
                </w:p>
              </w:tc>
            </w:tr>
          </w:tbl>
          <w:p w14:paraId="604F74B1">
            <w:pPr>
              <w:pStyle w:val="5"/>
              <w:rPr>
                <w:rFonts w:hint="default"/>
                <w:b w:val="0"/>
                <w:bCs w:val="0"/>
                <w:kern w:val="0"/>
                <w:u w:val="none"/>
              </w:rPr>
            </w:pPr>
            <w:r>
              <w:rPr>
                <w:b w:val="0"/>
                <w:bCs w:val="0"/>
                <w:u w:val="none"/>
              </w:rPr>
              <w:t>由以上分析可知，本项目符合平顶山尼龙新材料产业集聚区准入条件要求。</w:t>
            </w:r>
          </w:p>
          <w:p w14:paraId="633C9B37">
            <w:pPr>
              <w:pStyle w:val="4"/>
              <w:rPr>
                <w:b w:val="0"/>
                <w:bCs w:val="0"/>
                <w:u w:val="none"/>
              </w:rPr>
            </w:pPr>
            <w:r>
              <w:rPr>
                <w:rFonts w:hint="eastAsia"/>
                <w:b w:val="0"/>
                <w:bCs w:val="0"/>
                <w:u w:val="none"/>
              </w:rPr>
              <w:t>本项目与平顶山尼龙新材料产业集聚区规划环评结论相符性分析</w:t>
            </w:r>
          </w:p>
          <w:p w14:paraId="271B82EB">
            <w:pPr>
              <w:autoSpaceDE w:val="0"/>
              <w:autoSpaceDN w:val="0"/>
              <w:adjustRightInd w:val="0"/>
              <w:snapToGrid w:val="0"/>
              <w:spacing w:line="360" w:lineRule="auto"/>
              <w:ind w:firstLine="420" w:firstLineChars="200"/>
              <w:rPr>
                <w:rFonts w:cs="宋体"/>
                <w:b w:val="0"/>
                <w:bCs w:val="0"/>
                <w:kern w:val="0"/>
                <w:u w:val="none"/>
              </w:rPr>
            </w:pPr>
            <w:r>
              <w:rPr>
                <w:rFonts w:hint="eastAsia" w:cs="宋体"/>
                <w:b w:val="0"/>
                <w:bCs w:val="0"/>
                <w:kern w:val="0"/>
                <w:u w:val="none"/>
              </w:rPr>
              <w:t>本项目与</w:t>
            </w:r>
            <w:r>
              <w:rPr>
                <w:rFonts w:hint="eastAsia"/>
                <w:b w:val="0"/>
                <w:bCs w:val="0"/>
                <w:u w:val="none"/>
              </w:rPr>
              <w:t>平顶山尼龙新材料产业集聚区规划环评结论</w:t>
            </w:r>
            <w:r>
              <w:rPr>
                <w:rFonts w:hint="eastAsia" w:cs="宋体"/>
                <w:b w:val="0"/>
                <w:bCs w:val="0"/>
                <w:kern w:val="0"/>
                <w:u w:val="none"/>
              </w:rPr>
              <w:t>对照分析如下。</w:t>
            </w:r>
          </w:p>
          <w:p w14:paraId="657A4776">
            <w:pPr>
              <w:pStyle w:val="44"/>
              <w:numPr>
                <w:ilvl w:val="0"/>
                <w:numId w:val="2"/>
              </w:numPr>
              <w:rPr>
                <w:rFonts w:hint="default"/>
                <w:b w:val="0"/>
                <w:bCs w:val="0"/>
                <w:u w:val="none"/>
              </w:rPr>
            </w:pPr>
            <w:r>
              <w:rPr>
                <w:b w:val="0"/>
                <w:bCs w:val="0"/>
                <w:u w:val="none"/>
              </w:rPr>
              <w:t xml:space="preserve">     项目与集聚区准入条件对照分析一览表</w:t>
            </w:r>
          </w:p>
          <w:tbl>
            <w:tblPr>
              <w:tblStyle w:val="27"/>
              <w:tblpPr w:leftFromText="180" w:rightFromText="180" w:vertAnchor="text" w:tblpXSpec="center" w:tblpY="1"/>
              <w:tblOverlap w:val="never"/>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3321"/>
              <w:gridCol w:w="2690"/>
              <w:gridCol w:w="503"/>
            </w:tblGrid>
            <w:tr w14:paraId="73C45F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30" w:type="pct"/>
                  <w:gridSpan w:val="2"/>
                  <w:tcMar>
                    <w:left w:w="28" w:type="dxa"/>
                    <w:right w:w="28" w:type="dxa"/>
                  </w:tcMar>
                  <w:vAlign w:val="center"/>
                </w:tcPr>
                <w:p w14:paraId="1F146EC2">
                  <w:pPr>
                    <w:adjustRightInd w:val="0"/>
                    <w:jc w:val="center"/>
                    <w:rPr>
                      <w:b w:val="0"/>
                      <w:bCs w:val="0"/>
                      <w:kern w:val="0"/>
                      <w:sz w:val="18"/>
                      <w:szCs w:val="18"/>
                      <w:u w:val="none"/>
                    </w:rPr>
                  </w:pPr>
                  <w:r>
                    <w:rPr>
                      <w:b w:val="0"/>
                      <w:bCs w:val="0"/>
                      <w:kern w:val="0"/>
                      <w:sz w:val="18"/>
                      <w:szCs w:val="18"/>
                      <w:u w:val="none"/>
                    </w:rPr>
                    <w:t>集聚区规划环境影响评价结论</w:t>
                  </w:r>
                </w:p>
              </w:tc>
              <w:tc>
                <w:tcPr>
                  <w:tcW w:w="1911" w:type="pct"/>
                  <w:tcMar>
                    <w:left w:w="28" w:type="dxa"/>
                    <w:right w:w="28" w:type="dxa"/>
                  </w:tcMar>
                  <w:vAlign w:val="center"/>
                </w:tcPr>
                <w:p w14:paraId="6DE9C9BD">
                  <w:pPr>
                    <w:adjustRightInd w:val="0"/>
                    <w:jc w:val="center"/>
                    <w:rPr>
                      <w:b w:val="0"/>
                      <w:bCs w:val="0"/>
                      <w:kern w:val="0"/>
                      <w:sz w:val="18"/>
                      <w:szCs w:val="18"/>
                      <w:u w:val="none"/>
                    </w:rPr>
                  </w:pPr>
                  <w:r>
                    <w:rPr>
                      <w:b w:val="0"/>
                      <w:bCs w:val="0"/>
                      <w:kern w:val="0"/>
                      <w:sz w:val="18"/>
                      <w:szCs w:val="18"/>
                      <w:u w:val="none"/>
                    </w:rPr>
                    <w:t>本项目情况</w:t>
                  </w:r>
                </w:p>
              </w:tc>
              <w:tc>
                <w:tcPr>
                  <w:tcW w:w="357" w:type="pct"/>
                  <w:tcMar>
                    <w:left w:w="28" w:type="dxa"/>
                    <w:right w:w="28" w:type="dxa"/>
                  </w:tcMar>
                  <w:vAlign w:val="center"/>
                </w:tcPr>
                <w:p w14:paraId="3CED3984">
                  <w:pPr>
                    <w:adjustRightInd w:val="0"/>
                    <w:jc w:val="center"/>
                    <w:rPr>
                      <w:b w:val="0"/>
                      <w:bCs w:val="0"/>
                      <w:kern w:val="0"/>
                      <w:sz w:val="18"/>
                      <w:szCs w:val="18"/>
                      <w:u w:val="none"/>
                    </w:rPr>
                  </w:pPr>
                  <w:r>
                    <w:rPr>
                      <w:b w:val="0"/>
                      <w:bCs w:val="0"/>
                      <w:kern w:val="0"/>
                      <w:sz w:val="18"/>
                      <w:szCs w:val="18"/>
                      <w:u w:val="none"/>
                    </w:rPr>
                    <w:t>相符性</w:t>
                  </w:r>
                </w:p>
              </w:tc>
            </w:tr>
            <w:tr w14:paraId="17C654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 w:type="pct"/>
                  <w:vMerge w:val="restart"/>
                  <w:tcMar>
                    <w:left w:w="28" w:type="dxa"/>
                    <w:right w:w="28" w:type="dxa"/>
                  </w:tcMar>
                  <w:vAlign w:val="center"/>
                </w:tcPr>
                <w:p w14:paraId="4F8FEC6A">
                  <w:pPr>
                    <w:adjustRightInd w:val="0"/>
                    <w:jc w:val="center"/>
                    <w:rPr>
                      <w:b w:val="0"/>
                      <w:bCs w:val="0"/>
                      <w:sz w:val="18"/>
                      <w:szCs w:val="18"/>
                      <w:u w:val="none"/>
                    </w:rPr>
                  </w:pPr>
                  <w:r>
                    <w:rPr>
                      <w:rFonts w:hint="eastAsia"/>
                      <w:b w:val="0"/>
                      <w:bCs w:val="0"/>
                      <w:kern w:val="0"/>
                      <w:sz w:val="18"/>
                      <w:szCs w:val="18"/>
                      <w:u w:val="none"/>
                    </w:rPr>
                    <w:t>地表</w:t>
                  </w:r>
                  <w:r>
                    <w:rPr>
                      <w:b w:val="0"/>
                      <w:bCs w:val="0"/>
                      <w:kern w:val="0"/>
                      <w:sz w:val="18"/>
                      <w:szCs w:val="18"/>
                      <w:u w:val="none"/>
                    </w:rPr>
                    <w:t>水环境保护对策</w:t>
                  </w:r>
                </w:p>
              </w:tc>
              <w:tc>
                <w:tcPr>
                  <w:tcW w:w="2358" w:type="pct"/>
                  <w:tcMar>
                    <w:left w:w="28" w:type="dxa"/>
                    <w:right w:w="28" w:type="dxa"/>
                  </w:tcMar>
                  <w:vAlign w:val="center"/>
                </w:tcPr>
                <w:p w14:paraId="5F6D8CBA">
                  <w:pPr>
                    <w:jc w:val="left"/>
                    <w:rPr>
                      <w:b w:val="0"/>
                      <w:bCs w:val="0"/>
                      <w:sz w:val="18"/>
                      <w:szCs w:val="18"/>
                      <w:u w:val="none"/>
                    </w:rPr>
                  </w:pPr>
                  <w:r>
                    <w:rPr>
                      <w:rFonts w:hint="eastAsia"/>
                      <w:b w:val="0"/>
                      <w:bCs w:val="0"/>
                      <w:sz w:val="18"/>
                      <w:szCs w:val="18"/>
                      <w:u w:val="none"/>
                    </w:rPr>
                    <w:t>污水集中处置：</w:t>
                  </w:r>
                  <w:r>
                    <w:rPr>
                      <w:b w:val="0"/>
                      <w:bCs w:val="0"/>
                      <w:sz w:val="18"/>
                      <w:szCs w:val="18"/>
                      <w:u w:val="none"/>
                    </w:rPr>
                    <w:t>建议加快园区规划范围内污水管网建设，在污水管网配套不完善的区域，禁止涉水项目入驻，提高园区生活污水和工业废水的收集率和处理率。规划近期平顶山第三污水处理厂出水主要因子</w:t>
                  </w:r>
                  <w:r>
                    <w:rPr>
                      <w:rFonts w:eastAsia="TimesNewRomanPSMT"/>
                      <w:b w:val="0"/>
                      <w:bCs w:val="0"/>
                      <w:sz w:val="18"/>
                      <w:szCs w:val="18"/>
                      <w:u w:val="none"/>
                    </w:rPr>
                    <w:t>COD</w:t>
                  </w:r>
                  <w:r>
                    <w:rPr>
                      <w:b w:val="0"/>
                      <w:bCs w:val="0"/>
                      <w:sz w:val="18"/>
                      <w:szCs w:val="18"/>
                      <w:u w:val="none"/>
                    </w:rPr>
                    <w:t>、氨氮、总磷的排放浓度应低于</w:t>
                  </w:r>
                  <w:r>
                    <w:rPr>
                      <w:rFonts w:eastAsia="TimesNewRomanPSMT"/>
                      <w:b w:val="0"/>
                      <w:bCs w:val="0"/>
                      <w:sz w:val="18"/>
                      <w:szCs w:val="18"/>
                      <w:u w:val="none"/>
                    </w:rPr>
                    <w:t>30mg/L</w:t>
                  </w:r>
                  <w:r>
                    <w:rPr>
                      <w:b w:val="0"/>
                      <w:bCs w:val="0"/>
                      <w:sz w:val="18"/>
                      <w:szCs w:val="18"/>
                      <w:u w:val="none"/>
                    </w:rPr>
                    <w:t>、</w:t>
                  </w:r>
                  <w:r>
                    <w:rPr>
                      <w:rFonts w:eastAsia="TimesNewRomanPSMT"/>
                      <w:b w:val="0"/>
                      <w:bCs w:val="0"/>
                      <w:sz w:val="18"/>
                      <w:szCs w:val="18"/>
                      <w:u w:val="none"/>
                    </w:rPr>
                    <w:t xml:space="preserve">1.5 mg/L </w:t>
                  </w:r>
                  <w:r>
                    <w:rPr>
                      <w:b w:val="0"/>
                      <w:bCs w:val="0"/>
                      <w:sz w:val="18"/>
                      <w:szCs w:val="18"/>
                      <w:u w:val="none"/>
                    </w:rPr>
                    <w:t>和</w:t>
                  </w:r>
                  <w:r>
                    <w:rPr>
                      <w:rFonts w:eastAsia="TimesNewRomanPSMT"/>
                      <w:b w:val="0"/>
                      <w:bCs w:val="0"/>
                      <w:sz w:val="18"/>
                      <w:szCs w:val="18"/>
                      <w:u w:val="none"/>
                    </w:rPr>
                    <w:t>0.3 mg/L</w:t>
                  </w:r>
                  <w:r>
                    <w:rPr>
                      <w:b w:val="0"/>
                      <w:bCs w:val="0"/>
                      <w:sz w:val="18"/>
                      <w:szCs w:val="18"/>
                      <w:u w:val="none"/>
                    </w:rPr>
                    <w:t>，规划远期，应结合人工湿地工程等生态治理工程，进一步提升排水水质，主要因子</w:t>
                  </w:r>
                  <w:r>
                    <w:rPr>
                      <w:rFonts w:eastAsia="TimesNewRomanPSMT"/>
                      <w:b w:val="0"/>
                      <w:bCs w:val="0"/>
                      <w:sz w:val="18"/>
                      <w:szCs w:val="18"/>
                      <w:u w:val="none"/>
                    </w:rPr>
                    <w:t>COD</w:t>
                  </w:r>
                  <w:r>
                    <w:rPr>
                      <w:b w:val="0"/>
                      <w:bCs w:val="0"/>
                      <w:sz w:val="18"/>
                      <w:szCs w:val="18"/>
                      <w:u w:val="none"/>
                    </w:rPr>
                    <w:t>、氨氮、总磷的排放浓度应低于</w:t>
                  </w:r>
                  <w:r>
                    <w:rPr>
                      <w:rFonts w:eastAsia="TimesNewRomanPSMT"/>
                      <w:b w:val="0"/>
                      <w:bCs w:val="0"/>
                      <w:sz w:val="18"/>
                      <w:szCs w:val="18"/>
                      <w:u w:val="none"/>
                    </w:rPr>
                    <w:t>20mg/L</w:t>
                  </w:r>
                  <w:r>
                    <w:rPr>
                      <w:b w:val="0"/>
                      <w:bCs w:val="0"/>
                      <w:sz w:val="18"/>
                      <w:szCs w:val="18"/>
                      <w:u w:val="none"/>
                    </w:rPr>
                    <w:t>、</w:t>
                  </w:r>
                  <w:r>
                    <w:rPr>
                      <w:rFonts w:eastAsia="TimesNewRomanPSMT"/>
                      <w:b w:val="0"/>
                      <w:bCs w:val="0"/>
                      <w:sz w:val="18"/>
                      <w:szCs w:val="18"/>
                      <w:u w:val="none"/>
                    </w:rPr>
                    <w:t>1.0 mg/L</w:t>
                  </w:r>
                  <w:r>
                    <w:rPr>
                      <w:b w:val="0"/>
                      <w:bCs w:val="0"/>
                      <w:sz w:val="18"/>
                      <w:szCs w:val="18"/>
                      <w:u w:val="none"/>
                    </w:rPr>
                    <w:t>和</w:t>
                  </w:r>
                  <w:r>
                    <w:rPr>
                      <w:rFonts w:eastAsia="TimesNewRomanPSMT"/>
                      <w:b w:val="0"/>
                      <w:bCs w:val="0"/>
                      <w:sz w:val="18"/>
                      <w:szCs w:val="18"/>
                      <w:u w:val="none"/>
                    </w:rPr>
                    <w:t>0.2 mg/L</w:t>
                  </w:r>
                  <w:r>
                    <w:rPr>
                      <w:b w:val="0"/>
                      <w:bCs w:val="0"/>
                      <w:sz w:val="18"/>
                      <w:szCs w:val="18"/>
                      <w:u w:val="none"/>
                    </w:rPr>
                    <w:t>，从而确保灰河水质最终达到水体功能水质目标要求。</w:t>
                  </w:r>
                </w:p>
              </w:tc>
              <w:tc>
                <w:tcPr>
                  <w:tcW w:w="1911" w:type="pct"/>
                  <w:tcMar>
                    <w:left w:w="28" w:type="dxa"/>
                    <w:right w:w="28" w:type="dxa"/>
                  </w:tcMar>
                  <w:vAlign w:val="center"/>
                </w:tcPr>
                <w:p w14:paraId="08BC9CD5">
                  <w:pPr>
                    <w:adjustRightInd w:val="0"/>
                    <w:rPr>
                      <w:b w:val="0"/>
                      <w:bCs w:val="0"/>
                      <w:sz w:val="18"/>
                      <w:szCs w:val="18"/>
                      <w:u w:val="none"/>
                    </w:rPr>
                  </w:pPr>
                  <w:r>
                    <w:rPr>
                      <w:b w:val="0"/>
                      <w:bCs w:val="0"/>
                      <w:sz w:val="18"/>
                      <w:szCs w:val="18"/>
                      <w:u w:val="none"/>
                    </w:rPr>
                    <w:t>项目在</w:t>
                  </w:r>
                  <w:r>
                    <w:rPr>
                      <w:rFonts w:hint="eastAsia"/>
                      <w:b w:val="0"/>
                      <w:bCs w:val="0"/>
                      <w:kern w:val="0"/>
                      <w:sz w:val="18"/>
                      <w:szCs w:val="18"/>
                      <w:u w:val="none"/>
                      <w:lang w:val="zh-CN"/>
                    </w:rPr>
                    <w:t>平顶山首创水务有限公司（平顶山市第三污水处理厂）</w:t>
                  </w:r>
                  <w:r>
                    <w:rPr>
                      <w:b w:val="0"/>
                      <w:bCs w:val="0"/>
                      <w:sz w:val="18"/>
                      <w:szCs w:val="18"/>
                      <w:u w:val="none"/>
                    </w:rPr>
                    <w:t>收水范围内，</w:t>
                  </w:r>
                  <w:r>
                    <w:rPr>
                      <w:rFonts w:hint="eastAsia"/>
                      <w:b w:val="0"/>
                      <w:bCs w:val="0"/>
                      <w:sz w:val="18"/>
                      <w:szCs w:val="18"/>
                      <w:u w:val="none"/>
                    </w:rPr>
                    <w:t>区域污水管网完善，</w:t>
                  </w:r>
                  <w:r>
                    <w:rPr>
                      <w:b w:val="0"/>
                      <w:bCs w:val="0"/>
                      <w:sz w:val="18"/>
                      <w:szCs w:val="18"/>
                      <w:u w:val="none"/>
                    </w:rPr>
                    <w:t>废水经污水管网排入</w:t>
                  </w:r>
                  <w:r>
                    <w:rPr>
                      <w:rFonts w:hint="eastAsia"/>
                      <w:b w:val="0"/>
                      <w:bCs w:val="0"/>
                      <w:kern w:val="0"/>
                      <w:sz w:val="18"/>
                      <w:szCs w:val="18"/>
                      <w:u w:val="none"/>
                      <w:lang w:val="zh-CN"/>
                    </w:rPr>
                    <w:t>平顶山首创水务有限公司（平顶山市第三污水处理厂）</w:t>
                  </w:r>
                  <w:r>
                    <w:rPr>
                      <w:b w:val="0"/>
                      <w:bCs w:val="0"/>
                      <w:sz w:val="18"/>
                      <w:szCs w:val="18"/>
                      <w:u w:val="none"/>
                    </w:rPr>
                    <w:t>可行</w:t>
                  </w:r>
                </w:p>
              </w:tc>
              <w:tc>
                <w:tcPr>
                  <w:tcW w:w="357" w:type="pct"/>
                  <w:tcMar>
                    <w:left w:w="28" w:type="dxa"/>
                    <w:right w:w="28" w:type="dxa"/>
                  </w:tcMar>
                  <w:vAlign w:val="center"/>
                </w:tcPr>
                <w:p w14:paraId="46D94203">
                  <w:pPr>
                    <w:jc w:val="center"/>
                    <w:rPr>
                      <w:b w:val="0"/>
                      <w:bCs w:val="0"/>
                      <w:sz w:val="18"/>
                      <w:szCs w:val="18"/>
                      <w:u w:val="none"/>
                    </w:rPr>
                  </w:pPr>
                  <w:r>
                    <w:rPr>
                      <w:b w:val="0"/>
                      <w:bCs w:val="0"/>
                      <w:kern w:val="0"/>
                      <w:sz w:val="18"/>
                      <w:szCs w:val="18"/>
                      <w:u w:val="none"/>
                    </w:rPr>
                    <w:t>符合</w:t>
                  </w:r>
                </w:p>
              </w:tc>
            </w:tr>
            <w:tr w14:paraId="501695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 w:type="pct"/>
                  <w:vMerge w:val="continue"/>
                  <w:tcMar>
                    <w:left w:w="28" w:type="dxa"/>
                    <w:right w:w="28" w:type="dxa"/>
                  </w:tcMar>
                  <w:vAlign w:val="center"/>
                </w:tcPr>
                <w:p w14:paraId="2EA432BA">
                  <w:pPr>
                    <w:adjustRightInd w:val="0"/>
                    <w:jc w:val="center"/>
                    <w:rPr>
                      <w:b w:val="0"/>
                      <w:bCs w:val="0"/>
                      <w:kern w:val="0"/>
                      <w:sz w:val="18"/>
                      <w:szCs w:val="18"/>
                      <w:u w:val="none"/>
                    </w:rPr>
                  </w:pPr>
                </w:p>
              </w:tc>
              <w:tc>
                <w:tcPr>
                  <w:tcW w:w="2358" w:type="pct"/>
                  <w:tcMar>
                    <w:left w:w="28" w:type="dxa"/>
                    <w:right w:w="28" w:type="dxa"/>
                  </w:tcMar>
                  <w:vAlign w:val="center"/>
                </w:tcPr>
                <w:p w14:paraId="6C3AD1F3">
                  <w:pPr>
                    <w:jc w:val="left"/>
                    <w:rPr>
                      <w:b w:val="0"/>
                      <w:bCs w:val="0"/>
                      <w:sz w:val="18"/>
                      <w:szCs w:val="18"/>
                      <w:u w:val="none"/>
                    </w:rPr>
                  </w:pPr>
                  <w:r>
                    <w:rPr>
                      <w:rFonts w:hint="eastAsia"/>
                      <w:b w:val="0"/>
                      <w:bCs w:val="0"/>
                      <w:sz w:val="18"/>
                      <w:szCs w:val="18"/>
                      <w:u w:val="none"/>
                    </w:rPr>
                    <w:t>实施中水回用：</w:t>
                  </w:r>
                  <w:r>
                    <w:rPr>
                      <w:b w:val="0"/>
                      <w:bCs w:val="0"/>
                      <w:sz w:val="18"/>
                      <w:szCs w:val="18"/>
                      <w:u w:val="none"/>
                    </w:rPr>
                    <w:t>建议园区统一规划建设园区再生水管网和输送体系，工业生产、园区绿化、道路清扫、车辆冲洗、建筑施工以及生态景观等水质要求不高的用水应优先使用再生水。到规划近期园区中水回用率不低于30%，远期不低于40%。</w:t>
                  </w:r>
                </w:p>
              </w:tc>
              <w:tc>
                <w:tcPr>
                  <w:tcW w:w="1911" w:type="pct"/>
                  <w:tcMar>
                    <w:left w:w="28" w:type="dxa"/>
                    <w:right w:w="28" w:type="dxa"/>
                  </w:tcMar>
                  <w:vAlign w:val="center"/>
                </w:tcPr>
                <w:p w14:paraId="279542F3">
                  <w:pPr>
                    <w:adjustRightInd w:val="0"/>
                    <w:rPr>
                      <w:b w:val="0"/>
                      <w:bCs w:val="0"/>
                      <w:sz w:val="18"/>
                      <w:szCs w:val="18"/>
                      <w:u w:val="none"/>
                    </w:rPr>
                  </w:pPr>
                  <w:r>
                    <w:rPr>
                      <w:rFonts w:hint="eastAsia"/>
                      <w:b w:val="0"/>
                      <w:bCs w:val="0"/>
                      <w:sz w:val="18"/>
                      <w:szCs w:val="18"/>
                      <w:u w:val="none"/>
                    </w:rPr>
                    <w:t>本项目冷却水循环使用，生活污水经预处理后排入园区污水处理厂进一步处理</w:t>
                  </w:r>
                </w:p>
              </w:tc>
              <w:tc>
                <w:tcPr>
                  <w:tcW w:w="357" w:type="pct"/>
                  <w:tcMar>
                    <w:left w:w="28" w:type="dxa"/>
                    <w:right w:w="28" w:type="dxa"/>
                  </w:tcMar>
                  <w:vAlign w:val="center"/>
                </w:tcPr>
                <w:p w14:paraId="24363EDE">
                  <w:pPr>
                    <w:jc w:val="center"/>
                    <w:rPr>
                      <w:b w:val="0"/>
                      <w:bCs w:val="0"/>
                      <w:kern w:val="0"/>
                      <w:sz w:val="18"/>
                      <w:szCs w:val="18"/>
                      <w:u w:val="none"/>
                    </w:rPr>
                  </w:pPr>
                </w:p>
              </w:tc>
            </w:tr>
            <w:tr w14:paraId="5B2B49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 w:type="pct"/>
                  <w:vMerge w:val="continue"/>
                  <w:tcMar>
                    <w:left w:w="28" w:type="dxa"/>
                    <w:right w:w="28" w:type="dxa"/>
                  </w:tcMar>
                  <w:vAlign w:val="center"/>
                </w:tcPr>
                <w:p w14:paraId="0D699B57">
                  <w:pPr>
                    <w:adjustRightInd w:val="0"/>
                    <w:jc w:val="center"/>
                    <w:rPr>
                      <w:b w:val="0"/>
                      <w:bCs w:val="0"/>
                      <w:kern w:val="0"/>
                      <w:sz w:val="18"/>
                      <w:szCs w:val="18"/>
                      <w:u w:val="none"/>
                    </w:rPr>
                  </w:pPr>
                </w:p>
              </w:tc>
              <w:tc>
                <w:tcPr>
                  <w:tcW w:w="2358" w:type="pct"/>
                  <w:tcMar>
                    <w:left w:w="28" w:type="dxa"/>
                    <w:right w:w="28" w:type="dxa"/>
                  </w:tcMar>
                  <w:vAlign w:val="center"/>
                </w:tcPr>
                <w:p w14:paraId="27790437">
                  <w:pPr>
                    <w:jc w:val="left"/>
                    <w:rPr>
                      <w:b w:val="0"/>
                      <w:bCs w:val="0"/>
                      <w:sz w:val="18"/>
                      <w:szCs w:val="18"/>
                      <w:u w:val="none"/>
                    </w:rPr>
                  </w:pPr>
                  <w:r>
                    <w:rPr>
                      <w:rFonts w:hint="eastAsia"/>
                      <w:b w:val="0"/>
                      <w:bCs w:val="0"/>
                      <w:sz w:val="18"/>
                      <w:szCs w:val="18"/>
                      <w:u w:val="none"/>
                    </w:rPr>
                    <w:t>严格项目准入：</w:t>
                  </w:r>
                  <w:r>
                    <w:rPr>
                      <w:b w:val="0"/>
                      <w:bCs w:val="0"/>
                      <w:sz w:val="18"/>
                      <w:szCs w:val="18"/>
                      <w:u w:val="none"/>
                    </w:rPr>
                    <w:t>园区应加强对区内企业的监督管理，确保入驻企业的污水预处理设施正常运行，保证进入排污管网的污水水质满足污水处理厂设计水质的要求，特别是严格控制有毒有害污染物的废水排放，应考虑从严制定监管标准。其中印染行业废水应经预处理后，满足集聚区污水处理厂接纳水质要求的前提下，排入集聚区污水处理厂，其他行业废水预处理可根据自身污水特点，选择合适的治理方案。</w:t>
                  </w:r>
                </w:p>
              </w:tc>
              <w:tc>
                <w:tcPr>
                  <w:tcW w:w="1911" w:type="pct"/>
                  <w:tcMar>
                    <w:left w:w="28" w:type="dxa"/>
                    <w:right w:w="28" w:type="dxa"/>
                  </w:tcMar>
                  <w:vAlign w:val="center"/>
                </w:tcPr>
                <w:p w14:paraId="68A380E1">
                  <w:pPr>
                    <w:adjustRightInd w:val="0"/>
                    <w:rPr>
                      <w:b w:val="0"/>
                      <w:bCs w:val="0"/>
                      <w:sz w:val="18"/>
                      <w:szCs w:val="18"/>
                      <w:u w:val="none"/>
                    </w:rPr>
                  </w:pPr>
                  <w:r>
                    <w:rPr>
                      <w:b w:val="0"/>
                      <w:bCs w:val="0"/>
                      <w:sz w:val="18"/>
                      <w:szCs w:val="18"/>
                      <w:u w:val="none"/>
                    </w:rPr>
                    <w:t>本项目生活污水经化粪池处理后经污水管网进入</w:t>
                  </w:r>
                  <w:r>
                    <w:rPr>
                      <w:rFonts w:hint="eastAsia"/>
                      <w:b w:val="0"/>
                      <w:bCs w:val="0"/>
                      <w:kern w:val="0"/>
                      <w:sz w:val="18"/>
                      <w:szCs w:val="18"/>
                      <w:u w:val="none"/>
                      <w:lang w:val="zh-CN"/>
                    </w:rPr>
                    <w:t>平顶山首创水务有限公司（平顶山市第三污水处理厂）</w:t>
                  </w:r>
                  <w:r>
                    <w:rPr>
                      <w:b w:val="0"/>
                      <w:bCs w:val="0"/>
                      <w:sz w:val="18"/>
                      <w:szCs w:val="18"/>
                      <w:u w:val="none"/>
                    </w:rPr>
                    <w:t>进行处理。本项目废水产生量较小，初期雨水分批次泵入管网，不会增加污水处理厂的处理负荷，对其冲击较小。</w:t>
                  </w:r>
                </w:p>
                <w:p w14:paraId="63941BD7">
                  <w:pPr>
                    <w:adjustRightInd w:val="0"/>
                    <w:rPr>
                      <w:b w:val="0"/>
                      <w:bCs w:val="0"/>
                      <w:sz w:val="18"/>
                      <w:szCs w:val="18"/>
                      <w:u w:val="none"/>
                    </w:rPr>
                  </w:pPr>
                </w:p>
              </w:tc>
              <w:tc>
                <w:tcPr>
                  <w:tcW w:w="357" w:type="pct"/>
                  <w:tcMar>
                    <w:left w:w="28" w:type="dxa"/>
                    <w:right w:w="28" w:type="dxa"/>
                  </w:tcMar>
                  <w:vAlign w:val="center"/>
                </w:tcPr>
                <w:p w14:paraId="43FCFAB8">
                  <w:pPr>
                    <w:jc w:val="center"/>
                    <w:rPr>
                      <w:b w:val="0"/>
                      <w:bCs w:val="0"/>
                      <w:kern w:val="0"/>
                      <w:sz w:val="18"/>
                      <w:szCs w:val="18"/>
                      <w:u w:val="none"/>
                    </w:rPr>
                  </w:pPr>
                </w:p>
              </w:tc>
            </w:tr>
            <w:tr w14:paraId="5FE5D5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 w:type="pct"/>
                  <w:vMerge w:val="continue"/>
                  <w:tcMar>
                    <w:left w:w="28" w:type="dxa"/>
                    <w:right w:w="28" w:type="dxa"/>
                  </w:tcMar>
                  <w:vAlign w:val="center"/>
                </w:tcPr>
                <w:p w14:paraId="26A01F46">
                  <w:pPr>
                    <w:adjustRightInd w:val="0"/>
                    <w:jc w:val="center"/>
                    <w:rPr>
                      <w:b w:val="0"/>
                      <w:bCs w:val="0"/>
                      <w:kern w:val="0"/>
                      <w:sz w:val="18"/>
                      <w:szCs w:val="18"/>
                      <w:u w:val="none"/>
                    </w:rPr>
                  </w:pPr>
                </w:p>
              </w:tc>
              <w:tc>
                <w:tcPr>
                  <w:tcW w:w="2358" w:type="pct"/>
                  <w:tcMar>
                    <w:left w:w="28" w:type="dxa"/>
                    <w:right w:w="28" w:type="dxa"/>
                  </w:tcMar>
                  <w:vAlign w:val="center"/>
                </w:tcPr>
                <w:p w14:paraId="67DC7614">
                  <w:pPr>
                    <w:jc w:val="left"/>
                    <w:rPr>
                      <w:b w:val="0"/>
                      <w:bCs w:val="0"/>
                      <w:sz w:val="18"/>
                      <w:szCs w:val="18"/>
                      <w:u w:val="none"/>
                    </w:rPr>
                  </w:pPr>
                  <w:r>
                    <w:rPr>
                      <w:b w:val="0"/>
                      <w:bCs w:val="0"/>
                      <w:sz w:val="18"/>
                      <w:szCs w:val="18"/>
                      <w:u w:val="none"/>
                    </w:rPr>
                    <w:t>严格执行总量控制制度及排污许可制度</w:t>
                  </w:r>
                  <w:r>
                    <w:rPr>
                      <w:rFonts w:hint="eastAsia"/>
                      <w:b w:val="0"/>
                      <w:bCs w:val="0"/>
                      <w:sz w:val="18"/>
                      <w:szCs w:val="18"/>
                      <w:u w:val="none"/>
                    </w:rPr>
                    <w:t>：</w:t>
                  </w:r>
                  <w:r>
                    <w:rPr>
                      <w:b w:val="0"/>
                      <w:bCs w:val="0"/>
                      <w:sz w:val="18"/>
                      <w:szCs w:val="18"/>
                      <w:u w:val="none"/>
                    </w:rPr>
                    <w:t>对企业实施严格的水污染物排放总量控制制度，满足不同阶段水质目标及总量减排目标的要求，同时对入区企业实行排污许可证制度。</w:t>
                  </w:r>
                </w:p>
              </w:tc>
              <w:tc>
                <w:tcPr>
                  <w:tcW w:w="1911" w:type="pct"/>
                  <w:tcMar>
                    <w:left w:w="28" w:type="dxa"/>
                    <w:right w:w="28" w:type="dxa"/>
                  </w:tcMar>
                  <w:vAlign w:val="center"/>
                </w:tcPr>
                <w:p w14:paraId="0FAAB935">
                  <w:pPr>
                    <w:adjustRightInd w:val="0"/>
                    <w:rPr>
                      <w:b w:val="0"/>
                      <w:bCs w:val="0"/>
                      <w:sz w:val="18"/>
                      <w:szCs w:val="18"/>
                      <w:u w:val="none"/>
                    </w:rPr>
                  </w:pPr>
                  <w:r>
                    <w:rPr>
                      <w:rFonts w:hint="eastAsia"/>
                      <w:b w:val="0"/>
                      <w:bCs w:val="0"/>
                      <w:sz w:val="18"/>
                      <w:szCs w:val="18"/>
                      <w:u w:val="none"/>
                    </w:rPr>
                    <w:t>本项目严格执行</w:t>
                  </w:r>
                  <w:r>
                    <w:rPr>
                      <w:b w:val="0"/>
                      <w:bCs w:val="0"/>
                      <w:sz w:val="18"/>
                      <w:szCs w:val="18"/>
                      <w:u w:val="none"/>
                    </w:rPr>
                    <w:t>水污染物排放总量控制制度</w:t>
                  </w:r>
                  <w:r>
                    <w:rPr>
                      <w:rFonts w:hint="eastAsia"/>
                      <w:b w:val="0"/>
                      <w:bCs w:val="0"/>
                      <w:sz w:val="18"/>
                      <w:szCs w:val="18"/>
                      <w:u w:val="none"/>
                    </w:rPr>
                    <w:t>和排污许可制度</w:t>
                  </w:r>
                </w:p>
              </w:tc>
              <w:tc>
                <w:tcPr>
                  <w:tcW w:w="357" w:type="pct"/>
                  <w:tcMar>
                    <w:left w:w="28" w:type="dxa"/>
                    <w:right w:w="28" w:type="dxa"/>
                  </w:tcMar>
                  <w:vAlign w:val="center"/>
                </w:tcPr>
                <w:p w14:paraId="238FD4DD">
                  <w:pPr>
                    <w:jc w:val="center"/>
                    <w:rPr>
                      <w:b w:val="0"/>
                      <w:bCs w:val="0"/>
                      <w:kern w:val="0"/>
                      <w:sz w:val="18"/>
                      <w:szCs w:val="18"/>
                      <w:u w:val="none"/>
                    </w:rPr>
                  </w:pPr>
                </w:p>
              </w:tc>
            </w:tr>
            <w:tr w14:paraId="04EF57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 w:type="pct"/>
                  <w:vMerge w:val="restart"/>
                  <w:tcMar>
                    <w:left w:w="28" w:type="dxa"/>
                    <w:right w:w="28" w:type="dxa"/>
                  </w:tcMar>
                  <w:vAlign w:val="center"/>
                </w:tcPr>
                <w:p w14:paraId="0F29ACCF">
                  <w:pPr>
                    <w:adjustRightInd w:val="0"/>
                    <w:jc w:val="center"/>
                    <w:rPr>
                      <w:b w:val="0"/>
                      <w:bCs w:val="0"/>
                      <w:sz w:val="18"/>
                      <w:szCs w:val="18"/>
                      <w:u w:val="none"/>
                    </w:rPr>
                  </w:pPr>
                  <w:r>
                    <w:rPr>
                      <w:b w:val="0"/>
                      <w:bCs w:val="0"/>
                      <w:sz w:val="18"/>
                      <w:szCs w:val="18"/>
                      <w:u w:val="none"/>
                    </w:rPr>
                    <w:t>大气</w:t>
                  </w:r>
                  <w:r>
                    <w:rPr>
                      <w:b w:val="0"/>
                      <w:bCs w:val="0"/>
                      <w:kern w:val="0"/>
                      <w:sz w:val="18"/>
                      <w:szCs w:val="18"/>
                      <w:u w:val="none"/>
                    </w:rPr>
                    <w:t>环境保护对策</w:t>
                  </w:r>
                </w:p>
              </w:tc>
              <w:tc>
                <w:tcPr>
                  <w:tcW w:w="2358" w:type="pct"/>
                  <w:tcMar>
                    <w:left w:w="28" w:type="dxa"/>
                    <w:right w:w="28" w:type="dxa"/>
                  </w:tcMar>
                  <w:vAlign w:val="center"/>
                </w:tcPr>
                <w:p w14:paraId="4CD73712">
                  <w:pPr>
                    <w:adjustRightInd w:val="0"/>
                    <w:rPr>
                      <w:b w:val="0"/>
                      <w:bCs w:val="0"/>
                      <w:sz w:val="18"/>
                      <w:szCs w:val="18"/>
                      <w:u w:val="none"/>
                    </w:rPr>
                  </w:pPr>
                  <w:r>
                    <w:rPr>
                      <w:rFonts w:hint="eastAsia"/>
                      <w:b w:val="0"/>
                      <w:bCs w:val="0"/>
                      <w:sz w:val="18"/>
                      <w:szCs w:val="18"/>
                      <w:u w:val="none"/>
                    </w:rPr>
                    <w:t>工业污染源控制：持续推进工业污染源全面达标行动。将烟气在线监测数据作为执法依据，加大超标处罚和联合惩戒力度，未达标排放的企业一律依法停产整治。建立覆盖所有固定污染源的企业排放许可制度，工业企业应做到持证排污。</w:t>
                  </w:r>
                </w:p>
                <w:p w14:paraId="77689E61">
                  <w:pPr>
                    <w:adjustRightInd w:val="0"/>
                    <w:rPr>
                      <w:b w:val="0"/>
                      <w:bCs w:val="0"/>
                      <w:sz w:val="18"/>
                      <w:szCs w:val="18"/>
                      <w:u w:val="none"/>
                    </w:rPr>
                  </w:pPr>
                  <w:r>
                    <w:rPr>
                      <w:rFonts w:hint="eastAsia"/>
                      <w:b w:val="0"/>
                      <w:bCs w:val="0"/>
                      <w:sz w:val="18"/>
                      <w:szCs w:val="18"/>
                      <w:u w:val="none"/>
                    </w:rPr>
                    <w:t>强化燃气锅炉管理：新建天然气锅炉应采取低氮燃烧和烟气循环技术，现有天然气锅炉按照省市管理文件要求实施低氮燃烧和烟气循环改造，燃气锅炉废气污染物排放需满足河南省地标《锅炉大气污染物排放标准（DB41/2089-2021）》中相关控制要求。</w:t>
                  </w:r>
                </w:p>
                <w:p w14:paraId="0390DE36">
                  <w:pPr>
                    <w:adjustRightInd w:val="0"/>
                    <w:rPr>
                      <w:b w:val="0"/>
                      <w:bCs w:val="0"/>
                      <w:sz w:val="18"/>
                      <w:szCs w:val="18"/>
                      <w:u w:val="none"/>
                    </w:rPr>
                  </w:pPr>
                  <w:r>
                    <w:rPr>
                      <w:rFonts w:hint="eastAsia"/>
                      <w:b w:val="0"/>
                      <w:bCs w:val="0"/>
                      <w:sz w:val="18"/>
                      <w:szCs w:val="18"/>
                      <w:u w:val="none"/>
                    </w:rPr>
                    <w:t>按照《十三五挥发性有机物污染防治工作方案》、推进园区内化工等行业挥发性有机物排放综合整治。新建涉VOCs 排放的工业企业要入产业集聚区，实行区域内VOCs 排放等量或倍量削减替代。</w:t>
                  </w:r>
                </w:p>
                <w:p w14:paraId="67A9718A">
                  <w:pPr>
                    <w:adjustRightInd w:val="0"/>
                    <w:rPr>
                      <w:b w:val="0"/>
                      <w:bCs w:val="0"/>
                      <w:sz w:val="18"/>
                      <w:szCs w:val="18"/>
                      <w:u w:val="none"/>
                    </w:rPr>
                  </w:pPr>
                  <w:r>
                    <w:rPr>
                      <w:rFonts w:hint="eastAsia"/>
                      <w:b w:val="0"/>
                      <w:bCs w:val="0"/>
                      <w:sz w:val="18"/>
                      <w:szCs w:val="18"/>
                      <w:u w:val="none"/>
                    </w:rPr>
                    <w:t>严格大气污染物总量控制。新建项目新增大气污染物总量指标应满足区域内总量替代的要求，否则禁止新建。</w:t>
                  </w:r>
                </w:p>
                <w:p w14:paraId="6A75B69D">
                  <w:pPr>
                    <w:adjustRightInd w:val="0"/>
                    <w:rPr>
                      <w:b w:val="0"/>
                      <w:bCs w:val="0"/>
                      <w:sz w:val="18"/>
                      <w:szCs w:val="18"/>
                      <w:u w:val="none"/>
                    </w:rPr>
                  </w:pPr>
                  <w:r>
                    <w:rPr>
                      <w:rFonts w:hint="eastAsia"/>
                      <w:b w:val="0"/>
                      <w:bCs w:val="0"/>
                      <w:sz w:val="18"/>
                      <w:szCs w:val="18"/>
                      <w:u w:val="none"/>
                    </w:rPr>
                    <w:t>针对重点行业企业实施提标改造。园区内涉及新污染物排放标准的行业企业应加快实施提标改造工作，确保满足新标准的要求。</w:t>
                  </w:r>
                </w:p>
              </w:tc>
              <w:tc>
                <w:tcPr>
                  <w:tcW w:w="1911" w:type="pct"/>
                  <w:tcMar>
                    <w:left w:w="28" w:type="dxa"/>
                    <w:right w:w="28" w:type="dxa"/>
                  </w:tcMar>
                  <w:vAlign w:val="center"/>
                </w:tcPr>
                <w:p w14:paraId="40EB8C10">
                  <w:pPr>
                    <w:adjustRightInd w:val="0"/>
                    <w:rPr>
                      <w:b w:val="0"/>
                      <w:bCs w:val="0"/>
                      <w:sz w:val="18"/>
                      <w:szCs w:val="18"/>
                      <w:u w:val="none"/>
                    </w:rPr>
                  </w:pPr>
                  <w:r>
                    <w:rPr>
                      <w:rFonts w:hint="eastAsia"/>
                      <w:b w:val="0"/>
                      <w:bCs w:val="0"/>
                      <w:sz w:val="18"/>
                      <w:szCs w:val="18"/>
                      <w:u w:val="none"/>
                    </w:rPr>
                    <w:t>本项目严格执行排污许可制度，做到持证排污；不涉及燃气锅炉使用。项目涉及VOCs 排放，实施区域内等量削减替代。</w:t>
                  </w:r>
                </w:p>
              </w:tc>
              <w:tc>
                <w:tcPr>
                  <w:tcW w:w="357" w:type="pct"/>
                  <w:tcMar>
                    <w:left w:w="28" w:type="dxa"/>
                    <w:right w:w="28" w:type="dxa"/>
                  </w:tcMar>
                  <w:vAlign w:val="center"/>
                </w:tcPr>
                <w:p w14:paraId="2769124A">
                  <w:pPr>
                    <w:jc w:val="center"/>
                    <w:rPr>
                      <w:b w:val="0"/>
                      <w:bCs w:val="0"/>
                      <w:sz w:val="18"/>
                      <w:szCs w:val="18"/>
                      <w:u w:val="none"/>
                    </w:rPr>
                  </w:pPr>
                  <w:r>
                    <w:rPr>
                      <w:b w:val="0"/>
                      <w:bCs w:val="0"/>
                      <w:sz w:val="18"/>
                      <w:szCs w:val="18"/>
                      <w:u w:val="none"/>
                    </w:rPr>
                    <w:t>符合</w:t>
                  </w:r>
                </w:p>
              </w:tc>
            </w:tr>
            <w:tr w14:paraId="327602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 w:type="pct"/>
                  <w:vMerge w:val="continue"/>
                  <w:tcMar>
                    <w:left w:w="28" w:type="dxa"/>
                    <w:right w:w="28" w:type="dxa"/>
                  </w:tcMar>
                  <w:vAlign w:val="center"/>
                </w:tcPr>
                <w:p w14:paraId="6CFCD9A9">
                  <w:pPr>
                    <w:adjustRightInd w:val="0"/>
                    <w:jc w:val="center"/>
                    <w:rPr>
                      <w:b w:val="0"/>
                      <w:bCs w:val="0"/>
                      <w:sz w:val="18"/>
                      <w:szCs w:val="18"/>
                      <w:u w:val="none"/>
                    </w:rPr>
                  </w:pPr>
                </w:p>
              </w:tc>
              <w:tc>
                <w:tcPr>
                  <w:tcW w:w="2358" w:type="pct"/>
                  <w:tcMar>
                    <w:left w:w="28" w:type="dxa"/>
                    <w:right w:w="28" w:type="dxa"/>
                  </w:tcMar>
                  <w:vAlign w:val="center"/>
                </w:tcPr>
                <w:p w14:paraId="3B371484">
                  <w:pPr>
                    <w:adjustRightInd w:val="0"/>
                    <w:rPr>
                      <w:b w:val="0"/>
                      <w:bCs w:val="0"/>
                      <w:sz w:val="18"/>
                      <w:szCs w:val="18"/>
                      <w:u w:val="none"/>
                    </w:rPr>
                  </w:pPr>
                  <w:r>
                    <w:rPr>
                      <w:b w:val="0"/>
                      <w:bCs w:val="0"/>
                      <w:sz w:val="18"/>
                      <w:szCs w:val="18"/>
                      <w:u w:val="none"/>
                    </w:rPr>
                    <w:t>加大建筑、道路扬尘监管治理力度</w:t>
                  </w:r>
                  <w:r>
                    <w:rPr>
                      <w:rFonts w:hint="eastAsia"/>
                      <w:b w:val="0"/>
                      <w:bCs w:val="0"/>
                      <w:sz w:val="18"/>
                      <w:szCs w:val="18"/>
                      <w:u w:val="none"/>
                    </w:rPr>
                    <w:t>；开展工业堆场扬尘专项治理</w:t>
                  </w:r>
                </w:p>
              </w:tc>
              <w:tc>
                <w:tcPr>
                  <w:tcW w:w="1911" w:type="pct"/>
                  <w:tcMar>
                    <w:left w:w="28" w:type="dxa"/>
                    <w:right w:w="28" w:type="dxa"/>
                  </w:tcMar>
                  <w:vAlign w:val="center"/>
                </w:tcPr>
                <w:p w14:paraId="4B1AE9FD">
                  <w:pPr>
                    <w:adjustRightInd w:val="0"/>
                    <w:rPr>
                      <w:b w:val="0"/>
                      <w:bCs w:val="0"/>
                      <w:sz w:val="18"/>
                      <w:szCs w:val="18"/>
                      <w:u w:val="none"/>
                    </w:rPr>
                  </w:pPr>
                  <w:r>
                    <w:rPr>
                      <w:rFonts w:hint="eastAsia"/>
                      <w:b w:val="0"/>
                      <w:bCs w:val="0"/>
                      <w:kern w:val="0"/>
                      <w:sz w:val="18"/>
                      <w:szCs w:val="18"/>
                      <w:u w:val="none"/>
                    </w:rPr>
                    <w:t>项目施工阶段严格按照《平顶山市2023年蓝天保卫战实施方案》（平环委办〔2023〕13号）要求执行</w:t>
                  </w:r>
                </w:p>
              </w:tc>
              <w:tc>
                <w:tcPr>
                  <w:tcW w:w="357" w:type="pct"/>
                  <w:tcMar>
                    <w:left w:w="28" w:type="dxa"/>
                    <w:right w:w="28" w:type="dxa"/>
                  </w:tcMar>
                  <w:vAlign w:val="center"/>
                </w:tcPr>
                <w:p w14:paraId="628F672D">
                  <w:pPr>
                    <w:jc w:val="center"/>
                    <w:rPr>
                      <w:b w:val="0"/>
                      <w:bCs w:val="0"/>
                      <w:sz w:val="18"/>
                      <w:szCs w:val="18"/>
                      <w:u w:val="none"/>
                    </w:rPr>
                  </w:pPr>
                  <w:r>
                    <w:rPr>
                      <w:b w:val="0"/>
                      <w:bCs w:val="0"/>
                      <w:sz w:val="18"/>
                      <w:szCs w:val="18"/>
                      <w:u w:val="none"/>
                    </w:rPr>
                    <w:t>符合</w:t>
                  </w:r>
                </w:p>
              </w:tc>
            </w:tr>
            <w:tr w14:paraId="1242E9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 w:type="pct"/>
                  <w:tcMar>
                    <w:left w:w="28" w:type="dxa"/>
                    <w:right w:w="28" w:type="dxa"/>
                  </w:tcMar>
                  <w:vAlign w:val="center"/>
                </w:tcPr>
                <w:p w14:paraId="743CDBEB">
                  <w:pPr>
                    <w:adjustRightInd w:val="0"/>
                    <w:jc w:val="center"/>
                    <w:rPr>
                      <w:b w:val="0"/>
                      <w:bCs w:val="0"/>
                      <w:sz w:val="18"/>
                      <w:szCs w:val="18"/>
                      <w:u w:val="none"/>
                    </w:rPr>
                  </w:pPr>
                  <w:r>
                    <w:rPr>
                      <w:b w:val="0"/>
                      <w:bCs w:val="0"/>
                      <w:sz w:val="18"/>
                      <w:szCs w:val="18"/>
                      <w:u w:val="none"/>
                    </w:rPr>
                    <w:t>地下水环境保护措施</w:t>
                  </w:r>
                </w:p>
              </w:tc>
              <w:tc>
                <w:tcPr>
                  <w:tcW w:w="2358" w:type="pct"/>
                  <w:tcMar>
                    <w:left w:w="28" w:type="dxa"/>
                    <w:right w:w="28" w:type="dxa"/>
                  </w:tcMar>
                  <w:vAlign w:val="center"/>
                </w:tcPr>
                <w:p w14:paraId="5DCDB317">
                  <w:pPr>
                    <w:adjustRightInd w:val="0"/>
                    <w:rPr>
                      <w:b w:val="0"/>
                      <w:bCs w:val="0"/>
                      <w:sz w:val="18"/>
                      <w:szCs w:val="18"/>
                      <w:u w:val="none"/>
                    </w:rPr>
                  </w:pPr>
                  <w:r>
                    <w:rPr>
                      <w:b w:val="0"/>
                      <w:bCs w:val="0"/>
                      <w:sz w:val="18"/>
                      <w:szCs w:val="18"/>
                      <w:u w:val="none"/>
                    </w:rPr>
                    <w:t>源头控制：从源头上控制污废水的产生及渗漏，要求企业提高清洁生产水平，采用低耗水的先进设备，生产废水应尽量经处理后回用。涉及危险废物及含重金属废水时应加强对厂区的防渗要求，管道铺设应尽可能架空铺设，定期对管道、废水池进行检查，同时加强对事故水池的管理，确保防渗单位，事故废水不外排，妥善处置。</w:t>
                  </w:r>
                </w:p>
              </w:tc>
              <w:tc>
                <w:tcPr>
                  <w:tcW w:w="1911" w:type="pct"/>
                  <w:tcMar>
                    <w:left w:w="28" w:type="dxa"/>
                    <w:right w:w="28" w:type="dxa"/>
                  </w:tcMar>
                  <w:vAlign w:val="center"/>
                </w:tcPr>
                <w:p w14:paraId="375C68C6">
                  <w:pPr>
                    <w:adjustRightInd w:val="0"/>
                    <w:rPr>
                      <w:b w:val="0"/>
                      <w:bCs w:val="0"/>
                      <w:kern w:val="0"/>
                      <w:sz w:val="18"/>
                      <w:szCs w:val="18"/>
                      <w:u w:val="none"/>
                    </w:rPr>
                  </w:pPr>
                  <w:r>
                    <w:rPr>
                      <w:rFonts w:hint="eastAsia"/>
                      <w:b w:val="0"/>
                      <w:bCs w:val="0"/>
                      <w:kern w:val="0"/>
                      <w:sz w:val="18"/>
                      <w:szCs w:val="18"/>
                      <w:u w:val="none"/>
                    </w:rPr>
                    <w:t>本项目从源头控制污废水产生及渗漏，并采取分区防渗措施，对地下水环境影响可接受。</w:t>
                  </w:r>
                </w:p>
              </w:tc>
              <w:tc>
                <w:tcPr>
                  <w:tcW w:w="357" w:type="pct"/>
                  <w:tcMar>
                    <w:left w:w="28" w:type="dxa"/>
                    <w:right w:w="28" w:type="dxa"/>
                  </w:tcMar>
                  <w:vAlign w:val="center"/>
                </w:tcPr>
                <w:p w14:paraId="6F2C5196">
                  <w:pPr>
                    <w:jc w:val="center"/>
                    <w:rPr>
                      <w:b w:val="0"/>
                      <w:bCs w:val="0"/>
                      <w:sz w:val="18"/>
                      <w:szCs w:val="18"/>
                      <w:u w:val="none"/>
                    </w:rPr>
                  </w:pPr>
                  <w:r>
                    <w:rPr>
                      <w:rFonts w:hint="eastAsia"/>
                      <w:b w:val="0"/>
                      <w:bCs w:val="0"/>
                      <w:sz w:val="18"/>
                      <w:szCs w:val="18"/>
                      <w:u w:val="none"/>
                    </w:rPr>
                    <w:t>符合</w:t>
                  </w:r>
                </w:p>
              </w:tc>
            </w:tr>
            <w:tr w14:paraId="7572CF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 w:type="pct"/>
                  <w:vMerge w:val="restart"/>
                  <w:tcMar>
                    <w:left w:w="28" w:type="dxa"/>
                    <w:right w:w="28" w:type="dxa"/>
                  </w:tcMar>
                  <w:vAlign w:val="center"/>
                </w:tcPr>
                <w:p w14:paraId="2C0A260D">
                  <w:pPr>
                    <w:adjustRightInd w:val="0"/>
                    <w:jc w:val="center"/>
                    <w:rPr>
                      <w:b w:val="0"/>
                      <w:bCs w:val="0"/>
                      <w:sz w:val="18"/>
                      <w:szCs w:val="18"/>
                      <w:u w:val="none"/>
                    </w:rPr>
                  </w:pPr>
                  <w:r>
                    <w:rPr>
                      <w:rFonts w:hint="eastAsia"/>
                      <w:b w:val="0"/>
                      <w:bCs w:val="0"/>
                      <w:sz w:val="18"/>
                      <w:szCs w:val="18"/>
                      <w:u w:val="none"/>
                    </w:rPr>
                    <w:t>工业</w:t>
                  </w:r>
                  <w:r>
                    <w:rPr>
                      <w:b w:val="0"/>
                      <w:bCs w:val="0"/>
                      <w:sz w:val="18"/>
                      <w:szCs w:val="18"/>
                      <w:u w:val="none"/>
                    </w:rPr>
                    <w:t>噪声污染控制对策</w:t>
                  </w:r>
                </w:p>
              </w:tc>
              <w:tc>
                <w:tcPr>
                  <w:tcW w:w="2358" w:type="pct"/>
                  <w:tcMar>
                    <w:left w:w="28" w:type="dxa"/>
                    <w:right w:w="28" w:type="dxa"/>
                  </w:tcMar>
                  <w:vAlign w:val="center"/>
                </w:tcPr>
                <w:p w14:paraId="1C6282A9">
                  <w:pPr>
                    <w:adjustRightInd w:val="0"/>
                    <w:rPr>
                      <w:b w:val="0"/>
                      <w:bCs w:val="0"/>
                      <w:sz w:val="18"/>
                      <w:szCs w:val="18"/>
                      <w:u w:val="none"/>
                    </w:rPr>
                  </w:pPr>
                  <w:r>
                    <w:rPr>
                      <w:b w:val="0"/>
                      <w:bCs w:val="0"/>
                      <w:sz w:val="18"/>
                      <w:szCs w:val="18"/>
                      <w:u w:val="none"/>
                    </w:rPr>
                    <w:t>入区企业必须合理规划建筑物布局，在各项目的总平面布置上应充分考虑高噪声设备的安装位置，将其布置在远离厂界处，以保证厂界噪声达标。</w:t>
                  </w:r>
                </w:p>
              </w:tc>
              <w:tc>
                <w:tcPr>
                  <w:tcW w:w="1911" w:type="pct"/>
                  <w:vMerge w:val="restart"/>
                  <w:tcMar>
                    <w:left w:w="28" w:type="dxa"/>
                    <w:right w:w="28" w:type="dxa"/>
                  </w:tcMar>
                  <w:vAlign w:val="center"/>
                </w:tcPr>
                <w:p w14:paraId="0A3B613E">
                  <w:pPr>
                    <w:adjustRightInd w:val="0"/>
                    <w:rPr>
                      <w:b w:val="0"/>
                      <w:bCs w:val="0"/>
                      <w:sz w:val="18"/>
                      <w:szCs w:val="18"/>
                      <w:u w:val="none"/>
                    </w:rPr>
                  </w:pPr>
                  <w:r>
                    <w:rPr>
                      <w:b w:val="0"/>
                      <w:bCs w:val="0"/>
                      <w:sz w:val="18"/>
                      <w:szCs w:val="18"/>
                      <w:u w:val="none"/>
                    </w:rPr>
                    <w:t>本项目周边50m范围内无噪声敏感点，且项目高噪声设备采取基础减振、隔声等措施，能够保证厂界噪声达标。</w:t>
                  </w:r>
                </w:p>
              </w:tc>
              <w:tc>
                <w:tcPr>
                  <w:tcW w:w="357" w:type="pct"/>
                  <w:tcMar>
                    <w:left w:w="28" w:type="dxa"/>
                    <w:right w:w="28" w:type="dxa"/>
                  </w:tcMar>
                  <w:vAlign w:val="center"/>
                </w:tcPr>
                <w:p w14:paraId="230E44D1">
                  <w:pPr>
                    <w:jc w:val="center"/>
                    <w:rPr>
                      <w:b w:val="0"/>
                      <w:bCs w:val="0"/>
                      <w:sz w:val="18"/>
                      <w:szCs w:val="18"/>
                      <w:u w:val="none"/>
                    </w:rPr>
                  </w:pPr>
                  <w:r>
                    <w:rPr>
                      <w:b w:val="0"/>
                      <w:bCs w:val="0"/>
                      <w:sz w:val="18"/>
                      <w:szCs w:val="18"/>
                      <w:u w:val="none"/>
                    </w:rPr>
                    <w:t>符合</w:t>
                  </w:r>
                </w:p>
              </w:tc>
            </w:tr>
            <w:tr w14:paraId="4ACADF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 w:type="pct"/>
                  <w:vMerge w:val="continue"/>
                  <w:tcMar>
                    <w:left w:w="28" w:type="dxa"/>
                    <w:right w:w="28" w:type="dxa"/>
                  </w:tcMar>
                  <w:vAlign w:val="center"/>
                </w:tcPr>
                <w:p w14:paraId="50980F8D">
                  <w:pPr>
                    <w:adjustRightInd w:val="0"/>
                    <w:jc w:val="center"/>
                    <w:rPr>
                      <w:b w:val="0"/>
                      <w:bCs w:val="0"/>
                      <w:sz w:val="18"/>
                      <w:szCs w:val="18"/>
                      <w:u w:val="none"/>
                    </w:rPr>
                  </w:pPr>
                </w:p>
              </w:tc>
              <w:tc>
                <w:tcPr>
                  <w:tcW w:w="2358" w:type="pct"/>
                  <w:tcMar>
                    <w:left w:w="28" w:type="dxa"/>
                    <w:right w:w="28" w:type="dxa"/>
                  </w:tcMar>
                  <w:vAlign w:val="center"/>
                </w:tcPr>
                <w:p w14:paraId="74996D29">
                  <w:pPr>
                    <w:adjustRightInd w:val="0"/>
                    <w:rPr>
                      <w:b w:val="0"/>
                      <w:bCs w:val="0"/>
                      <w:sz w:val="18"/>
                      <w:szCs w:val="18"/>
                      <w:u w:val="none"/>
                    </w:rPr>
                  </w:pPr>
                  <w:r>
                    <w:rPr>
                      <w:b w:val="0"/>
                      <w:bCs w:val="0"/>
                      <w:sz w:val="18"/>
                      <w:szCs w:val="18"/>
                      <w:u w:val="none"/>
                    </w:rPr>
                    <w:t>对各种工业噪声源分别采用基础减震、隔声、吸声、消声等措施，必要时应增设隔声罩、隔声屏等措施，降低噪声源强，减少对周围环境的影响。</w:t>
                  </w:r>
                </w:p>
              </w:tc>
              <w:tc>
                <w:tcPr>
                  <w:tcW w:w="1911" w:type="pct"/>
                  <w:vMerge w:val="continue"/>
                  <w:tcMar>
                    <w:left w:w="28" w:type="dxa"/>
                    <w:right w:w="28" w:type="dxa"/>
                  </w:tcMar>
                  <w:vAlign w:val="center"/>
                </w:tcPr>
                <w:p w14:paraId="3CFDAF09">
                  <w:pPr>
                    <w:adjustRightInd w:val="0"/>
                    <w:rPr>
                      <w:b w:val="0"/>
                      <w:bCs w:val="0"/>
                      <w:sz w:val="18"/>
                      <w:szCs w:val="18"/>
                      <w:u w:val="none"/>
                    </w:rPr>
                  </w:pPr>
                </w:p>
              </w:tc>
              <w:tc>
                <w:tcPr>
                  <w:tcW w:w="357" w:type="pct"/>
                  <w:tcMar>
                    <w:left w:w="28" w:type="dxa"/>
                    <w:right w:w="28" w:type="dxa"/>
                  </w:tcMar>
                  <w:vAlign w:val="center"/>
                </w:tcPr>
                <w:p w14:paraId="6B30D0E5">
                  <w:pPr>
                    <w:jc w:val="center"/>
                    <w:rPr>
                      <w:b w:val="0"/>
                      <w:bCs w:val="0"/>
                      <w:sz w:val="18"/>
                      <w:szCs w:val="18"/>
                      <w:u w:val="none"/>
                    </w:rPr>
                  </w:pPr>
                </w:p>
              </w:tc>
            </w:tr>
            <w:tr w14:paraId="4A09C5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 w:type="pct"/>
                  <w:vMerge w:val="restart"/>
                  <w:tcMar>
                    <w:left w:w="28" w:type="dxa"/>
                    <w:right w:w="28" w:type="dxa"/>
                  </w:tcMar>
                  <w:vAlign w:val="center"/>
                </w:tcPr>
                <w:p w14:paraId="63E25543">
                  <w:pPr>
                    <w:adjustRightInd w:val="0"/>
                    <w:jc w:val="center"/>
                    <w:rPr>
                      <w:b w:val="0"/>
                      <w:bCs w:val="0"/>
                      <w:sz w:val="18"/>
                      <w:szCs w:val="18"/>
                      <w:u w:val="none"/>
                    </w:rPr>
                  </w:pPr>
                  <w:r>
                    <w:rPr>
                      <w:b w:val="0"/>
                      <w:bCs w:val="0"/>
                      <w:sz w:val="18"/>
                      <w:szCs w:val="18"/>
                      <w:u w:val="none"/>
                    </w:rPr>
                    <w:t>固体废物处理处置措施</w:t>
                  </w:r>
                </w:p>
              </w:tc>
              <w:tc>
                <w:tcPr>
                  <w:tcW w:w="2358" w:type="pct"/>
                  <w:tcMar>
                    <w:left w:w="28" w:type="dxa"/>
                    <w:right w:w="28" w:type="dxa"/>
                  </w:tcMar>
                  <w:vAlign w:val="center"/>
                </w:tcPr>
                <w:p w14:paraId="7CEDD715">
                  <w:pPr>
                    <w:adjustRightInd w:val="0"/>
                    <w:rPr>
                      <w:b w:val="0"/>
                      <w:bCs w:val="0"/>
                      <w:sz w:val="18"/>
                      <w:szCs w:val="18"/>
                      <w:u w:val="none"/>
                    </w:rPr>
                  </w:pPr>
                  <w:r>
                    <w:rPr>
                      <w:b w:val="0"/>
                      <w:bCs w:val="0"/>
                      <w:sz w:val="18"/>
                      <w:szCs w:val="18"/>
                      <w:u w:val="none"/>
                    </w:rPr>
                    <w:t>鼓励支持园区内工业企业改进工艺，提高技术水平，采用清洁原料，节能降耗，从源头减少固废产生量。集聚区应大力发展循环经济，促进固废的再利用和资源化。</w:t>
                  </w:r>
                </w:p>
              </w:tc>
              <w:tc>
                <w:tcPr>
                  <w:tcW w:w="1911" w:type="pct"/>
                  <w:tcMar>
                    <w:left w:w="28" w:type="dxa"/>
                    <w:right w:w="28" w:type="dxa"/>
                  </w:tcMar>
                  <w:vAlign w:val="center"/>
                </w:tcPr>
                <w:p w14:paraId="4B614879">
                  <w:pPr>
                    <w:adjustRightInd w:val="0"/>
                    <w:rPr>
                      <w:b w:val="0"/>
                      <w:bCs w:val="0"/>
                      <w:sz w:val="18"/>
                      <w:szCs w:val="18"/>
                      <w:u w:val="none"/>
                    </w:rPr>
                  </w:pPr>
                  <w:r>
                    <w:rPr>
                      <w:rFonts w:hint="eastAsia"/>
                      <w:b w:val="0"/>
                      <w:bCs w:val="0"/>
                      <w:sz w:val="18"/>
                      <w:szCs w:val="18"/>
                      <w:u w:val="none"/>
                    </w:rPr>
                    <w:t>本项目</w:t>
                  </w:r>
                  <w:r>
                    <w:rPr>
                      <w:b w:val="0"/>
                      <w:bCs w:val="0"/>
                      <w:sz w:val="18"/>
                      <w:szCs w:val="18"/>
                      <w:u w:val="none"/>
                    </w:rPr>
                    <w:t>采用清洁原料，节能降耗，从源头减少固废产生量</w:t>
                  </w:r>
                  <w:r>
                    <w:rPr>
                      <w:rFonts w:hint="eastAsia"/>
                      <w:b w:val="0"/>
                      <w:bCs w:val="0"/>
                      <w:sz w:val="18"/>
                      <w:szCs w:val="18"/>
                      <w:u w:val="none"/>
                    </w:rPr>
                    <w:t>，</w:t>
                  </w:r>
                  <w:r>
                    <w:rPr>
                      <w:b w:val="0"/>
                      <w:bCs w:val="0"/>
                      <w:sz w:val="18"/>
                      <w:szCs w:val="18"/>
                      <w:u w:val="none"/>
                    </w:rPr>
                    <w:t>产生的一般固体废物应按不同类别分类存放于生产车间内独立的一般固废暂存区。</w:t>
                  </w:r>
                </w:p>
              </w:tc>
              <w:tc>
                <w:tcPr>
                  <w:tcW w:w="357" w:type="pct"/>
                  <w:tcMar>
                    <w:left w:w="28" w:type="dxa"/>
                    <w:right w:w="28" w:type="dxa"/>
                  </w:tcMar>
                  <w:vAlign w:val="center"/>
                </w:tcPr>
                <w:p w14:paraId="6E262FEF">
                  <w:pPr>
                    <w:jc w:val="center"/>
                    <w:rPr>
                      <w:b w:val="0"/>
                      <w:bCs w:val="0"/>
                      <w:sz w:val="18"/>
                      <w:szCs w:val="18"/>
                      <w:u w:val="none"/>
                    </w:rPr>
                  </w:pPr>
                  <w:r>
                    <w:rPr>
                      <w:b w:val="0"/>
                      <w:bCs w:val="0"/>
                      <w:sz w:val="18"/>
                      <w:szCs w:val="18"/>
                      <w:u w:val="none"/>
                    </w:rPr>
                    <w:t>符合</w:t>
                  </w:r>
                </w:p>
              </w:tc>
            </w:tr>
            <w:tr w14:paraId="2EE788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 w:type="pct"/>
                  <w:vMerge w:val="continue"/>
                  <w:tcMar>
                    <w:left w:w="28" w:type="dxa"/>
                    <w:right w:w="28" w:type="dxa"/>
                  </w:tcMar>
                  <w:vAlign w:val="center"/>
                </w:tcPr>
                <w:p w14:paraId="73F74655">
                  <w:pPr>
                    <w:adjustRightInd w:val="0"/>
                    <w:jc w:val="center"/>
                    <w:rPr>
                      <w:b w:val="0"/>
                      <w:bCs w:val="0"/>
                      <w:sz w:val="18"/>
                      <w:szCs w:val="18"/>
                      <w:u w:val="none"/>
                    </w:rPr>
                  </w:pPr>
                </w:p>
              </w:tc>
              <w:tc>
                <w:tcPr>
                  <w:tcW w:w="2358" w:type="pct"/>
                  <w:tcMar>
                    <w:left w:w="28" w:type="dxa"/>
                    <w:right w:w="28" w:type="dxa"/>
                  </w:tcMar>
                  <w:vAlign w:val="center"/>
                </w:tcPr>
                <w:p w14:paraId="70520F6E">
                  <w:pPr>
                    <w:adjustRightInd w:val="0"/>
                    <w:rPr>
                      <w:b w:val="0"/>
                      <w:bCs w:val="0"/>
                      <w:sz w:val="18"/>
                      <w:szCs w:val="18"/>
                      <w:u w:val="none"/>
                    </w:rPr>
                  </w:pPr>
                  <w:r>
                    <w:rPr>
                      <w:b w:val="0"/>
                      <w:bCs w:val="0"/>
                      <w:sz w:val="18"/>
                      <w:szCs w:val="18"/>
                      <w:u w:val="none"/>
                    </w:rPr>
                    <w:t>园区内企业的临时危险废物临时贮存场所按照《危险废物贮存污染控制标准》（GB18484-2001）的要求设置，做到底部防渗，防渗系数≤10-10cm/s。并做好防雨淋、防流失（设置围堰）、防扬散（密闭）措施，严防污染地下水或造成环境风险。</w:t>
                  </w:r>
                </w:p>
                <w:p w14:paraId="1726E62D">
                  <w:pPr>
                    <w:adjustRightInd w:val="0"/>
                    <w:rPr>
                      <w:b w:val="0"/>
                      <w:bCs w:val="0"/>
                      <w:sz w:val="18"/>
                      <w:szCs w:val="18"/>
                      <w:u w:val="none"/>
                    </w:rPr>
                  </w:pPr>
                  <w:r>
                    <w:rPr>
                      <w:rFonts w:hint="eastAsia"/>
                      <w:b w:val="0"/>
                      <w:bCs w:val="0"/>
                      <w:sz w:val="18"/>
                      <w:szCs w:val="18"/>
                      <w:u w:val="none"/>
                    </w:rPr>
                    <w:t>严格执行危险废物转运“五联单”制度，危险废物应由有资质的单位进行处置，转移危险废物的，必须按照国家有关规定填写危险废物转移联单，并向危险废物移出地和接收地的县级以上地方人民政府环境保护行政主管部门报告。</w:t>
                  </w:r>
                </w:p>
              </w:tc>
              <w:tc>
                <w:tcPr>
                  <w:tcW w:w="1911" w:type="pct"/>
                  <w:tcMar>
                    <w:left w:w="28" w:type="dxa"/>
                    <w:right w:w="28" w:type="dxa"/>
                  </w:tcMar>
                  <w:vAlign w:val="center"/>
                </w:tcPr>
                <w:p w14:paraId="4A58FF86">
                  <w:pPr>
                    <w:rPr>
                      <w:b w:val="0"/>
                      <w:bCs w:val="0"/>
                      <w:sz w:val="18"/>
                      <w:szCs w:val="18"/>
                      <w:u w:val="none"/>
                    </w:rPr>
                  </w:pPr>
                  <w:r>
                    <w:rPr>
                      <w:b w:val="0"/>
                      <w:bCs w:val="0"/>
                      <w:sz w:val="18"/>
                      <w:szCs w:val="18"/>
                      <w:u w:val="none"/>
                    </w:rPr>
                    <w:t>危险废物的收集、运输、贮存、管理以及转运应严格按照《危险废物污染防治技术政策》（环发〔2001〕199号）、《危险废物转移联单管理办法》（国家环境保护总局令第5号）和《危险废物贮存污染控制标准》（GB18597-2023）实行，对危险废物外运采取防渗透、防泄漏、防中途流失措施，并落实安全管理责任，避免二次污染。本项目危险废物委托有资质单位安全处置，企业不得擅自处理，评价要求建设单位在投入运行前应当与相应资质单位签订相应的危废处置协议。</w:t>
                  </w:r>
                </w:p>
              </w:tc>
              <w:tc>
                <w:tcPr>
                  <w:tcW w:w="357" w:type="pct"/>
                  <w:tcMar>
                    <w:left w:w="28" w:type="dxa"/>
                    <w:right w:w="28" w:type="dxa"/>
                  </w:tcMar>
                  <w:vAlign w:val="center"/>
                </w:tcPr>
                <w:p w14:paraId="534F93D7">
                  <w:pPr>
                    <w:jc w:val="center"/>
                    <w:rPr>
                      <w:b w:val="0"/>
                      <w:bCs w:val="0"/>
                      <w:sz w:val="18"/>
                      <w:szCs w:val="18"/>
                      <w:u w:val="none"/>
                    </w:rPr>
                  </w:pPr>
                  <w:r>
                    <w:rPr>
                      <w:b w:val="0"/>
                      <w:bCs w:val="0"/>
                      <w:sz w:val="18"/>
                      <w:szCs w:val="18"/>
                      <w:u w:val="none"/>
                    </w:rPr>
                    <w:t>符合</w:t>
                  </w:r>
                </w:p>
              </w:tc>
            </w:tr>
            <w:tr w14:paraId="727093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1" w:type="pct"/>
                  <w:tcMar>
                    <w:left w:w="28" w:type="dxa"/>
                    <w:right w:w="28" w:type="dxa"/>
                  </w:tcMar>
                  <w:vAlign w:val="center"/>
                </w:tcPr>
                <w:p w14:paraId="037ED1EA">
                  <w:pPr>
                    <w:adjustRightInd w:val="0"/>
                    <w:jc w:val="center"/>
                    <w:rPr>
                      <w:b w:val="0"/>
                      <w:bCs w:val="0"/>
                      <w:sz w:val="18"/>
                      <w:szCs w:val="18"/>
                      <w:u w:val="none"/>
                    </w:rPr>
                  </w:pPr>
                  <w:r>
                    <w:rPr>
                      <w:rFonts w:hint="eastAsia"/>
                      <w:b w:val="0"/>
                      <w:bCs w:val="0"/>
                      <w:sz w:val="18"/>
                      <w:szCs w:val="18"/>
                      <w:u w:val="none"/>
                    </w:rPr>
                    <w:t>土壤环境</w:t>
                  </w:r>
                  <w:r>
                    <w:rPr>
                      <w:b w:val="0"/>
                      <w:bCs w:val="0"/>
                      <w:sz w:val="18"/>
                      <w:szCs w:val="18"/>
                      <w:u w:val="none"/>
                    </w:rPr>
                    <w:t>处理处置措施</w:t>
                  </w:r>
                </w:p>
              </w:tc>
              <w:tc>
                <w:tcPr>
                  <w:tcW w:w="2358" w:type="pct"/>
                  <w:tcMar>
                    <w:left w:w="28" w:type="dxa"/>
                    <w:right w:w="28" w:type="dxa"/>
                  </w:tcMar>
                  <w:vAlign w:val="center"/>
                </w:tcPr>
                <w:p w14:paraId="3347B17C">
                  <w:pPr>
                    <w:adjustRightInd w:val="0"/>
                    <w:rPr>
                      <w:b w:val="0"/>
                      <w:bCs w:val="0"/>
                      <w:sz w:val="18"/>
                      <w:szCs w:val="18"/>
                      <w:u w:val="none"/>
                    </w:rPr>
                  </w:pPr>
                  <w:r>
                    <w:rPr>
                      <w:b w:val="0"/>
                      <w:bCs w:val="0"/>
                      <w:sz w:val="18"/>
                      <w:szCs w:val="18"/>
                      <w:u w:val="none"/>
                    </w:rPr>
                    <w:t>严格项目环境准入。产业集聚区新建、改建、扩建重金属污染物排放项目，要通过“以新带老”治理，淘汰落后产能及区域替代等措施达到重金属污染物“等量置换”、“减量置换”的要求，实现项目所在区域内重点重金属污染物排放总量零增长或进一步削减。</w:t>
                  </w:r>
                </w:p>
              </w:tc>
              <w:tc>
                <w:tcPr>
                  <w:tcW w:w="1911" w:type="pct"/>
                  <w:tcMar>
                    <w:left w:w="28" w:type="dxa"/>
                    <w:right w:w="28" w:type="dxa"/>
                  </w:tcMar>
                  <w:vAlign w:val="center"/>
                </w:tcPr>
                <w:p w14:paraId="6070B3B8">
                  <w:pPr>
                    <w:rPr>
                      <w:b w:val="0"/>
                      <w:bCs w:val="0"/>
                      <w:sz w:val="18"/>
                      <w:szCs w:val="18"/>
                      <w:u w:val="none"/>
                    </w:rPr>
                  </w:pPr>
                  <w:r>
                    <w:rPr>
                      <w:b w:val="0"/>
                      <w:bCs w:val="0"/>
                      <w:sz w:val="18"/>
                      <w:szCs w:val="18"/>
                      <w:u w:val="none"/>
                    </w:rPr>
                    <w:t>本项目</w:t>
                  </w:r>
                  <w:r>
                    <w:rPr>
                      <w:rFonts w:hint="eastAsia"/>
                      <w:b w:val="0"/>
                      <w:bCs w:val="0"/>
                      <w:sz w:val="18"/>
                      <w:szCs w:val="18"/>
                      <w:u w:val="none"/>
                    </w:rPr>
                    <w:t>不涉及重金属污染物排放，不会对土壤环境造成影响</w:t>
                  </w:r>
                  <w:r>
                    <w:rPr>
                      <w:b w:val="0"/>
                      <w:bCs w:val="0"/>
                      <w:sz w:val="18"/>
                      <w:szCs w:val="18"/>
                      <w:u w:val="none"/>
                    </w:rPr>
                    <w:t>。</w:t>
                  </w:r>
                </w:p>
              </w:tc>
              <w:tc>
                <w:tcPr>
                  <w:tcW w:w="357" w:type="pct"/>
                  <w:tcMar>
                    <w:left w:w="28" w:type="dxa"/>
                    <w:right w:w="28" w:type="dxa"/>
                  </w:tcMar>
                  <w:vAlign w:val="center"/>
                </w:tcPr>
                <w:p w14:paraId="5EAB733B">
                  <w:pPr>
                    <w:jc w:val="center"/>
                    <w:rPr>
                      <w:b w:val="0"/>
                      <w:bCs w:val="0"/>
                      <w:sz w:val="18"/>
                      <w:szCs w:val="18"/>
                      <w:u w:val="none"/>
                    </w:rPr>
                  </w:pPr>
                  <w:r>
                    <w:rPr>
                      <w:b w:val="0"/>
                      <w:bCs w:val="0"/>
                      <w:sz w:val="18"/>
                      <w:szCs w:val="18"/>
                      <w:u w:val="none"/>
                    </w:rPr>
                    <w:t>符合</w:t>
                  </w:r>
                </w:p>
              </w:tc>
            </w:tr>
          </w:tbl>
          <w:p w14:paraId="63C518EE">
            <w:pPr>
              <w:pStyle w:val="4"/>
              <w:numPr>
                <w:ilvl w:val="1"/>
                <w:numId w:val="0"/>
              </w:numPr>
              <w:ind w:firstLine="420" w:firstLineChars="200"/>
              <w:rPr>
                <w:rFonts w:cs="Times New Roman"/>
                <w:b w:val="0"/>
                <w:bCs w:val="0"/>
                <w:szCs w:val="21"/>
                <w:u w:val="none"/>
              </w:rPr>
            </w:pPr>
            <w:r>
              <w:rPr>
                <w:rFonts w:hint="eastAsia" w:cs="Times New Roman"/>
                <w:b w:val="0"/>
                <w:bCs w:val="0"/>
                <w:szCs w:val="21"/>
                <w:u w:val="none"/>
              </w:rPr>
              <w:t>由上表可知，本项目符合平顶山尼龙新材料产业集聚区环评结论要求。</w:t>
            </w:r>
          </w:p>
          <w:p w14:paraId="1B5A54E1">
            <w:pPr>
              <w:pStyle w:val="4"/>
              <w:rPr>
                <w:b w:val="0"/>
                <w:bCs w:val="0"/>
                <w:u w:val="none"/>
              </w:rPr>
            </w:pPr>
            <w:r>
              <w:rPr>
                <w:rFonts w:hint="eastAsia"/>
                <w:b w:val="0"/>
                <w:bCs w:val="0"/>
                <w:u w:val="none"/>
              </w:rPr>
              <w:t>与《平顶山尼龙新材料产业集聚区总体发展规划（2021-2030）环境影响报告书（报批版）》审查意见的相符性分析</w:t>
            </w:r>
          </w:p>
          <w:p w14:paraId="7376FD39">
            <w:pPr>
              <w:pStyle w:val="5"/>
              <w:rPr>
                <w:rFonts w:hint="default"/>
                <w:b w:val="0"/>
                <w:bCs w:val="0"/>
                <w:u w:val="none"/>
              </w:rPr>
            </w:pPr>
            <w:r>
              <w:rPr>
                <w:b w:val="0"/>
                <w:bCs w:val="0"/>
                <w:u w:val="none"/>
              </w:rPr>
              <w:t>对照“河南省生态环境厅关于《平顶山尼龙新材料产业集聚区总体发展规划（2021-2030）环境影响报告书》的审查意见”（“豫环函[2022]19号”），本项目符合相关要求，具体分析如下：</w:t>
            </w:r>
          </w:p>
          <w:p w14:paraId="36DD6A78">
            <w:pPr>
              <w:pStyle w:val="44"/>
              <w:numPr>
                <w:ilvl w:val="0"/>
                <w:numId w:val="2"/>
              </w:numPr>
              <w:rPr>
                <w:rFonts w:hint="default"/>
                <w:b w:val="0"/>
                <w:bCs w:val="0"/>
                <w:u w:val="none"/>
              </w:rPr>
            </w:pPr>
            <w:r>
              <w:rPr>
                <w:b w:val="0"/>
                <w:bCs w:val="0"/>
                <w:u w:val="none"/>
              </w:rPr>
              <w:t xml:space="preserve">  与集聚区规划环评审查意见的符合性</w:t>
            </w:r>
          </w:p>
          <w:tbl>
            <w:tblPr>
              <w:tblStyle w:val="27"/>
              <w:tblW w:w="5000"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28" w:type="dxa"/>
                <w:bottom w:w="0" w:type="dxa"/>
                <w:right w:w="28" w:type="dxa"/>
              </w:tblCellMar>
            </w:tblPr>
            <w:tblGrid>
              <w:gridCol w:w="639"/>
              <w:gridCol w:w="3553"/>
              <w:gridCol w:w="2032"/>
              <w:gridCol w:w="812"/>
            </w:tblGrid>
            <w:tr w14:paraId="0E84FEA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283" w:hRule="atLeast"/>
              </w:trPr>
              <w:tc>
                <w:tcPr>
                  <w:tcW w:w="4270" w:type="dxa"/>
                  <w:gridSpan w:val="2"/>
                  <w:tcBorders>
                    <w:tl2br w:val="nil"/>
                    <w:tr2bl w:val="nil"/>
                  </w:tcBorders>
                  <w:vAlign w:val="center"/>
                </w:tcPr>
                <w:p w14:paraId="674A53AF">
                  <w:pPr>
                    <w:pStyle w:val="45"/>
                    <w:rPr>
                      <w:rFonts w:hint="default"/>
                      <w:b w:val="0"/>
                      <w:bCs w:val="0"/>
                      <w:u w:val="none"/>
                    </w:rPr>
                  </w:pPr>
                  <w:r>
                    <w:rPr>
                      <w:b w:val="0"/>
                      <w:bCs w:val="0"/>
                      <w:u w:val="none"/>
                    </w:rPr>
                    <w:t>审查意见要求</w:t>
                  </w:r>
                </w:p>
              </w:tc>
              <w:tc>
                <w:tcPr>
                  <w:tcW w:w="2040" w:type="dxa"/>
                  <w:tcBorders>
                    <w:tl2br w:val="nil"/>
                    <w:tr2bl w:val="nil"/>
                  </w:tcBorders>
                  <w:vAlign w:val="center"/>
                </w:tcPr>
                <w:p w14:paraId="29795577">
                  <w:pPr>
                    <w:pStyle w:val="45"/>
                    <w:rPr>
                      <w:rFonts w:hint="default"/>
                      <w:b w:val="0"/>
                      <w:bCs w:val="0"/>
                      <w:u w:val="none"/>
                    </w:rPr>
                  </w:pPr>
                  <w:r>
                    <w:rPr>
                      <w:rFonts w:hint="default"/>
                      <w:b w:val="0"/>
                      <w:bCs w:val="0"/>
                      <w:u w:val="none"/>
                    </w:rPr>
                    <w:t>本项目</w:t>
                  </w:r>
                </w:p>
              </w:tc>
              <w:tc>
                <w:tcPr>
                  <w:tcW w:w="825" w:type="dxa"/>
                  <w:tcBorders>
                    <w:tl2br w:val="nil"/>
                    <w:tr2bl w:val="nil"/>
                  </w:tcBorders>
                  <w:vAlign w:val="center"/>
                </w:tcPr>
                <w:p w14:paraId="2ED0777F">
                  <w:pPr>
                    <w:pStyle w:val="45"/>
                    <w:rPr>
                      <w:rFonts w:hint="default"/>
                      <w:b w:val="0"/>
                      <w:bCs w:val="0"/>
                      <w:u w:val="none"/>
                    </w:rPr>
                  </w:pPr>
                  <w:r>
                    <w:rPr>
                      <w:rFonts w:hint="default"/>
                      <w:b w:val="0"/>
                      <w:bCs w:val="0"/>
                      <w:u w:val="none"/>
                    </w:rPr>
                    <w:t>符合性</w:t>
                  </w:r>
                </w:p>
              </w:tc>
            </w:tr>
            <w:tr w14:paraId="3203877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283" w:hRule="atLeast"/>
              </w:trPr>
              <w:tc>
                <w:tcPr>
                  <w:tcW w:w="648" w:type="dxa"/>
                  <w:tcBorders>
                    <w:tl2br w:val="nil"/>
                    <w:tr2bl w:val="nil"/>
                  </w:tcBorders>
                  <w:vAlign w:val="center"/>
                </w:tcPr>
                <w:p w14:paraId="1F2948DF">
                  <w:pPr>
                    <w:pStyle w:val="45"/>
                    <w:rPr>
                      <w:rFonts w:hint="default"/>
                      <w:b w:val="0"/>
                      <w:bCs w:val="0"/>
                      <w:u w:val="none"/>
                    </w:rPr>
                  </w:pPr>
                  <w:r>
                    <w:rPr>
                      <w:rFonts w:hint="default"/>
                      <w:b w:val="0"/>
                      <w:bCs w:val="0"/>
                      <w:u w:val="none"/>
                    </w:rPr>
                    <w:t>坚持绿色低碳高质量发展</w:t>
                  </w:r>
                </w:p>
              </w:tc>
              <w:tc>
                <w:tcPr>
                  <w:tcW w:w="3622" w:type="dxa"/>
                  <w:tcBorders>
                    <w:tl2br w:val="nil"/>
                    <w:tr2bl w:val="nil"/>
                  </w:tcBorders>
                  <w:vAlign w:val="center"/>
                </w:tcPr>
                <w:p w14:paraId="0DDD5973">
                  <w:pPr>
                    <w:pStyle w:val="45"/>
                    <w:rPr>
                      <w:rFonts w:hint="default"/>
                      <w:b w:val="0"/>
                      <w:bCs w:val="0"/>
                      <w:u w:val="none"/>
                    </w:rPr>
                  </w:pPr>
                  <w:r>
                    <w:rPr>
                      <w:rFonts w:hint="default"/>
                      <w:b w:val="0"/>
                      <w:bCs w:val="0"/>
                      <w:u w:val="none"/>
                    </w:rPr>
                    <w:t>规划应贯彻生态优先、绿色低碳、集约高效的绿色发展、协调发展理念，根据国家、省发展战略，以环境质量改善为核心，进一步优化产业集聚区的产业结构、发展规模、用地布局等，做好与区域“三线一单”成果的协调衔接，实现集聚区绿色低碳高质量发展目标。</w:t>
                  </w:r>
                </w:p>
              </w:tc>
              <w:tc>
                <w:tcPr>
                  <w:tcW w:w="2040" w:type="dxa"/>
                  <w:tcBorders>
                    <w:tl2br w:val="nil"/>
                    <w:tr2bl w:val="nil"/>
                  </w:tcBorders>
                  <w:vAlign w:val="center"/>
                </w:tcPr>
                <w:p w14:paraId="7FBD3A5C">
                  <w:pPr>
                    <w:pStyle w:val="45"/>
                    <w:rPr>
                      <w:rFonts w:hint="default"/>
                      <w:b w:val="0"/>
                      <w:bCs w:val="0"/>
                      <w:u w:val="none"/>
                    </w:rPr>
                  </w:pPr>
                  <w:r>
                    <w:rPr>
                      <w:rFonts w:hint="default"/>
                      <w:b w:val="0"/>
                      <w:bCs w:val="0"/>
                      <w:u w:val="none"/>
                    </w:rPr>
                    <w:t>本项目符合集聚区主导产业，符合“三线一单要求”</w:t>
                  </w:r>
                </w:p>
              </w:tc>
              <w:tc>
                <w:tcPr>
                  <w:tcW w:w="825" w:type="dxa"/>
                  <w:tcBorders>
                    <w:tl2br w:val="nil"/>
                    <w:tr2bl w:val="nil"/>
                  </w:tcBorders>
                  <w:vAlign w:val="center"/>
                </w:tcPr>
                <w:p w14:paraId="1974D45C">
                  <w:pPr>
                    <w:pStyle w:val="45"/>
                    <w:rPr>
                      <w:rFonts w:hint="default"/>
                      <w:b w:val="0"/>
                      <w:bCs w:val="0"/>
                      <w:u w:val="none"/>
                    </w:rPr>
                  </w:pPr>
                  <w:r>
                    <w:rPr>
                      <w:rFonts w:hint="default"/>
                      <w:b w:val="0"/>
                      <w:bCs w:val="0"/>
                      <w:u w:val="none"/>
                    </w:rPr>
                    <w:t>符合</w:t>
                  </w:r>
                </w:p>
              </w:tc>
            </w:tr>
            <w:tr w14:paraId="22BE31B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283" w:hRule="atLeast"/>
              </w:trPr>
              <w:tc>
                <w:tcPr>
                  <w:tcW w:w="648" w:type="dxa"/>
                  <w:tcBorders>
                    <w:tl2br w:val="nil"/>
                    <w:tr2bl w:val="nil"/>
                  </w:tcBorders>
                  <w:vAlign w:val="center"/>
                </w:tcPr>
                <w:p w14:paraId="4C71BDD8">
                  <w:pPr>
                    <w:pStyle w:val="45"/>
                    <w:rPr>
                      <w:rFonts w:hint="default"/>
                      <w:b w:val="0"/>
                      <w:bCs w:val="0"/>
                      <w:u w:val="none"/>
                    </w:rPr>
                  </w:pPr>
                  <w:r>
                    <w:rPr>
                      <w:rFonts w:hint="default"/>
                      <w:b w:val="0"/>
                      <w:bCs w:val="0"/>
                      <w:u w:val="none"/>
                    </w:rPr>
                    <w:t>加快推进产业转型</w:t>
                  </w:r>
                </w:p>
              </w:tc>
              <w:tc>
                <w:tcPr>
                  <w:tcW w:w="3622" w:type="dxa"/>
                  <w:tcBorders>
                    <w:tl2br w:val="nil"/>
                    <w:tr2bl w:val="nil"/>
                  </w:tcBorders>
                  <w:vAlign w:val="center"/>
                </w:tcPr>
                <w:p w14:paraId="428CF5D7">
                  <w:pPr>
                    <w:pStyle w:val="45"/>
                    <w:rPr>
                      <w:rFonts w:hint="default"/>
                      <w:b w:val="0"/>
                      <w:bCs w:val="0"/>
                      <w:u w:val="none"/>
                    </w:rPr>
                  </w:pPr>
                  <w:r>
                    <w:rPr>
                      <w:rFonts w:hint="default"/>
                      <w:b w:val="0"/>
                      <w:bCs w:val="0"/>
                      <w:u w:val="none"/>
                    </w:rPr>
                    <w:t>产业集聚区应遵循循环经济理念，积极推进产业技术进步和园区循环化改造，坚持减污降碳协同发展；积极围绕尼龙产业推进尼龙织造、尼龙工程塑料、印染等纵向制品延伸加工产业的发展；依托现有产业基础，布局建设精细化工及化工新材料项目；入区新、改、扩建项目应实施清洁生产，生产工艺、设备、污染治理技术，以及单位产品能耗、物耗、污染物排放和资源利用率均需达到同行业国内先进水平，确保产业发展与生态环境保护相协调。</w:t>
                  </w:r>
                </w:p>
              </w:tc>
              <w:tc>
                <w:tcPr>
                  <w:tcW w:w="2040" w:type="dxa"/>
                  <w:tcBorders>
                    <w:tl2br w:val="nil"/>
                    <w:tr2bl w:val="nil"/>
                  </w:tcBorders>
                  <w:vAlign w:val="center"/>
                </w:tcPr>
                <w:p w14:paraId="34C001F0">
                  <w:pPr>
                    <w:pStyle w:val="45"/>
                    <w:rPr>
                      <w:rFonts w:hint="default"/>
                      <w:b w:val="0"/>
                      <w:bCs w:val="0"/>
                      <w:u w:val="none"/>
                    </w:rPr>
                  </w:pPr>
                  <w:r>
                    <w:rPr>
                      <w:rFonts w:hint="default"/>
                      <w:b w:val="0"/>
                      <w:bCs w:val="0"/>
                      <w:u w:val="none"/>
                    </w:rPr>
                    <w:t>本项目为</w:t>
                  </w:r>
                  <w:r>
                    <w:rPr>
                      <w:b w:val="0"/>
                      <w:bCs w:val="0"/>
                      <w:u w:val="none"/>
                    </w:rPr>
                    <w:t>新建</w:t>
                  </w:r>
                  <w:r>
                    <w:rPr>
                      <w:rFonts w:hint="default"/>
                      <w:b w:val="0"/>
                      <w:bCs w:val="0"/>
                      <w:u w:val="none"/>
                    </w:rPr>
                    <w:t>化工项目，</w:t>
                  </w:r>
                  <w:r>
                    <w:rPr>
                      <w:b w:val="0"/>
                      <w:bCs w:val="0"/>
                      <w:u w:val="none"/>
                    </w:rPr>
                    <w:t>属于依托现有产业基础，布局建设精细化工及化工新材料项目，</w:t>
                  </w:r>
                  <w:r>
                    <w:rPr>
                      <w:rFonts w:hint="default"/>
                      <w:b w:val="0"/>
                      <w:bCs w:val="0"/>
                      <w:u w:val="none"/>
                    </w:rPr>
                    <w:t>符合尼龙产业集聚区产业定位，单位产品能耗、物耗、污染物排放和资源利用率均达到同行业国内先进水平</w:t>
                  </w:r>
                  <w:r>
                    <w:rPr>
                      <w:b w:val="0"/>
                      <w:bCs w:val="0"/>
                      <w:u w:val="none"/>
                    </w:rPr>
                    <w:t>。</w:t>
                  </w:r>
                </w:p>
              </w:tc>
              <w:tc>
                <w:tcPr>
                  <w:tcW w:w="825" w:type="dxa"/>
                  <w:tcBorders>
                    <w:tl2br w:val="nil"/>
                    <w:tr2bl w:val="nil"/>
                  </w:tcBorders>
                  <w:vAlign w:val="center"/>
                </w:tcPr>
                <w:p w14:paraId="45171CF1">
                  <w:pPr>
                    <w:pStyle w:val="45"/>
                    <w:rPr>
                      <w:rFonts w:hint="default"/>
                      <w:b w:val="0"/>
                      <w:bCs w:val="0"/>
                      <w:u w:val="none"/>
                    </w:rPr>
                  </w:pPr>
                  <w:r>
                    <w:rPr>
                      <w:rFonts w:hint="default"/>
                      <w:b w:val="0"/>
                      <w:bCs w:val="0"/>
                      <w:u w:val="none"/>
                    </w:rPr>
                    <w:t>符合</w:t>
                  </w:r>
                </w:p>
              </w:tc>
            </w:tr>
            <w:tr w14:paraId="1FA413B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283" w:hRule="atLeast"/>
              </w:trPr>
              <w:tc>
                <w:tcPr>
                  <w:tcW w:w="648" w:type="dxa"/>
                  <w:tcBorders>
                    <w:tl2br w:val="nil"/>
                    <w:tr2bl w:val="nil"/>
                  </w:tcBorders>
                  <w:vAlign w:val="center"/>
                </w:tcPr>
                <w:p w14:paraId="75858C4C">
                  <w:pPr>
                    <w:pStyle w:val="45"/>
                    <w:rPr>
                      <w:rFonts w:hint="default"/>
                      <w:b w:val="0"/>
                      <w:bCs w:val="0"/>
                      <w:u w:val="none"/>
                    </w:rPr>
                  </w:pPr>
                  <w:r>
                    <w:rPr>
                      <w:rFonts w:hint="default"/>
                      <w:b w:val="0"/>
                      <w:bCs w:val="0"/>
                      <w:u w:val="none"/>
                    </w:rPr>
                    <w:t>优化空间布局严格空间管控</w:t>
                  </w:r>
                </w:p>
              </w:tc>
              <w:tc>
                <w:tcPr>
                  <w:tcW w:w="3622" w:type="dxa"/>
                  <w:tcBorders>
                    <w:tl2br w:val="nil"/>
                    <w:tr2bl w:val="nil"/>
                  </w:tcBorders>
                  <w:vAlign w:val="center"/>
                </w:tcPr>
                <w:p w14:paraId="1F642B82">
                  <w:pPr>
                    <w:pStyle w:val="45"/>
                    <w:rPr>
                      <w:rFonts w:hint="default"/>
                      <w:b w:val="0"/>
                      <w:bCs w:val="0"/>
                      <w:u w:val="none"/>
                    </w:rPr>
                  </w:pPr>
                  <w:r>
                    <w:rPr>
                      <w:rFonts w:hint="default"/>
                      <w:b w:val="0"/>
                      <w:bCs w:val="0"/>
                      <w:u w:val="none"/>
                    </w:rPr>
                    <w:t>进一步加强与国土空间规划的街接，保持规划之间协调一致；做好规划控制和生态隔离带建设，加强对集聚区及周边生活区的防护，确保集聚区产业布局与生态环境保护、人居环境安全相协调。对不符合区域发展定位和生态环境保护要求的现有企业应尽快完成整改或布局调整，存续期间不再增加污染物排放量。</w:t>
                  </w:r>
                </w:p>
              </w:tc>
              <w:tc>
                <w:tcPr>
                  <w:tcW w:w="2040" w:type="dxa"/>
                  <w:tcBorders>
                    <w:tl2br w:val="nil"/>
                    <w:tr2bl w:val="nil"/>
                  </w:tcBorders>
                  <w:vAlign w:val="center"/>
                </w:tcPr>
                <w:p w14:paraId="60E5E348">
                  <w:pPr>
                    <w:pStyle w:val="45"/>
                    <w:rPr>
                      <w:rFonts w:hint="default"/>
                      <w:b w:val="0"/>
                      <w:bCs w:val="0"/>
                      <w:u w:val="none"/>
                    </w:rPr>
                  </w:pPr>
                  <w:r>
                    <w:rPr>
                      <w:rFonts w:hint="default"/>
                      <w:b w:val="0"/>
                      <w:bCs w:val="0"/>
                      <w:u w:val="none"/>
                    </w:rPr>
                    <w:t>本项目选址位于平顶山尼龙新材料产业集聚区</w:t>
                  </w:r>
                  <w:r>
                    <w:rPr>
                      <w:b w:val="0"/>
                      <w:bCs w:val="0"/>
                      <w:u w:val="none"/>
                    </w:rPr>
                    <w:t>中“</w:t>
                  </w:r>
                  <w:r>
                    <w:rPr>
                      <w:rFonts w:hint="default"/>
                      <w:b w:val="0"/>
                      <w:bCs w:val="0"/>
                      <w:u w:val="none"/>
                    </w:rPr>
                    <w:t>尼龙材料及原料配套产业区</w:t>
                  </w:r>
                  <w:r>
                    <w:rPr>
                      <w:b w:val="0"/>
                      <w:bCs w:val="0"/>
                      <w:u w:val="none"/>
                    </w:rPr>
                    <w:t>”</w:t>
                  </w:r>
                  <w:r>
                    <w:rPr>
                      <w:rFonts w:hint="default"/>
                      <w:b w:val="0"/>
                      <w:bCs w:val="0"/>
                      <w:u w:val="none"/>
                    </w:rPr>
                    <w:t>，</w:t>
                  </w:r>
                  <w:r>
                    <w:rPr>
                      <w:b w:val="0"/>
                      <w:bCs w:val="0"/>
                      <w:u w:val="none"/>
                    </w:rPr>
                    <w:t>符合园区产业布局</w:t>
                  </w:r>
                </w:p>
              </w:tc>
              <w:tc>
                <w:tcPr>
                  <w:tcW w:w="825" w:type="dxa"/>
                  <w:tcBorders>
                    <w:tl2br w:val="nil"/>
                    <w:tr2bl w:val="nil"/>
                  </w:tcBorders>
                  <w:vAlign w:val="center"/>
                </w:tcPr>
                <w:p w14:paraId="6E4D1ED0">
                  <w:pPr>
                    <w:pStyle w:val="45"/>
                    <w:rPr>
                      <w:rFonts w:hint="default"/>
                      <w:b w:val="0"/>
                      <w:bCs w:val="0"/>
                      <w:u w:val="none"/>
                    </w:rPr>
                  </w:pPr>
                  <w:r>
                    <w:rPr>
                      <w:rFonts w:hint="default"/>
                      <w:b w:val="0"/>
                      <w:bCs w:val="0"/>
                      <w:u w:val="none"/>
                    </w:rPr>
                    <w:t>符合</w:t>
                  </w:r>
                </w:p>
              </w:tc>
            </w:tr>
            <w:tr w14:paraId="5D87FA6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283" w:hRule="atLeast"/>
              </w:trPr>
              <w:tc>
                <w:tcPr>
                  <w:tcW w:w="648" w:type="dxa"/>
                  <w:tcBorders>
                    <w:tl2br w:val="nil"/>
                    <w:tr2bl w:val="nil"/>
                  </w:tcBorders>
                  <w:vAlign w:val="center"/>
                </w:tcPr>
                <w:p w14:paraId="74951A96">
                  <w:pPr>
                    <w:pStyle w:val="45"/>
                    <w:rPr>
                      <w:rFonts w:hint="default"/>
                      <w:b w:val="0"/>
                      <w:bCs w:val="0"/>
                      <w:u w:val="none"/>
                    </w:rPr>
                  </w:pPr>
                  <w:r>
                    <w:rPr>
                      <w:rFonts w:hint="default"/>
                      <w:b w:val="0"/>
                      <w:bCs w:val="0"/>
                      <w:u w:val="none"/>
                    </w:rPr>
                    <w:t>强化减污降碳协同增效</w:t>
                  </w:r>
                </w:p>
              </w:tc>
              <w:tc>
                <w:tcPr>
                  <w:tcW w:w="3622" w:type="dxa"/>
                  <w:tcBorders>
                    <w:tl2br w:val="nil"/>
                    <w:tr2bl w:val="nil"/>
                  </w:tcBorders>
                  <w:vAlign w:val="center"/>
                </w:tcPr>
                <w:p w14:paraId="1729D4CC">
                  <w:pPr>
                    <w:pStyle w:val="45"/>
                    <w:rPr>
                      <w:rFonts w:hint="default"/>
                      <w:b w:val="0"/>
                      <w:bCs w:val="0"/>
                      <w:u w:val="none"/>
                    </w:rPr>
                  </w:pPr>
                  <w:r>
                    <w:rPr>
                      <w:rFonts w:hint="default"/>
                      <w:b w:val="0"/>
                      <w:bCs w:val="0"/>
                      <w:u w:val="none"/>
                    </w:rPr>
                    <w:t>根据国家和河南省关于挥发性有机物、工业炉窑等大气和水、土壤污染防治相关要求，严格执行相关行业污染物排放标准及特别排放限值；严格执行污染物排放总量控制制度，新增污染物排放指标应做到“等量或倍量替代”；结合碳达峰目标，强化碳评价及减排措施，确保区域环境质量持续改善。</w:t>
                  </w:r>
                </w:p>
              </w:tc>
              <w:tc>
                <w:tcPr>
                  <w:tcW w:w="2040" w:type="dxa"/>
                  <w:tcBorders>
                    <w:tl2br w:val="nil"/>
                    <w:tr2bl w:val="nil"/>
                  </w:tcBorders>
                  <w:vAlign w:val="center"/>
                </w:tcPr>
                <w:p w14:paraId="3AD54397">
                  <w:pPr>
                    <w:pStyle w:val="45"/>
                    <w:rPr>
                      <w:rFonts w:hint="default"/>
                      <w:b w:val="0"/>
                      <w:bCs w:val="0"/>
                      <w:u w:val="none"/>
                    </w:rPr>
                  </w:pPr>
                  <w:r>
                    <w:rPr>
                      <w:b w:val="0"/>
                      <w:bCs w:val="0"/>
                      <w:u w:val="none"/>
                    </w:rPr>
                    <w:t>本项目排放的甲醇执行《大气污染物综合排放标准》（GB16297-1996）要求，硫化氢和氨执行《无机化学工业污染物排放标准》（GB31573—2015）及其修改单中表3排放限值要求；本项目废水排至</w:t>
                  </w:r>
                  <w:r>
                    <w:rPr>
                      <w:b w:val="0"/>
                      <w:bCs w:val="0"/>
                      <w:kern w:val="0"/>
                      <w:szCs w:val="18"/>
                      <w:u w:val="none"/>
                      <w:lang w:val="zh-CN"/>
                    </w:rPr>
                    <w:t>平顶山首创水务有限公司（平顶山市第三污水处理厂）</w:t>
                  </w:r>
                  <w:r>
                    <w:rPr>
                      <w:b w:val="0"/>
                      <w:bCs w:val="0"/>
                      <w:u w:val="none"/>
                    </w:rPr>
                    <w:t>集中处理，不直接排放；土壤做好污染防治措施；新增污染物排放指标做到“等量或倍量替代”。在运营过程中进一步提升能源利用效率，提高产品、设备等节能标准，持续改善环境质量，扎实推进碳达峰与碳中和。</w:t>
                  </w:r>
                </w:p>
              </w:tc>
              <w:tc>
                <w:tcPr>
                  <w:tcW w:w="825" w:type="dxa"/>
                  <w:tcBorders>
                    <w:tl2br w:val="nil"/>
                    <w:tr2bl w:val="nil"/>
                  </w:tcBorders>
                  <w:vAlign w:val="center"/>
                </w:tcPr>
                <w:p w14:paraId="228EDB83">
                  <w:pPr>
                    <w:pStyle w:val="45"/>
                    <w:rPr>
                      <w:rFonts w:hint="default"/>
                      <w:b w:val="0"/>
                      <w:bCs w:val="0"/>
                      <w:u w:val="none"/>
                    </w:rPr>
                  </w:pPr>
                  <w:r>
                    <w:rPr>
                      <w:rFonts w:hint="default"/>
                      <w:b w:val="0"/>
                      <w:bCs w:val="0"/>
                      <w:u w:val="none"/>
                    </w:rPr>
                    <w:t>符合</w:t>
                  </w:r>
                </w:p>
              </w:tc>
            </w:tr>
            <w:tr w14:paraId="5B4436A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283" w:hRule="atLeast"/>
              </w:trPr>
              <w:tc>
                <w:tcPr>
                  <w:tcW w:w="648" w:type="dxa"/>
                  <w:tcBorders>
                    <w:tl2br w:val="nil"/>
                    <w:tr2bl w:val="nil"/>
                  </w:tcBorders>
                  <w:vAlign w:val="center"/>
                </w:tcPr>
                <w:p w14:paraId="449DCB4F">
                  <w:pPr>
                    <w:pStyle w:val="45"/>
                    <w:rPr>
                      <w:rFonts w:hint="default"/>
                      <w:b w:val="0"/>
                      <w:bCs w:val="0"/>
                      <w:u w:val="none"/>
                    </w:rPr>
                  </w:pPr>
                  <w:r>
                    <w:rPr>
                      <w:rFonts w:hint="default"/>
                      <w:b w:val="0"/>
                      <w:bCs w:val="0"/>
                      <w:u w:val="none"/>
                    </w:rPr>
                    <w:t>严格落实项目入驻要求</w:t>
                  </w:r>
                </w:p>
              </w:tc>
              <w:tc>
                <w:tcPr>
                  <w:tcW w:w="3622" w:type="dxa"/>
                  <w:tcBorders>
                    <w:tl2br w:val="nil"/>
                    <w:tr2bl w:val="nil"/>
                  </w:tcBorders>
                  <w:vAlign w:val="center"/>
                </w:tcPr>
                <w:p w14:paraId="748D6EA3">
                  <w:pPr>
                    <w:pStyle w:val="45"/>
                    <w:rPr>
                      <w:rFonts w:hint="default"/>
                      <w:b w:val="0"/>
                      <w:bCs w:val="0"/>
                      <w:u w:val="none"/>
                    </w:rPr>
                  </w:pPr>
                  <w:r>
                    <w:rPr>
                      <w:rFonts w:hint="default"/>
                      <w:b w:val="0"/>
                      <w:bCs w:val="0"/>
                      <w:u w:val="none"/>
                    </w:rPr>
                    <w:t>严格落实《报告书》生态环境准入要求，鼓励符合集聚区功能定位、国家产业政策鼓励的项目入驻，禁止钢铁、冶金、焦化、水泥等不属于产业集聚区主导产业的高耗能、高排放项目，禁止使用高VOCs含量的溶剂型涂料、油墨、胶粘剂的项目。</w:t>
                  </w:r>
                </w:p>
              </w:tc>
              <w:tc>
                <w:tcPr>
                  <w:tcW w:w="2040" w:type="dxa"/>
                  <w:tcBorders>
                    <w:tl2br w:val="nil"/>
                    <w:tr2bl w:val="nil"/>
                  </w:tcBorders>
                  <w:vAlign w:val="center"/>
                </w:tcPr>
                <w:p w14:paraId="70DA545B">
                  <w:pPr>
                    <w:pStyle w:val="45"/>
                    <w:rPr>
                      <w:rFonts w:hint="default"/>
                      <w:b w:val="0"/>
                      <w:bCs w:val="0"/>
                      <w:u w:val="none"/>
                    </w:rPr>
                  </w:pPr>
                  <w:r>
                    <w:rPr>
                      <w:rFonts w:hint="default"/>
                      <w:b w:val="0"/>
                      <w:bCs w:val="0"/>
                      <w:u w:val="none"/>
                    </w:rPr>
                    <w:t>本项目符合报告书中的准入要求，</w:t>
                  </w:r>
                  <w:r>
                    <w:rPr>
                      <w:b w:val="0"/>
                      <w:bCs w:val="0"/>
                      <w:u w:val="none"/>
                    </w:rPr>
                    <w:t>项目属于化工项目，符合</w:t>
                  </w:r>
                  <w:r>
                    <w:rPr>
                      <w:rFonts w:hint="default"/>
                      <w:b w:val="0"/>
                      <w:bCs w:val="0"/>
                      <w:u w:val="none"/>
                    </w:rPr>
                    <w:t>产业集聚区主导产业，项目不使用高VOCs含量的溶剂型涂料、油墨、胶粘剂等</w:t>
                  </w:r>
                </w:p>
              </w:tc>
              <w:tc>
                <w:tcPr>
                  <w:tcW w:w="825" w:type="dxa"/>
                  <w:tcBorders>
                    <w:tl2br w:val="nil"/>
                    <w:tr2bl w:val="nil"/>
                  </w:tcBorders>
                  <w:vAlign w:val="center"/>
                </w:tcPr>
                <w:p w14:paraId="02E30BB1">
                  <w:pPr>
                    <w:pStyle w:val="45"/>
                    <w:rPr>
                      <w:rFonts w:hint="default"/>
                      <w:b w:val="0"/>
                      <w:bCs w:val="0"/>
                      <w:u w:val="none"/>
                    </w:rPr>
                  </w:pPr>
                  <w:r>
                    <w:rPr>
                      <w:rFonts w:hint="default"/>
                      <w:b w:val="0"/>
                      <w:bCs w:val="0"/>
                      <w:u w:val="none"/>
                    </w:rPr>
                    <w:t>符合</w:t>
                  </w:r>
                </w:p>
              </w:tc>
            </w:tr>
          </w:tbl>
          <w:p w14:paraId="62F27F96">
            <w:pPr>
              <w:pStyle w:val="5"/>
              <w:rPr>
                <w:rFonts w:hint="default"/>
                <w:b w:val="0"/>
                <w:bCs w:val="0"/>
                <w:u w:val="none"/>
              </w:rPr>
            </w:pPr>
          </w:p>
        </w:tc>
      </w:tr>
      <w:tr w14:paraId="723C1D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1618"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14:paraId="31FC821C">
            <w:pPr>
              <w:jc w:val="center"/>
              <w:rPr>
                <w:b w:val="0"/>
                <w:bCs w:val="0"/>
                <w:u w:val="none"/>
              </w:rPr>
            </w:pPr>
            <w:r>
              <w:rPr>
                <w:rFonts w:hint="eastAsia"/>
                <w:b w:val="0"/>
                <w:bCs w:val="0"/>
                <w:u w:val="none"/>
              </w:rPr>
              <w:t>其他符合性分析</w:t>
            </w:r>
          </w:p>
        </w:tc>
        <w:tc>
          <w:tcPr>
            <w:tcW w:w="7252" w:type="dxa"/>
            <w:gridSpan w:val="3"/>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14:paraId="3F182844">
            <w:pPr>
              <w:pStyle w:val="4"/>
              <w:numPr>
                <w:ilvl w:val="1"/>
                <w:numId w:val="3"/>
              </w:numPr>
              <w:tabs>
                <w:tab w:val="left" w:pos="0"/>
              </w:tabs>
              <w:rPr>
                <w:b w:val="0"/>
                <w:bCs w:val="0"/>
                <w:u w:val="none"/>
              </w:rPr>
            </w:pPr>
            <w:r>
              <w:rPr>
                <w:rFonts w:hint="eastAsia"/>
                <w:b w:val="0"/>
                <w:bCs w:val="0"/>
                <w:u w:val="none"/>
              </w:rPr>
              <w:t>产业政策相符性分析</w:t>
            </w:r>
          </w:p>
          <w:p w14:paraId="1CCD861B">
            <w:pPr>
              <w:pStyle w:val="5"/>
              <w:ind w:firstLine="422"/>
              <w:rPr>
                <w:rFonts w:hint="default"/>
                <w:b w:val="0"/>
                <w:bCs w:val="0"/>
                <w:u w:val="none"/>
              </w:rPr>
            </w:pPr>
            <w:r>
              <w:rPr>
                <w:b/>
                <w:bCs/>
                <w:u w:val="single"/>
              </w:rPr>
              <w:t>对照《产业结构调整指导目录（2024年本）》，本项目属于鼓励类第四十二条第1款“大气污染物治理和碳减排”项目。</w:t>
            </w:r>
            <w:r>
              <w:rPr>
                <w:b w:val="0"/>
                <w:bCs w:val="0"/>
                <w:u w:val="none"/>
              </w:rPr>
              <w:t>项目已在平顶山尼龙新材料开发区管理委员会进行备案，项目代码：2205-410422-04-01-346744（详见附件2）。</w:t>
            </w:r>
          </w:p>
          <w:p w14:paraId="139E85A4">
            <w:pPr>
              <w:pStyle w:val="5"/>
              <w:rPr>
                <w:rFonts w:hint="default"/>
                <w:b w:val="0"/>
                <w:bCs w:val="0"/>
                <w:u w:val="none"/>
              </w:rPr>
            </w:pPr>
            <w:r>
              <w:rPr>
                <w:b w:val="0"/>
                <w:bCs w:val="0"/>
                <w:u w:val="none"/>
              </w:rPr>
              <w:t>因此，项目符合现行产业政策。</w:t>
            </w:r>
          </w:p>
          <w:p w14:paraId="43799129">
            <w:pPr>
              <w:pStyle w:val="4"/>
              <w:rPr>
                <w:b w:val="0"/>
                <w:bCs w:val="0"/>
                <w:u w:val="none"/>
              </w:rPr>
            </w:pPr>
            <w:r>
              <w:rPr>
                <w:rFonts w:hint="eastAsia"/>
                <w:b w:val="0"/>
                <w:bCs w:val="0"/>
                <w:u w:val="none"/>
              </w:rPr>
              <w:t>选址合理性分析</w:t>
            </w:r>
          </w:p>
          <w:p w14:paraId="29C2AEA8">
            <w:pPr>
              <w:pStyle w:val="5"/>
              <w:rPr>
                <w:rFonts w:hint="default"/>
                <w:b w:val="0"/>
                <w:bCs w:val="0"/>
                <w:highlight w:val="yellow"/>
                <w:u w:val="none"/>
              </w:rPr>
            </w:pPr>
            <w:r>
              <w:rPr>
                <w:b w:val="0"/>
                <w:bCs w:val="0"/>
                <w:u w:val="none"/>
              </w:rPr>
              <w:t>本项目位于</w:t>
            </w:r>
            <w:r>
              <w:rPr>
                <w:b w:val="0"/>
                <w:bCs w:val="0"/>
                <w:u w:val="none"/>
                <w:lang w:val="zh-CN"/>
              </w:rPr>
              <w:t>平顶山尼龙新材料产业集聚区沙河五路与化工二路交叉口东北角</w:t>
            </w:r>
            <w:r>
              <w:rPr>
                <w:b w:val="0"/>
                <w:bCs w:val="0"/>
                <w:u w:val="none"/>
              </w:rPr>
              <w:t>，项目北临空地，南临沙河五路，东临</w:t>
            </w:r>
            <w:r>
              <w:rPr>
                <w:b w:val="0"/>
                <w:bCs w:val="0"/>
                <w:u w:val="none"/>
                <w:lang w:val="zh-CN"/>
              </w:rPr>
              <w:t>平顶山首创水务有限公司（平顶山市第三污水处理厂）</w:t>
            </w:r>
            <w:r>
              <w:rPr>
                <w:b w:val="0"/>
                <w:bCs w:val="0"/>
                <w:u w:val="none"/>
              </w:rPr>
              <w:t>，西临化工二路，距离项目最近的敏感点为项目东北侧366m的常李村，本项目地理位置见附图1，周边环境示意图见附图5。</w:t>
            </w:r>
          </w:p>
          <w:p w14:paraId="2CB337ED">
            <w:pPr>
              <w:pStyle w:val="5"/>
              <w:rPr>
                <w:rFonts w:hint="default"/>
                <w:b w:val="0"/>
                <w:bCs w:val="0"/>
                <w:u w:val="none"/>
              </w:rPr>
            </w:pPr>
            <w:r>
              <w:rPr>
                <w:b w:val="0"/>
                <w:bCs w:val="0"/>
                <w:u w:val="none"/>
              </w:rPr>
              <w:t>根据平顶山尼龙新材料产业集聚区的土地利用规划图，本项目用地性质为三类工业用地，符合</w:t>
            </w:r>
            <w:r>
              <w:rPr>
                <w:rFonts w:hint="default"/>
                <w:b w:val="0"/>
                <w:bCs w:val="0"/>
                <w:u w:val="none"/>
              </w:rPr>
              <w:t>平顶山尼龙新材料</w:t>
            </w:r>
            <w:r>
              <w:rPr>
                <w:b w:val="0"/>
                <w:bCs w:val="0"/>
                <w:u w:val="none"/>
              </w:rPr>
              <w:t>开发区土地利用规划要求，详见附图3。</w:t>
            </w:r>
            <w:r>
              <w:rPr>
                <w:rFonts w:hint="default"/>
                <w:b w:val="0"/>
                <w:bCs w:val="0"/>
                <w:u w:val="none"/>
              </w:rPr>
              <w:t>本项目选址位于平顶山尼龙新材料产业集聚区</w:t>
            </w:r>
            <w:r>
              <w:rPr>
                <w:b w:val="0"/>
                <w:bCs w:val="0"/>
                <w:u w:val="none"/>
              </w:rPr>
              <w:t>中“</w:t>
            </w:r>
            <w:r>
              <w:rPr>
                <w:rFonts w:hint="default"/>
                <w:b w:val="0"/>
                <w:bCs w:val="0"/>
                <w:u w:val="none"/>
              </w:rPr>
              <w:t>尼龙材料及原料配套产业区</w:t>
            </w:r>
            <w:r>
              <w:rPr>
                <w:b w:val="0"/>
                <w:bCs w:val="0"/>
                <w:u w:val="none"/>
              </w:rPr>
              <w:t>”</w:t>
            </w:r>
            <w:r>
              <w:rPr>
                <w:rFonts w:hint="default"/>
                <w:b w:val="0"/>
                <w:bCs w:val="0"/>
                <w:u w:val="none"/>
              </w:rPr>
              <w:t>，</w:t>
            </w:r>
            <w:r>
              <w:rPr>
                <w:b w:val="0"/>
                <w:bCs w:val="0"/>
                <w:u w:val="none"/>
              </w:rPr>
              <w:t>符合园区产业布局，详见附图2。</w:t>
            </w:r>
          </w:p>
          <w:p w14:paraId="72755137">
            <w:pPr>
              <w:pStyle w:val="4"/>
              <w:rPr>
                <w:b w:val="0"/>
                <w:bCs w:val="0"/>
                <w:u w:val="none"/>
              </w:rPr>
            </w:pPr>
            <w:r>
              <w:rPr>
                <w:rFonts w:hint="eastAsia"/>
                <w:b w:val="0"/>
                <w:bCs w:val="0"/>
                <w:u w:val="none"/>
              </w:rPr>
              <w:t>与“三线一单”符合性分析</w:t>
            </w:r>
          </w:p>
          <w:p w14:paraId="19B9AE2F">
            <w:pPr>
              <w:pStyle w:val="5"/>
              <w:rPr>
                <w:rFonts w:hint="default"/>
                <w:b w:val="0"/>
                <w:bCs w:val="0"/>
                <w:u w:val="none"/>
              </w:rPr>
            </w:pPr>
            <w:r>
              <w:rPr>
                <w:b w:val="0"/>
                <w:bCs w:val="0"/>
                <w:u w:val="none"/>
              </w:rPr>
              <w:t>根据《河南省人民政府关于实施“三线一单”生态环境分区管控的意见》（豫政〔2020〕37号）、《平顶山市人民政府关于实施“三线一单”生态环境分区管控的意见》（平政〔2021〕10号），本项目“三线一单”相符性分析如下：,</w:t>
            </w:r>
          </w:p>
          <w:p w14:paraId="035BF6A7">
            <w:pPr>
              <w:pStyle w:val="6"/>
              <w:numPr>
                <w:ilvl w:val="2"/>
                <w:numId w:val="3"/>
              </w:numPr>
              <w:rPr>
                <w:b w:val="0"/>
                <w:bCs w:val="0"/>
                <w:u w:val="none"/>
              </w:rPr>
            </w:pPr>
            <w:r>
              <w:rPr>
                <w:rFonts w:hint="eastAsia"/>
                <w:b w:val="0"/>
                <w:bCs w:val="0"/>
                <w:u w:val="none"/>
              </w:rPr>
              <w:t>生态保护红线</w:t>
            </w:r>
          </w:p>
          <w:p w14:paraId="7A121345">
            <w:pPr>
              <w:pStyle w:val="5"/>
              <w:rPr>
                <w:rFonts w:hint="default"/>
                <w:b w:val="0"/>
                <w:bCs w:val="0"/>
                <w:u w:val="none"/>
              </w:rPr>
            </w:pPr>
            <w:r>
              <w:rPr>
                <w:b w:val="0"/>
                <w:bCs w:val="0"/>
                <w:u w:val="none"/>
              </w:rPr>
              <w:t>本项目选址在平顶山尼龙新材料产业集聚区内，用地为工业用地，周边多为工业企业，无自然保护区、风景名胜区、世界文化和自然遗产地、饮用水源保护区等环境敏感区，亦不在平顶山市划定的生态红线保护区范围内。项目在河南省“三线一单”成果查询系统中的位置详见附图4。</w:t>
            </w:r>
          </w:p>
          <w:p w14:paraId="227A3D86">
            <w:pPr>
              <w:pStyle w:val="6"/>
              <w:numPr>
                <w:ilvl w:val="2"/>
                <w:numId w:val="3"/>
              </w:numPr>
              <w:rPr>
                <w:b w:val="0"/>
                <w:bCs w:val="0"/>
                <w:u w:val="none"/>
              </w:rPr>
            </w:pPr>
            <w:r>
              <w:rPr>
                <w:b w:val="0"/>
                <w:bCs w:val="0"/>
                <w:u w:val="none"/>
              </w:rPr>
              <w:t>资源利用上线</w:t>
            </w:r>
          </w:p>
          <w:p w14:paraId="4696F01B">
            <w:pPr>
              <w:pStyle w:val="5"/>
              <w:rPr>
                <w:rFonts w:hint="default"/>
                <w:b w:val="0"/>
                <w:bCs w:val="0"/>
                <w:u w:val="none"/>
              </w:rPr>
            </w:pPr>
            <w:r>
              <w:rPr>
                <w:rFonts w:hint="default"/>
                <w:b w:val="0"/>
                <w:bCs w:val="0"/>
                <w:u w:val="none"/>
              </w:rPr>
              <w:t>本项目选址不在平顶山市高污染燃料禁燃区，其营运过程中能源消耗为电能，不消耗煤炭、石油等能源；项目不在地下水开采重点管控区，且项目</w:t>
            </w:r>
            <w:r>
              <w:rPr>
                <w:b w:val="0"/>
                <w:bCs w:val="0"/>
                <w:u w:val="none"/>
              </w:rPr>
              <w:t>不涉及地下水开采，用水均由市政供给，不会突破区域水资源利用上线</w:t>
            </w:r>
            <w:r>
              <w:rPr>
                <w:rFonts w:hint="default"/>
                <w:b w:val="0"/>
                <w:bCs w:val="0"/>
                <w:u w:val="none"/>
              </w:rPr>
              <w:t>；项目占地类型为工业用地，不占用农田和基本农田</w:t>
            </w:r>
            <w:r>
              <w:rPr>
                <w:b w:val="0"/>
                <w:bCs w:val="0"/>
                <w:u w:val="none"/>
              </w:rPr>
              <w:t>。因此，</w:t>
            </w:r>
            <w:r>
              <w:rPr>
                <w:rFonts w:hint="default"/>
                <w:b w:val="0"/>
                <w:bCs w:val="0"/>
                <w:u w:val="none"/>
              </w:rPr>
              <w:t>符合资源利用上线要求。</w:t>
            </w:r>
          </w:p>
          <w:p w14:paraId="27861F04">
            <w:pPr>
              <w:pStyle w:val="6"/>
              <w:numPr>
                <w:ilvl w:val="2"/>
                <w:numId w:val="3"/>
              </w:numPr>
              <w:rPr>
                <w:b w:val="0"/>
                <w:bCs w:val="0"/>
                <w:u w:val="none"/>
              </w:rPr>
            </w:pPr>
            <w:r>
              <w:rPr>
                <w:b w:val="0"/>
                <w:bCs w:val="0"/>
                <w:u w:val="none"/>
              </w:rPr>
              <w:t>环境质量底线</w:t>
            </w:r>
          </w:p>
          <w:p w14:paraId="5F60A2CF">
            <w:pPr>
              <w:pStyle w:val="5"/>
              <w:rPr>
                <w:rFonts w:hint="default"/>
                <w:b w:val="0"/>
                <w:bCs w:val="0"/>
                <w:u w:val="none"/>
              </w:rPr>
            </w:pPr>
            <w:r>
              <w:rPr>
                <w:rFonts w:hint="default"/>
                <w:b w:val="0"/>
                <w:bCs w:val="0"/>
                <w:u w:val="none"/>
              </w:rPr>
              <w:t>本项目所在区域为环境空气质量达标区。</w:t>
            </w:r>
            <w:r>
              <w:rPr>
                <w:b w:val="0"/>
                <w:bCs w:val="0"/>
                <w:u w:val="none"/>
              </w:rPr>
              <w:t>本项目主要为超纯氨和</w:t>
            </w:r>
            <w:r>
              <w:rPr>
                <w:rFonts w:hint="eastAsia"/>
                <w:b w:val="0"/>
                <w:bCs w:val="0"/>
                <w:u w:val="none"/>
                <w:lang w:eastAsia="zh-CN"/>
              </w:rPr>
              <w:t>二氧化碳</w:t>
            </w:r>
            <w:r>
              <w:rPr>
                <w:b w:val="0"/>
                <w:bCs w:val="0"/>
                <w:u w:val="none"/>
              </w:rPr>
              <w:t>的深加工</w:t>
            </w:r>
            <w:r>
              <w:rPr>
                <w:rFonts w:hint="default"/>
                <w:b w:val="0"/>
                <w:bCs w:val="0"/>
                <w:u w:val="none"/>
              </w:rPr>
              <w:t>提纯</w:t>
            </w:r>
            <w:r>
              <w:rPr>
                <w:b w:val="0"/>
                <w:bCs w:val="0"/>
                <w:u w:val="none"/>
              </w:rPr>
              <w:t>，</w:t>
            </w:r>
            <w:r>
              <w:rPr>
                <w:rFonts w:hint="default"/>
                <w:b w:val="0"/>
                <w:bCs w:val="0"/>
                <w:u w:val="none"/>
              </w:rPr>
              <w:t>废气中的各污染物可以实现达标排放</w:t>
            </w:r>
            <w:r>
              <w:rPr>
                <w:b w:val="0"/>
                <w:bCs w:val="0"/>
                <w:u w:val="none"/>
              </w:rPr>
              <w:t>。叶县正在实施《平顶山市2023年蓝天保卫战实施方案》，将进一步持续改善区域环境空气质量。</w:t>
            </w:r>
          </w:p>
          <w:p w14:paraId="1952CE8C">
            <w:pPr>
              <w:pStyle w:val="5"/>
              <w:rPr>
                <w:rFonts w:hint="default"/>
                <w:b w:val="0"/>
                <w:bCs w:val="0"/>
                <w:u w:val="none"/>
              </w:rPr>
            </w:pPr>
            <w:r>
              <w:rPr>
                <w:b w:val="0"/>
                <w:bCs w:val="0"/>
                <w:u w:val="none"/>
              </w:rPr>
              <w:t>本项目营运期废水不直接排入地表水体，而是进入</w:t>
            </w:r>
            <w:r>
              <w:rPr>
                <w:b w:val="0"/>
                <w:bCs w:val="0"/>
                <w:u w:val="none"/>
                <w:lang w:val="zh-CN"/>
              </w:rPr>
              <w:t>平顶山首创水务有限公司（平顶山市第三污水处理厂）</w:t>
            </w:r>
            <w:r>
              <w:rPr>
                <w:b w:val="0"/>
                <w:bCs w:val="0"/>
                <w:u w:val="none"/>
              </w:rPr>
              <w:t>集中处理后排入关庙沟，最终进入灰河。灰河现状满足《地表水环境质量标准》（GB3838-2002）Ⅳ类标准，本项目实施后</w:t>
            </w:r>
            <w:r>
              <w:rPr>
                <w:rFonts w:hint="default"/>
                <w:b w:val="0"/>
                <w:bCs w:val="0"/>
                <w:u w:val="none"/>
              </w:rPr>
              <w:t>不会改变</w:t>
            </w:r>
            <w:r>
              <w:rPr>
                <w:b w:val="0"/>
                <w:bCs w:val="0"/>
                <w:u w:val="none"/>
              </w:rPr>
              <w:t>关庙沟、灰河水环境</w:t>
            </w:r>
            <w:r>
              <w:rPr>
                <w:rFonts w:hint="default"/>
                <w:b w:val="0"/>
                <w:bCs w:val="0"/>
                <w:u w:val="none"/>
              </w:rPr>
              <w:t>环境功能区划。</w:t>
            </w:r>
          </w:p>
          <w:p w14:paraId="18CA8131">
            <w:pPr>
              <w:pStyle w:val="5"/>
              <w:rPr>
                <w:rFonts w:hint="default"/>
                <w:b w:val="0"/>
                <w:bCs w:val="0"/>
                <w:u w:val="none"/>
              </w:rPr>
            </w:pPr>
            <w:r>
              <w:rPr>
                <w:b w:val="0"/>
                <w:bCs w:val="0"/>
                <w:u w:val="none"/>
              </w:rPr>
              <w:t>本项目</w:t>
            </w:r>
            <w:r>
              <w:rPr>
                <w:rFonts w:hint="default"/>
                <w:b w:val="0"/>
                <w:bCs w:val="0"/>
                <w:u w:val="none"/>
              </w:rPr>
              <w:t>采取基础减震，厂界噪声达标排放；产生固废均合理处置处理</w:t>
            </w:r>
            <w:r>
              <w:rPr>
                <w:b w:val="0"/>
                <w:bCs w:val="0"/>
                <w:u w:val="none"/>
              </w:rPr>
              <w:t>；罐区、危废暂存间等地面进行防渗处理。</w:t>
            </w:r>
            <w:r>
              <w:rPr>
                <w:rFonts w:hint="default"/>
                <w:b w:val="0"/>
                <w:bCs w:val="0"/>
                <w:u w:val="none"/>
              </w:rPr>
              <w:t>因此，</w:t>
            </w:r>
            <w:r>
              <w:rPr>
                <w:b w:val="0"/>
                <w:bCs w:val="0"/>
                <w:u w:val="none"/>
              </w:rPr>
              <w:t>本项目</w:t>
            </w:r>
            <w:r>
              <w:rPr>
                <w:rFonts w:hint="default"/>
                <w:b w:val="0"/>
                <w:bCs w:val="0"/>
                <w:u w:val="none"/>
              </w:rPr>
              <w:t>区域环境影响较小，符合区域环境质量控制要求。</w:t>
            </w:r>
          </w:p>
          <w:p w14:paraId="2BCAEE59">
            <w:pPr>
              <w:pStyle w:val="5"/>
              <w:rPr>
                <w:rFonts w:hint="default"/>
                <w:b w:val="0"/>
                <w:bCs w:val="0"/>
                <w:u w:val="none"/>
              </w:rPr>
            </w:pPr>
            <w:r>
              <w:rPr>
                <w:rFonts w:hint="default"/>
                <w:b w:val="0"/>
                <w:bCs w:val="0"/>
                <w:u w:val="none"/>
              </w:rPr>
              <w:t>经分析，本项目废气、废水、噪声排放不改变区域环境质量功能区划，项目对周边大气环境、地表水环境、地下水环境、声环境、土壤环境影响均可接受，符合环境质量底线要求。</w:t>
            </w:r>
          </w:p>
          <w:p w14:paraId="232692FE">
            <w:pPr>
              <w:pStyle w:val="6"/>
              <w:numPr>
                <w:ilvl w:val="2"/>
                <w:numId w:val="3"/>
              </w:numPr>
              <w:rPr>
                <w:b w:val="0"/>
                <w:bCs w:val="0"/>
                <w:u w:val="none"/>
              </w:rPr>
            </w:pPr>
            <w:r>
              <w:rPr>
                <w:b w:val="0"/>
                <w:bCs w:val="0"/>
                <w:u w:val="none"/>
              </w:rPr>
              <w:t>生态环境准入清单</w:t>
            </w:r>
          </w:p>
          <w:p w14:paraId="19E1D8C4">
            <w:pPr>
              <w:pStyle w:val="5"/>
              <w:rPr>
                <w:rFonts w:hint="default"/>
                <w:b w:val="0"/>
                <w:bCs w:val="0"/>
                <w:u w:val="none"/>
              </w:rPr>
            </w:pPr>
            <w:r>
              <w:rPr>
                <w:b w:val="0"/>
                <w:bCs w:val="0"/>
                <w:u w:val="none"/>
              </w:rPr>
              <w:t>对照</w:t>
            </w:r>
            <w:r>
              <w:rPr>
                <w:rFonts w:hint="default"/>
                <w:b w:val="0"/>
                <w:bCs w:val="0"/>
                <w:u w:val="none"/>
              </w:rPr>
              <w:t>《平顶山市生态环境局关于组织实施平顶山市“三线一单”生态环境分区管控准入清单的函》，</w:t>
            </w:r>
            <w:r>
              <w:rPr>
                <w:b w:val="0"/>
                <w:bCs w:val="0"/>
                <w:u w:val="none"/>
              </w:rPr>
              <w:t>本项目位于“平顶山尼龙新材料产业集聚区”管控单元（编号：ZH41042220002），属于</w:t>
            </w:r>
            <w:r>
              <w:rPr>
                <w:rFonts w:hint="default"/>
                <w:b w:val="0"/>
                <w:bCs w:val="0"/>
                <w:u w:val="none"/>
              </w:rPr>
              <w:t>重点</w:t>
            </w:r>
            <w:r>
              <w:rPr>
                <w:b w:val="0"/>
                <w:bCs w:val="0"/>
                <w:u w:val="none"/>
              </w:rPr>
              <w:t>管控</w:t>
            </w:r>
            <w:r>
              <w:rPr>
                <w:rFonts w:hint="default"/>
                <w:b w:val="0"/>
                <w:bCs w:val="0"/>
                <w:u w:val="none"/>
              </w:rPr>
              <w:t>单元</w:t>
            </w:r>
            <w:r>
              <w:rPr>
                <w:b w:val="0"/>
                <w:bCs w:val="0"/>
                <w:u w:val="none"/>
              </w:rPr>
              <w:t>。</w:t>
            </w:r>
          </w:p>
          <w:p w14:paraId="08459D6A">
            <w:pPr>
              <w:pStyle w:val="5"/>
              <w:rPr>
                <w:rFonts w:hint="default"/>
                <w:b w:val="0"/>
                <w:bCs w:val="0"/>
                <w:u w:val="none"/>
              </w:rPr>
            </w:pPr>
            <w:r>
              <w:rPr>
                <w:b w:val="0"/>
                <w:bCs w:val="0"/>
                <w:u w:val="none"/>
              </w:rPr>
              <w:t>根据河南省生态环境厅发布的《关于公布河南省“三线一单”生态环境分区管控更新成果（2023年版）的通知》（2024年2月1日），“平顶山尼龙新材料产业集聚区”已更名为“平顶山尼龙新材料开发区”，管控单元编号不变，单元管控要求发生变化。</w:t>
            </w:r>
          </w:p>
          <w:p w14:paraId="71B4A68C">
            <w:pPr>
              <w:pStyle w:val="5"/>
              <w:rPr>
                <w:rFonts w:hint="default"/>
                <w:b w:val="0"/>
                <w:bCs w:val="0"/>
                <w:u w:val="none"/>
              </w:rPr>
            </w:pPr>
            <w:r>
              <w:rPr>
                <w:b w:val="0"/>
                <w:bCs w:val="0"/>
                <w:u w:val="none"/>
              </w:rPr>
              <w:t>本项目与“平顶山尼龙新材料开发区”单元管控要求相符性分析见下表。</w:t>
            </w:r>
          </w:p>
          <w:p w14:paraId="3A664E28">
            <w:pPr>
              <w:pStyle w:val="44"/>
              <w:numPr>
                <w:ilvl w:val="0"/>
                <w:numId w:val="2"/>
              </w:numPr>
              <w:rPr>
                <w:rFonts w:hint="default"/>
                <w:b w:val="0"/>
                <w:bCs w:val="0"/>
                <w:u w:val="none"/>
              </w:rPr>
            </w:pPr>
            <w:r>
              <w:rPr>
                <w:rFonts w:hint="default"/>
                <w:b w:val="0"/>
                <w:bCs w:val="0"/>
                <w:u w:val="none"/>
              </w:rPr>
              <w:t xml:space="preserve"> </w:t>
            </w:r>
            <w:r>
              <w:rPr>
                <w:b w:val="0"/>
                <w:bCs w:val="0"/>
                <w:u w:val="none"/>
              </w:rPr>
              <w:t>本项目与“</w:t>
            </w:r>
            <w:r>
              <w:rPr>
                <w:rFonts w:hint="default"/>
                <w:b w:val="0"/>
                <w:bCs w:val="0"/>
                <w:u w:val="none"/>
              </w:rPr>
              <w:t>平顶山尼龙新材料开发区</w:t>
            </w:r>
            <w:r>
              <w:rPr>
                <w:b w:val="0"/>
                <w:bCs w:val="0"/>
                <w:u w:val="none"/>
              </w:rPr>
              <w:t>”</w:t>
            </w:r>
            <w:r>
              <w:rPr>
                <w:rFonts w:hint="default"/>
                <w:b w:val="0"/>
                <w:bCs w:val="0"/>
                <w:u w:val="none"/>
              </w:rPr>
              <w:t>单元管控要求</w:t>
            </w:r>
            <w:r>
              <w:rPr>
                <w:b w:val="0"/>
                <w:bCs w:val="0"/>
                <w:u w:val="none"/>
              </w:rPr>
              <w:t>相符性分析</w:t>
            </w:r>
          </w:p>
          <w:tbl>
            <w:tblPr>
              <w:tblStyle w:val="27"/>
              <w:tblW w:w="4997"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06"/>
              <w:gridCol w:w="726"/>
              <w:gridCol w:w="650"/>
              <w:gridCol w:w="435"/>
              <w:gridCol w:w="2008"/>
              <w:gridCol w:w="1650"/>
              <w:gridCol w:w="657"/>
            </w:tblGrid>
            <w:tr w14:paraId="2CA2F8E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44" w:type="pct"/>
                  <w:tcBorders>
                    <w:tl2br w:val="nil"/>
                    <w:tr2bl w:val="nil"/>
                  </w:tcBorders>
                  <w:shd w:val="clear" w:color="auto" w:fill="auto"/>
                  <w:vAlign w:val="center"/>
                </w:tcPr>
                <w:p w14:paraId="01D133C5">
                  <w:pPr>
                    <w:pStyle w:val="45"/>
                    <w:rPr>
                      <w:rFonts w:hint="default"/>
                      <w:b w:val="0"/>
                      <w:bCs w:val="0"/>
                      <w:u w:val="none"/>
                    </w:rPr>
                  </w:pPr>
                  <w:r>
                    <w:rPr>
                      <w:b w:val="0"/>
                      <w:bCs w:val="0"/>
                      <w:u w:val="none"/>
                    </w:rPr>
                    <w:t>环境管控单元编码</w:t>
                  </w:r>
                </w:p>
              </w:tc>
              <w:tc>
                <w:tcPr>
                  <w:tcW w:w="516" w:type="pct"/>
                  <w:tcBorders>
                    <w:tl2br w:val="nil"/>
                    <w:tr2bl w:val="nil"/>
                  </w:tcBorders>
                  <w:shd w:val="clear" w:color="auto" w:fill="auto"/>
                  <w:vAlign w:val="center"/>
                </w:tcPr>
                <w:p w14:paraId="51BBBADF">
                  <w:pPr>
                    <w:pStyle w:val="45"/>
                    <w:rPr>
                      <w:rFonts w:hint="default"/>
                      <w:b w:val="0"/>
                      <w:bCs w:val="0"/>
                      <w:u w:val="none"/>
                    </w:rPr>
                  </w:pPr>
                  <w:r>
                    <w:rPr>
                      <w:b w:val="0"/>
                      <w:bCs w:val="0"/>
                      <w:u w:val="none"/>
                    </w:rPr>
                    <w:t>环境管控单元名称</w:t>
                  </w:r>
                </w:p>
              </w:tc>
              <w:tc>
                <w:tcPr>
                  <w:tcW w:w="462" w:type="pct"/>
                  <w:tcBorders>
                    <w:tl2br w:val="nil"/>
                    <w:tr2bl w:val="nil"/>
                  </w:tcBorders>
                  <w:shd w:val="clear" w:color="auto" w:fill="auto"/>
                  <w:vAlign w:val="center"/>
                </w:tcPr>
                <w:p w14:paraId="29FCE098">
                  <w:pPr>
                    <w:pStyle w:val="45"/>
                    <w:rPr>
                      <w:rFonts w:hint="default"/>
                      <w:b w:val="0"/>
                      <w:bCs w:val="0"/>
                      <w:u w:val="none"/>
                    </w:rPr>
                  </w:pPr>
                  <w:r>
                    <w:rPr>
                      <w:b w:val="0"/>
                      <w:bCs w:val="0"/>
                      <w:u w:val="none"/>
                    </w:rPr>
                    <w:t>管控单元分类</w:t>
                  </w:r>
                </w:p>
              </w:tc>
              <w:tc>
                <w:tcPr>
                  <w:tcW w:w="1736" w:type="pct"/>
                  <w:gridSpan w:val="2"/>
                  <w:tcBorders>
                    <w:tl2br w:val="nil"/>
                    <w:tr2bl w:val="nil"/>
                  </w:tcBorders>
                  <w:shd w:val="clear" w:color="auto" w:fill="auto"/>
                  <w:vAlign w:val="center"/>
                </w:tcPr>
                <w:p w14:paraId="6541010E">
                  <w:pPr>
                    <w:pStyle w:val="45"/>
                    <w:rPr>
                      <w:rFonts w:hint="default"/>
                      <w:b w:val="0"/>
                      <w:bCs w:val="0"/>
                      <w:u w:val="none"/>
                    </w:rPr>
                  </w:pPr>
                  <w:r>
                    <w:rPr>
                      <w:b w:val="0"/>
                      <w:bCs w:val="0"/>
                      <w:u w:val="none"/>
                    </w:rPr>
                    <w:t>管控要求</w:t>
                  </w:r>
                </w:p>
              </w:tc>
              <w:tc>
                <w:tcPr>
                  <w:tcW w:w="1173" w:type="pct"/>
                  <w:tcBorders>
                    <w:tl2br w:val="nil"/>
                    <w:tr2bl w:val="nil"/>
                  </w:tcBorders>
                  <w:shd w:val="clear" w:color="auto" w:fill="auto"/>
                  <w:vAlign w:val="center"/>
                </w:tcPr>
                <w:p w14:paraId="09D26E20">
                  <w:pPr>
                    <w:pStyle w:val="45"/>
                    <w:rPr>
                      <w:rFonts w:hint="default"/>
                      <w:b w:val="0"/>
                      <w:bCs w:val="0"/>
                      <w:u w:val="none"/>
                    </w:rPr>
                  </w:pPr>
                  <w:r>
                    <w:rPr>
                      <w:b w:val="0"/>
                      <w:bCs w:val="0"/>
                      <w:u w:val="none"/>
                    </w:rPr>
                    <w:t>本次项目</w:t>
                  </w:r>
                </w:p>
              </w:tc>
              <w:tc>
                <w:tcPr>
                  <w:tcW w:w="467" w:type="pct"/>
                  <w:tcBorders>
                    <w:tl2br w:val="nil"/>
                    <w:tr2bl w:val="nil"/>
                  </w:tcBorders>
                  <w:shd w:val="clear" w:color="auto" w:fill="auto"/>
                  <w:vAlign w:val="center"/>
                </w:tcPr>
                <w:p w14:paraId="68D774A6">
                  <w:pPr>
                    <w:pStyle w:val="45"/>
                    <w:rPr>
                      <w:rFonts w:hint="default"/>
                      <w:b w:val="0"/>
                      <w:bCs w:val="0"/>
                      <w:u w:val="none"/>
                    </w:rPr>
                  </w:pPr>
                  <w:r>
                    <w:rPr>
                      <w:b w:val="0"/>
                      <w:bCs w:val="0"/>
                      <w:u w:val="none"/>
                    </w:rPr>
                    <w:t>相符性</w:t>
                  </w:r>
                </w:p>
              </w:tc>
            </w:tr>
            <w:tr w14:paraId="660826B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44" w:type="pct"/>
                  <w:vMerge w:val="restart"/>
                  <w:tcBorders>
                    <w:tl2br w:val="nil"/>
                    <w:tr2bl w:val="nil"/>
                  </w:tcBorders>
                  <w:shd w:val="clear" w:color="auto" w:fill="auto"/>
                  <w:vAlign w:val="center"/>
                </w:tcPr>
                <w:p w14:paraId="033334F3">
                  <w:pPr>
                    <w:pStyle w:val="45"/>
                    <w:rPr>
                      <w:rFonts w:hint="default"/>
                      <w:b w:val="0"/>
                      <w:bCs w:val="0"/>
                      <w:u w:val="none"/>
                    </w:rPr>
                  </w:pPr>
                  <w:r>
                    <w:rPr>
                      <w:b w:val="0"/>
                      <w:bCs w:val="0"/>
                      <w:u w:val="none"/>
                    </w:rPr>
                    <w:t>ZH41042</w:t>
                  </w:r>
                </w:p>
                <w:p w14:paraId="5E82F3E4">
                  <w:pPr>
                    <w:pStyle w:val="45"/>
                    <w:rPr>
                      <w:rFonts w:hint="default"/>
                      <w:b w:val="0"/>
                      <w:bCs w:val="0"/>
                      <w:u w:val="none"/>
                    </w:rPr>
                  </w:pPr>
                  <w:r>
                    <w:rPr>
                      <w:b w:val="0"/>
                      <w:bCs w:val="0"/>
                      <w:u w:val="none"/>
                    </w:rPr>
                    <w:t>220002</w:t>
                  </w:r>
                </w:p>
              </w:tc>
              <w:tc>
                <w:tcPr>
                  <w:tcW w:w="516" w:type="pct"/>
                  <w:vMerge w:val="restart"/>
                  <w:tcBorders>
                    <w:tl2br w:val="nil"/>
                    <w:tr2bl w:val="nil"/>
                  </w:tcBorders>
                  <w:shd w:val="clear" w:color="auto" w:fill="auto"/>
                  <w:vAlign w:val="center"/>
                </w:tcPr>
                <w:p w14:paraId="60D352B6">
                  <w:pPr>
                    <w:pStyle w:val="45"/>
                    <w:rPr>
                      <w:rFonts w:hint="default"/>
                      <w:b w:val="0"/>
                      <w:bCs w:val="0"/>
                      <w:u w:val="none"/>
                    </w:rPr>
                  </w:pPr>
                  <w:r>
                    <w:rPr>
                      <w:b w:val="0"/>
                      <w:bCs w:val="0"/>
                      <w:u w:val="none"/>
                    </w:rPr>
                    <w:t>平顶山尼龙新材料开发区</w:t>
                  </w:r>
                </w:p>
              </w:tc>
              <w:tc>
                <w:tcPr>
                  <w:tcW w:w="462" w:type="pct"/>
                  <w:vMerge w:val="restart"/>
                  <w:tcBorders>
                    <w:tl2br w:val="nil"/>
                    <w:tr2bl w:val="nil"/>
                  </w:tcBorders>
                  <w:shd w:val="clear" w:color="auto" w:fill="auto"/>
                  <w:vAlign w:val="center"/>
                </w:tcPr>
                <w:p w14:paraId="2618FBA4">
                  <w:pPr>
                    <w:pStyle w:val="45"/>
                    <w:rPr>
                      <w:rFonts w:hint="default"/>
                      <w:b w:val="0"/>
                      <w:bCs w:val="0"/>
                      <w:u w:val="none"/>
                    </w:rPr>
                  </w:pPr>
                  <w:r>
                    <w:rPr>
                      <w:b w:val="0"/>
                      <w:bCs w:val="0"/>
                      <w:u w:val="none"/>
                    </w:rPr>
                    <w:t>重点管控单元</w:t>
                  </w:r>
                </w:p>
              </w:tc>
              <w:tc>
                <w:tcPr>
                  <w:tcW w:w="309" w:type="pct"/>
                  <w:vMerge w:val="restart"/>
                  <w:tcBorders>
                    <w:tl2br w:val="nil"/>
                    <w:tr2bl w:val="nil"/>
                  </w:tcBorders>
                  <w:shd w:val="clear" w:color="auto" w:fill="auto"/>
                  <w:vAlign w:val="center"/>
                </w:tcPr>
                <w:p w14:paraId="277A8F28">
                  <w:pPr>
                    <w:pStyle w:val="45"/>
                    <w:rPr>
                      <w:rFonts w:hint="default"/>
                      <w:b w:val="0"/>
                      <w:bCs w:val="0"/>
                      <w:u w:val="none"/>
                    </w:rPr>
                  </w:pPr>
                  <w:r>
                    <w:rPr>
                      <w:b w:val="0"/>
                      <w:bCs w:val="0"/>
                      <w:u w:val="none"/>
                    </w:rPr>
                    <w:t>空间布局约束</w:t>
                  </w:r>
                </w:p>
              </w:tc>
              <w:tc>
                <w:tcPr>
                  <w:tcW w:w="1427" w:type="pct"/>
                  <w:tcBorders>
                    <w:tl2br w:val="nil"/>
                    <w:tr2bl w:val="nil"/>
                  </w:tcBorders>
                  <w:shd w:val="clear" w:color="auto" w:fill="auto"/>
                  <w:vAlign w:val="center"/>
                </w:tcPr>
                <w:p w14:paraId="23D2BD70">
                  <w:pPr>
                    <w:pStyle w:val="45"/>
                    <w:rPr>
                      <w:rFonts w:hint="default"/>
                      <w:b w:val="0"/>
                      <w:bCs w:val="0"/>
                      <w:u w:val="none"/>
                    </w:rPr>
                  </w:pPr>
                  <w:r>
                    <w:rPr>
                      <w:b w:val="0"/>
                      <w:bCs w:val="0"/>
                      <w:u w:val="none"/>
                    </w:rPr>
                    <w:t>1、禁止不符合园区规划及规划环评的项目入驻。</w:t>
                  </w:r>
                </w:p>
              </w:tc>
              <w:tc>
                <w:tcPr>
                  <w:tcW w:w="1173" w:type="pct"/>
                  <w:tcBorders>
                    <w:tl2br w:val="nil"/>
                    <w:tr2bl w:val="nil"/>
                  </w:tcBorders>
                  <w:shd w:val="clear" w:color="auto" w:fill="auto"/>
                  <w:vAlign w:val="center"/>
                </w:tcPr>
                <w:p w14:paraId="66BA253C">
                  <w:pPr>
                    <w:pStyle w:val="45"/>
                    <w:rPr>
                      <w:rFonts w:hint="default"/>
                      <w:b w:val="0"/>
                      <w:bCs w:val="0"/>
                      <w:u w:val="none"/>
                    </w:rPr>
                  </w:pPr>
                  <w:r>
                    <w:rPr>
                      <w:b w:val="0"/>
                      <w:bCs w:val="0"/>
                      <w:u w:val="none"/>
                    </w:rPr>
                    <w:t>本项目属于化学原料和化学制品制造业，根据平顶山尼龙新材料开发区管理委员会出具证明，本项目建设符合园区规划</w:t>
                  </w:r>
                </w:p>
              </w:tc>
              <w:tc>
                <w:tcPr>
                  <w:tcW w:w="467" w:type="pct"/>
                  <w:tcBorders>
                    <w:tl2br w:val="nil"/>
                    <w:tr2bl w:val="nil"/>
                  </w:tcBorders>
                  <w:shd w:val="clear" w:color="auto" w:fill="auto"/>
                  <w:vAlign w:val="center"/>
                </w:tcPr>
                <w:p w14:paraId="0E336DCE">
                  <w:pPr>
                    <w:pStyle w:val="45"/>
                    <w:rPr>
                      <w:rFonts w:hint="default"/>
                      <w:b w:val="0"/>
                      <w:bCs w:val="0"/>
                      <w:u w:val="none"/>
                    </w:rPr>
                  </w:pPr>
                  <w:r>
                    <w:rPr>
                      <w:b w:val="0"/>
                      <w:bCs w:val="0"/>
                      <w:u w:val="none"/>
                    </w:rPr>
                    <w:t>相符</w:t>
                  </w:r>
                </w:p>
              </w:tc>
            </w:tr>
            <w:tr w14:paraId="6E66C01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44" w:type="pct"/>
                  <w:vMerge w:val="continue"/>
                  <w:tcBorders>
                    <w:tl2br w:val="nil"/>
                    <w:tr2bl w:val="nil"/>
                  </w:tcBorders>
                  <w:shd w:val="clear" w:color="auto" w:fill="auto"/>
                  <w:vAlign w:val="center"/>
                </w:tcPr>
                <w:p w14:paraId="61C3159F">
                  <w:pPr>
                    <w:pStyle w:val="45"/>
                    <w:rPr>
                      <w:rFonts w:hint="default"/>
                      <w:b w:val="0"/>
                      <w:bCs w:val="0"/>
                      <w:u w:val="none"/>
                    </w:rPr>
                  </w:pPr>
                </w:p>
              </w:tc>
              <w:tc>
                <w:tcPr>
                  <w:tcW w:w="516" w:type="pct"/>
                  <w:vMerge w:val="continue"/>
                  <w:tcBorders>
                    <w:tl2br w:val="nil"/>
                    <w:tr2bl w:val="nil"/>
                  </w:tcBorders>
                  <w:shd w:val="clear" w:color="auto" w:fill="auto"/>
                  <w:vAlign w:val="center"/>
                </w:tcPr>
                <w:p w14:paraId="1421635C">
                  <w:pPr>
                    <w:pStyle w:val="45"/>
                    <w:rPr>
                      <w:rFonts w:hint="default"/>
                      <w:b w:val="0"/>
                      <w:bCs w:val="0"/>
                      <w:u w:val="none"/>
                    </w:rPr>
                  </w:pPr>
                </w:p>
              </w:tc>
              <w:tc>
                <w:tcPr>
                  <w:tcW w:w="462" w:type="pct"/>
                  <w:vMerge w:val="continue"/>
                  <w:tcBorders>
                    <w:tl2br w:val="nil"/>
                    <w:tr2bl w:val="nil"/>
                  </w:tcBorders>
                  <w:shd w:val="clear" w:color="auto" w:fill="auto"/>
                  <w:vAlign w:val="center"/>
                </w:tcPr>
                <w:p w14:paraId="5FED77CB">
                  <w:pPr>
                    <w:pStyle w:val="45"/>
                    <w:rPr>
                      <w:rFonts w:hint="default"/>
                      <w:b w:val="0"/>
                      <w:bCs w:val="0"/>
                      <w:u w:val="none"/>
                    </w:rPr>
                  </w:pPr>
                </w:p>
              </w:tc>
              <w:tc>
                <w:tcPr>
                  <w:tcW w:w="309" w:type="pct"/>
                  <w:vMerge w:val="continue"/>
                  <w:tcBorders>
                    <w:tl2br w:val="nil"/>
                    <w:tr2bl w:val="nil"/>
                  </w:tcBorders>
                  <w:shd w:val="clear" w:color="auto" w:fill="auto"/>
                  <w:vAlign w:val="center"/>
                </w:tcPr>
                <w:p w14:paraId="34198981">
                  <w:pPr>
                    <w:pStyle w:val="45"/>
                    <w:rPr>
                      <w:rFonts w:hint="default"/>
                      <w:b w:val="0"/>
                      <w:bCs w:val="0"/>
                      <w:u w:val="none"/>
                    </w:rPr>
                  </w:pPr>
                </w:p>
              </w:tc>
              <w:tc>
                <w:tcPr>
                  <w:tcW w:w="1427" w:type="pct"/>
                  <w:tcBorders>
                    <w:tl2br w:val="nil"/>
                    <w:tr2bl w:val="nil"/>
                  </w:tcBorders>
                  <w:shd w:val="clear" w:color="auto" w:fill="auto"/>
                  <w:vAlign w:val="center"/>
                </w:tcPr>
                <w:p w14:paraId="52BCDCC6">
                  <w:pPr>
                    <w:pStyle w:val="45"/>
                    <w:rPr>
                      <w:rFonts w:hint="default"/>
                      <w:b w:val="0"/>
                      <w:bCs w:val="0"/>
                      <w:u w:val="none"/>
                    </w:rPr>
                  </w:pPr>
                  <w:r>
                    <w:rPr>
                      <w:b w:val="0"/>
                      <w:bCs w:val="0"/>
                      <w:u w:val="none"/>
                    </w:rPr>
                    <w:t>2、在区内建设项目大气环境防护距离内，不得规划新建居住区、学校、医院等环境敏感目标。</w:t>
                  </w:r>
                </w:p>
              </w:tc>
              <w:tc>
                <w:tcPr>
                  <w:tcW w:w="1173" w:type="pct"/>
                  <w:tcBorders>
                    <w:tl2br w:val="nil"/>
                    <w:tr2bl w:val="nil"/>
                  </w:tcBorders>
                  <w:shd w:val="clear" w:color="auto" w:fill="auto"/>
                  <w:vAlign w:val="center"/>
                </w:tcPr>
                <w:p w14:paraId="326E79A3">
                  <w:pPr>
                    <w:pStyle w:val="45"/>
                    <w:rPr>
                      <w:rFonts w:hint="default"/>
                      <w:b w:val="0"/>
                      <w:bCs w:val="0"/>
                      <w:u w:val="none"/>
                    </w:rPr>
                  </w:pPr>
                  <w:r>
                    <w:rPr>
                      <w:b w:val="0"/>
                      <w:bCs w:val="0"/>
                      <w:u w:val="none"/>
                    </w:rPr>
                    <w:t>本项目不设置大气环境防护距离，不属于新建居住区、学校、医院等环境敏感目标</w:t>
                  </w:r>
                </w:p>
              </w:tc>
              <w:tc>
                <w:tcPr>
                  <w:tcW w:w="467" w:type="pct"/>
                  <w:tcBorders>
                    <w:tl2br w:val="nil"/>
                    <w:tr2bl w:val="nil"/>
                  </w:tcBorders>
                  <w:shd w:val="clear" w:color="auto" w:fill="auto"/>
                  <w:vAlign w:val="center"/>
                </w:tcPr>
                <w:p w14:paraId="533D36A8">
                  <w:pPr>
                    <w:pStyle w:val="45"/>
                    <w:rPr>
                      <w:rFonts w:hint="default"/>
                      <w:b w:val="0"/>
                      <w:bCs w:val="0"/>
                      <w:u w:val="none"/>
                    </w:rPr>
                  </w:pPr>
                  <w:r>
                    <w:rPr>
                      <w:b w:val="0"/>
                      <w:bCs w:val="0"/>
                      <w:u w:val="none"/>
                    </w:rPr>
                    <w:t>/</w:t>
                  </w:r>
                </w:p>
              </w:tc>
            </w:tr>
            <w:tr w14:paraId="0AC59B3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44" w:type="pct"/>
                  <w:vMerge w:val="continue"/>
                  <w:tcBorders>
                    <w:tl2br w:val="nil"/>
                    <w:tr2bl w:val="nil"/>
                  </w:tcBorders>
                  <w:shd w:val="clear" w:color="auto" w:fill="auto"/>
                  <w:vAlign w:val="center"/>
                </w:tcPr>
                <w:p w14:paraId="76E341BC">
                  <w:pPr>
                    <w:pStyle w:val="45"/>
                    <w:rPr>
                      <w:rFonts w:hint="default"/>
                      <w:b w:val="0"/>
                      <w:bCs w:val="0"/>
                      <w:u w:val="none"/>
                    </w:rPr>
                  </w:pPr>
                </w:p>
              </w:tc>
              <w:tc>
                <w:tcPr>
                  <w:tcW w:w="516" w:type="pct"/>
                  <w:vMerge w:val="continue"/>
                  <w:tcBorders>
                    <w:tl2br w:val="nil"/>
                    <w:tr2bl w:val="nil"/>
                  </w:tcBorders>
                  <w:shd w:val="clear" w:color="auto" w:fill="auto"/>
                  <w:vAlign w:val="center"/>
                </w:tcPr>
                <w:p w14:paraId="075DC95A">
                  <w:pPr>
                    <w:pStyle w:val="45"/>
                    <w:rPr>
                      <w:rFonts w:hint="default"/>
                      <w:b w:val="0"/>
                      <w:bCs w:val="0"/>
                      <w:u w:val="none"/>
                    </w:rPr>
                  </w:pPr>
                </w:p>
              </w:tc>
              <w:tc>
                <w:tcPr>
                  <w:tcW w:w="462" w:type="pct"/>
                  <w:vMerge w:val="continue"/>
                  <w:tcBorders>
                    <w:tl2br w:val="nil"/>
                    <w:tr2bl w:val="nil"/>
                  </w:tcBorders>
                  <w:shd w:val="clear" w:color="auto" w:fill="auto"/>
                  <w:vAlign w:val="center"/>
                </w:tcPr>
                <w:p w14:paraId="34024582">
                  <w:pPr>
                    <w:pStyle w:val="45"/>
                    <w:rPr>
                      <w:rFonts w:hint="default"/>
                      <w:b w:val="0"/>
                      <w:bCs w:val="0"/>
                      <w:u w:val="none"/>
                    </w:rPr>
                  </w:pPr>
                </w:p>
              </w:tc>
              <w:tc>
                <w:tcPr>
                  <w:tcW w:w="309" w:type="pct"/>
                  <w:vMerge w:val="continue"/>
                  <w:tcBorders>
                    <w:tl2br w:val="nil"/>
                    <w:tr2bl w:val="nil"/>
                  </w:tcBorders>
                  <w:shd w:val="clear" w:color="auto" w:fill="auto"/>
                  <w:vAlign w:val="center"/>
                </w:tcPr>
                <w:p w14:paraId="56314E76">
                  <w:pPr>
                    <w:pStyle w:val="45"/>
                    <w:rPr>
                      <w:rFonts w:hint="default"/>
                      <w:b w:val="0"/>
                      <w:bCs w:val="0"/>
                      <w:u w:val="none"/>
                    </w:rPr>
                  </w:pPr>
                </w:p>
              </w:tc>
              <w:tc>
                <w:tcPr>
                  <w:tcW w:w="1427" w:type="pct"/>
                  <w:tcBorders>
                    <w:tl2br w:val="nil"/>
                    <w:tr2bl w:val="nil"/>
                  </w:tcBorders>
                  <w:shd w:val="clear" w:color="auto" w:fill="auto"/>
                  <w:vAlign w:val="center"/>
                </w:tcPr>
                <w:p w14:paraId="3C9BF496">
                  <w:pPr>
                    <w:pStyle w:val="45"/>
                    <w:rPr>
                      <w:rFonts w:hint="default"/>
                      <w:b w:val="0"/>
                      <w:bCs w:val="0"/>
                      <w:u w:val="none"/>
                    </w:rPr>
                  </w:pPr>
                  <w:r>
                    <w:rPr>
                      <w:b w:val="0"/>
                      <w:bCs w:val="0"/>
                      <w:u w:val="none"/>
                    </w:rPr>
                    <w:t>3、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1173" w:type="pct"/>
                  <w:tcBorders>
                    <w:tl2br w:val="nil"/>
                    <w:tr2bl w:val="nil"/>
                  </w:tcBorders>
                  <w:shd w:val="clear" w:color="auto" w:fill="auto"/>
                  <w:vAlign w:val="center"/>
                </w:tcPr>
                <w:p w14:paraId="79FDD20F">
                  <w:pPr>
                    <w:pStyle w:val="45"/>
                    <w:rPr>
                      <w:rFonts w:hint="default"/>
                      <w:b w:val="0"/>
                      <w:bCs w:val="0"/>
                      <w:u w:val="none"/>
                    </w:rPr>
                  </w:pPr>
                  <w:r>
                    <w:rPr>
                      <w:b w:val="0"/>
                      <w:bCs w:val="0"/>
                      <w:kern w:val="24"/>
                      <w:szCs w:val="18"/>
                      <w:u w:val="none"/>
                    </w:rPr>
                    <w:t>本项目</w:t>
                  </w:r>
                  <w:r>
                    <w:rPr>
                      <w:b w:val="0"/>
                      <w:bCs w:val="0"/>
                      <w:u w:val="none"/>
                    </w:rPr>
                    <w:t>为化学原料和化学制品制造业，根据企业提供平顶山尼龙产业园工业气体岛一期项目</w:t>
                  </w:r>
                  <w:r>
                    <w:rPr>
                      <w:rFonts w:hint="eastAsia"/>
                      <w:b w:val="0"/>
                      <w:bCs w:val="0"/>
                      <w:u w:val="none"/>
                      <w:lang w:eastAsia="zh-CN"/>
                    </w:rPr>
                    <w:t>节能评估报告</w:t>
                  </w:r>
                  <w:r>
                    <w:rPr>
                      <w:b w:val="0"/>
                      <w:bCs w:val="0"/>
                      <w:u w:val="none"/>
                    </w:rPr>
                    <w:t>，</w:t>
                  </w:r>
                  <w:r>
                    <w:rPr>
                      <w:rFonts w:hint="eastAsia"/>
                      <w:b w:val="0"/>
                      <w:bCs w:val="0"/>
                      <w:u w:val="none"/>
                      <w:lang w:eastAsia="zh-CN"/>
                    </w:rPr>
                    <w:t>项目</w:t>
                  </w:r>
                  <w:r>
                    <w:rPr>
                      <w:b w:val="0"/>
                      <w:bCs w:val="0"/>
                      <w:u w:val="none"/>
                    </w:rPr>
                    <w:t>综合能耗等价值为</w:t>
                  </w:r>
                  <w:r>
                    <w:rPr>
                      <w:rFonts w:hint="eastAsia"/>
                      <w:b w:val="0"/>
                      <w:bCs w:val="0"/>
                      <w:u w:val="none"/>
                      <w:lang w:val="en-US" w:eastAsia="zh-CN"/>
                    </w:rPr>
                    <w:t>10038.07</w:t>
                  </w:r>
                  <w:r>
                    <w:rPr>
                      <w:b w:val="0"/>
                      <w:bCs w:val="0"/>
                      <w:u w:val="none"/>
                    </w:rPr>
                    <w:t>吨标准煤</w:t>
                  </w:r>
                  <w:r>
                    <w:rPr>
                      <w:b w:val="0"/>
                      <w:bCs w:val="0"/>
                      <w:szCs w:val="18"/>
                      <w:u w:val="none"/>
                    </w:rPr>
                    <w:t>。对照《河南省“两高”项目管理目录（2023年修订）》，本项目不属于“两高”项目；</w:t>
                  </w:r>
                  <w:r>
                    <w:rPr>
                      <w:b w:val="0"/>
                      <w:bCs w:val="0"/>
                      <w:u w:val="none"/>
                    </w:rPr>
                    <w:t>项目建设符合规划环评及环境准入条件要求。</w:t>
                  </w:r>
                </w:p>
              </w:tc>
              <w:tc>
                <w:tcPr>
                  <w:tcW w:w="467" w:type="pct"/>
                  <w:tcBorders>
                    <w:tl2br w:val="nil"/>
                    <w:tr2bl w:val="nil"/>
                  </w:tcBorders>
                  <w:shd w:val="clear" w:color="auto" w:fill="auto"/>
                  <w:vAlign w:val="center"/>
                </w:tcPr>
                <w:p w14:paraId="19707859">
                  <w:pPr>
                    <w:pStyle w:val="45"/>
                    <w:rPr>
                      <w:rFonts w:hint="default"/>
                      <w:b w:val="0"/>
                      <w:bCs w:val="0"/>
                      <w:u w:val="none"/>
                    </w:rPr>
                  </w:pPr>
                  <w:r>
                    <w:rPr>
                      <w:b w:val="0"/>
                      <w:bCs w:val="0"/>
                      <w:u w:val="none"/>
                    </w:rPr>
                    <w:t>相符</w:t>
                  </w:r>
                </w:p>
              </w:tc>
            </w:tr>
            <w:tr w14:paraId="66E4316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44" w:type="pct"/>
                  <w:vMerge w:val="continue"/>
                  <w:tcBorders>
                    <w:tl2br w:val="nil"/>
                    <w:tr2bl w:val="nil"/>
                  </w:tcBorders>
                  <w:shd w:val="clear" w:color="auto" w:fill="auto"/>
                  <w:vAlign w:val="center"/>
                </w:tcPr>
                <w:p w14:paraId="59E05F40">
                  <w:pPr>
                    <w:pStyle w:val="45"/>
                    <w:rPr>
                      <w:rFonts w:hint="default"/>
                      <w:b w:val="0"/>
                      <w:bCs w:val="0"/>
                      <w:u w:val="none"/>
                    </w:rPr>
                  </w:pPr>
                </w:p>
              </w:tc>
              <w:tc>
                <w:tcPr>
                  <w:tcW w:w="516" w:type="pct"/>
                  <w:vMerge w:val="continue"/>
                  <w:tcBorders>
                    <w:tl2br w:val="nil"/>
                    <w:tr2bl w:val="nil"/>
                  </w:tcBorders>
                  <w:shd w:val="clear" w:color="auto" w:fill="auto"/>
                  <w:vAlign w:val="center"/>
                </w:tcPr>
                <w:p w14:paraId="0FB30507">
                  <w:pPr>
                    <w:pStyle w:val="45"/>
                    <w:rPr>
                      <w:rFonts w:hint="default"/>
                      <w:b w:val="0"/>
                      <w:bCs w:val="0"/>
                      <w:u w:val="none"/>
                    </w:rPr>
                  </w:pPr>
                </w:p>
              </w:tc>
              <w:tc>
                <w:tcPr>
                  <w:tcW w:w="462" w:type="pct"/>
                  <w:vMerge w:val="continue"/>
                  <w:tcBorders>
                    <w:tl2br w:val="nil"/>
                    <w:tr2bl w:val="nil"/>
                  </w:tcBorders>
                  <w:shd w:val="clear" w:color="auto" w:fill="auto"/>
                  <w:vAlign w:val="center"/>
                </w:tcPr>
                <w:p w14:paraId="61D48ACC">
                  <w:pPr>
                    <w:pStyle w:val="45"/>
                    <w:rPr>
                      <w:rFonts w:hint="default"/>
                      <w:b w:val="0"/>
                      <w:bCs w:val="0"/>
                      <w:u w:val="none"/>
                    </w:rPr>
                  </w:pPr>
                </w:p>
              </w:tc>
              <w:tc>
                <w:tcPr>
                  <w:tcW w:w="309" w:type="pct"/>
                  <w:vMerge w:val="restart"/>
                  <w:tcBorders>
                    <w:tl2br w:val="nil"/>
                    <w:tr2bl w:val="nil"/>
                  </w:tcBorders>
                  <w:shd w:val="clear" w:color="auto" w:fill="auto"/>
                  <w:vAlign w:val="center"/>
                </w:tcPr>
                <w:p w14:paraId="31DDA939">
                  <w:pPr>
                    <w:pStyle w:val="45"/>
                    <w:rPr>
                      <w:rFonts w:hint="default"/>
                      <w:b w:val="0"/>
                      <w:bCs w:val="0"/>
                      <w:u w:val="none"/>
                    </w:rPr>
                  </w:pPr>
                  <w:r>
                    <w:rPr>
                      <w:b w:val="0"/>
                      <w:bCs w:val="0"/>
                      <w:u w:val="none"/>
                    </w:rPr>
                    <w:t>污染物排放管控</w:t>
                  </w:r>
                </w:p>
              </w:tc>
              <w:tc>
                <w:tcPr>
                  <w:tcW w:w="1427" w:type="pct"/>
                  <w:tcBorders>
                    <w:tl2br w:val="nil"/>
                    <w:tr2bl w:val="nil"/>
                  </w:tcBorders>
                  <w:shd w:val="clear" w:color="auto" w:fill="auto"/>
                  <w:vAlign w:val="center"/>
                </w:tcPr>
                <w:p w14:paraId="1FB1C5E0">
                  <w:pPr>
                    <w:pStyle w:val="45"/>
                    <w:rPr>
                      <w:rFonts w:hint="default"/>
                      <w:b w:val="0"/>
                      <w:bCs w:val="0"/>
                      <w:u w:val="none"/>
                    </w:rPr>
                  </w:pPr>
                  <w:r>
                    <w:rPr>
                      <w:b w:val="0"/>
                      <w:bCs w:val="0"/>
                      <w:u w:val="none"/>
                    </w:rPr>
                    <w:t>1、严格执行污染物排放总量控制制度，采取调整能源结构、加强污染治理、区域综合整治等措施，严格控制烟粉尘、二氧化硫、氮氧化物、VOCs等大气污染物的排放。加强对现有涉及VOCs特征污染物企业的升级改造，从源头减少污染物排放。</w:t>
                  </w:r>
                </w:p>
              </w:tc>
              <w:tc>
                <w:tcPr>
                  <w:tcW w:w="1173" w:type="pct"/>
                  <w:tcBorders>
                    <w:tl2br w:val="nil"/>
                    <w:tr2bl w:val="nil"/>
                  </w:tcBorders>
                  <w:shd w:val="clear" w:color="auto" w:fill="auto"/>
                  <w:vAlign w:val="center"/>
                </w:tcPr>
                <w:p w14:paraId="0200F7DF">
                  <w:pPr>
                    <w:pStyle w:val="45"/>
                    <w:rPr>
                      <w:rFonts w:hint="default"/>
                      <w:b w:val="0"/>
                      <w:bCs w:val="0"/>
                      <w:u w:val="none"/>
                    </w:rPr>
                  </w:pPr>
                  <w:r>
                    <w:rPr>
                      <w:b w:val="0"/>
                      <w:bCs w:val="0"/>
                      <w:u w:val="none"/>
                    </w:rPr>
                    <w:t>本次项目不涉及烟粉尘、二氧化硫、氮氧化物等污染物排放，VOCs排放实施总量控制。</w:t>
                  </w:r>
                </w:p>
              </w:tc>
              <w:tc>
                <w:tcPr>
                  <w:tcW w:w="467" w:type="pct"/>
                  <w:tcBorders>
                    <w:tl2br w:val="nil"/>
                    <w:tr2bl w:val="nil"/>
                  </w:tcBorders>
                  <w:shd w:val="clear" w:color="auto" w:fill="auto"/>
                  <w:vAlign w:val="center"/>
                </w:tcPr>
                <w:p w14:paraId="7A31E326">
                  <w:pPr>
                    <w:pStyle w:val="45"/>
                    <w:rPr>
                      <w:rFonts w:hint="default"/>
                      <w:b w:val="0"/>
                      <w:bCs w:val="0"/>
                      <w:u w:val="none"/>
                    </w:rPr>
                  </w:pPr>
                  <w:r>
                    <w:rPr>
                      <w:b w:val="0"/>
                      <w:bCs w:val="0"/>
                      <w:u w:val="none"/>
                    </w:rPr>
                    <w:t>相符</w:t>
                  </w:r>
                </w:p>
              </w:tc>
            </w:tr>
            <w:tr w14:paraId="58E5FEC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44" w:type="pct"/>
                  <w:vMerge w:val="continue"/>
                  <w:tcBorders>
                    <w:tl2br w:val="nil"/>
                    <w:tr2bl w:val="nil"/>
                  </w:tcBorders>
                  <w:shd w:val="clear" w:color="auto" w:fill="auto"/>
                  <w:vAlign w:val="center"/>
                </w:tcPr>
                <w:p w14:paraId="5B480BEA">
                  <w:pPr>
                    <w:pStyle w:val="45"/>
                    <w:rPr>
                      <w:rFonts w:hint="default"/>
                      <w:b w:val="0"/>
                      <w:bCs w:val="0"/>
                      <w:u w:val="none"/>
                    </w:rPr>
                  </w:pPr>
                </w:p>
              </w:tc>
              <w:tc>
                <w:tcPr>
                  <w:tcW w:w="516" w:type="pct"/>
                  <w:vMerge w:val="continue"/>
                  <w:tcBorders>
                    <w:tl2br w:val="nil"/>
                    <w:tr2bl w:val="nil"/>
                  </w:tcBorders>
                  <w:shd w:val="clear" w:color="auto" w:fill="auto"/>
                  <w:vAlign w:val="center"/>
                </w:tcPr>
                <w:p w14:paraId="75FE057E">
                  <w:pPr>
                    <w:pStyle w:val="45"/>
                    <w:rPr>
                      <w:rFonts w:hint="default"/>
                      <w:b w:val="0"/>
                      <w:bCs w:val="0"/>
                      <w:u w:val="none"/>
                    </w:rPr>
                  </w:pPr>
                </w:p>
              </w:tc>
              <w:tc>
                <w:tcPr>
                  <w:tcW w:w="462" w:type="pct"/>
                  <w:vMerge w:val="continue"/>
                  <w:tcBorders>
                    <w:tl2br w:val="nil"/>
                    <w:tr2bl w:val="nil"/>
                  </w:tcBorders>
                  <w:shd w:val="clear" w:color="auto" w:fill="auto"/>
                  <w:vAlign w:val="center"/>
                </w:tcPr>
                <w:p w14:paraId="2D25ABC9">
                  <w:pPr>
                    <w:pStyle w:val="45"/>
                    <w:rPr>
                      <w:rFonts w:hint="default"/>
                      <w:b w:val="0"/>
                      <w:bCs w:val="0"/>
                      <w:u w:val="none"/>
                    </w:rPr>
                  </w:pPr>
                </w:p>
              </w:tc>
              <w:tc>
                <w:tcPr>
                  <w:tcW w:w="309" w:type="pct"/>
                  <w:vMerge w:val="continue"/>
                  <w:tcBorders>
                    <w:tl2br w:val="nil"/>
                    <w:tr2bl w:val="nil"/>
                  </w:tcBorders>
                  <w:shd w:val="clear" w:color="auto" w:fill="auto"/>
                  <w:vAlign w:val="center"/>
                </w:tcPr>
                <w:p w14:paraId="193BFEFC">
                  <w:pPr>
                    <w:pStyle w:val="45"/>
                    <w:rPr>
                      <w:rFonts w:hint="default"/>
                      <w:b w:val="0"/>
                      <w:bCs w:val="0"/>
                      <w:u w:val="none"/>
                    </w:rPr>
                  </w:pPr>
                </w:p>
              </w:tc>
              <w:tc>
                <w:tcPr>
                  <w:tcW w:w="1427" w:type="pct"/>
                  <w:tcBorders>
                    <w:tl2br w:val="nil"/>
                    <w:tr2bl w:val="nil"/>
                  </w:tcBorders>
                  <w:shd w:val="clear" w:color="auto" w:fill="auto"/>
                  <w:vAlign w:val="center"/>
                </w:tcPr>
                <w:p w14:paraId="2DB1CF88">
                  <w:pPr>
                    <w:pStyle w:val="45"/>
                    <w:rPr>
                      <w:rFonts w:hint="default"/>
                      <w:b w:val="0"/>
                      <w:bCs w:val="0"/>
                      <w:u w:val="none"/>
                    </w:rPr>
                  </w:pPr>
                  <w:r>
                    <w:rPr>
                      <w:b w:val="0"/>
                      <w:bCs w:val="0"/>
                      <w:u w:val="none"/>
                    </w:rPr>
                    <w:t>2、鼓励采用中水为工业水源，进一步提高中水回用率，减少废水排放量，保证污水处理设施的正常运行，确保污水处理厂出水水质COD、氨氮、总磷的排放浓度低于30mgL、1.5mgL和0.3mg/L,其他指标满足《城镇污水处理厂污染物排放标准》一级A标准，减少对灰河及下游水体和地下水的影响。</w:t>
                  </w:r>
                </w:p>
              </w:tc>
              <w:tc>
                <w:tcPr>
                  <w:tcW w:w="1173" w:type="pct"/>
                  <w:tcBorders>
                    <w:tl2br w:val="nil"/>
                    <w:tr2bl w:val="nil"/>
                  </w:tcBorders>
                  <w:shd w:val="clear" w:color="auto" w:fill="auto"/>
                  <w:vAlign w:val="center"/>
                </w:tcPr>
                <w:p w14:paraId="197360E9">
                  <w:pPr>
                    <w:pStyle w:val="45"/>
                    <w:rPr>
                      <w:rFonts w:hint="default"/>
                      <w:b w:val="0"/>
                      <w:bCs w:val="0"/>
                      <w:u w:val="none"/>
                    </w:rPr>
                  </w:pPr>
                  <w:r>
                    <w:rPr>
                      <w:b w:val="0"/>
                      <w:bCs w:val="0"/>
                      <w:u w:val="none"/>
                    </w:rPr>
                    <w:t>不涉及</w:t>
                  </w:r>
                </w:p>
              </w:tc>
              <w:tc>
                <w:tcPr>
                  <w:tcW w:w="467" w:type="pct"/>
                  <w:tcBorders>
                    <w:tl2br w:val="nil"/>
                    <w:tr2bl w:val="nil"/>
                  </w:tcBorders>
                  <w:shd w:val="clear" w:color="auto" w:fill="auto"/>
                  <w:vAlign w:val="center"/>
                </w:tcPr>
                <w:p w14:paraId="7A598F93">
                  <w:pPr>
                    <w:pStyle w:val="45"/>
                    <w:rPr>
                      <w:rFonts w:hint="default"/>
                      <w:b w:val="0"/>
                      <w:bCs w:val="0"/>
                      <w:u w:val="none"/>
                    </w:rPr>
                  </w:pPr>
                  <w:r>
                    <w:rPr>
                      <w:b w:val="0"/>
                      <w:bCs w:val="0"/>
                      <w:u w:val="none"/>
                    </w:rPr>
                    <w:t>不涉及</w:t>
                  </w:r>
                </w:p>
              </w:tc>
            </w:tr>
            <w:tr w14:paraId="6665198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44" w:type="pct"/>
                  <w:vMerge w:val="continue"/>
                  <w:tcBorders>
                    <w:tl2br w:val="nil"/>
                    <w:tr2bl w:val="nil"/>
                  </w:tcBorders>
                  <w:shd w:val="clear" w:color="auto" w:fill="auto"/>
                  <w:vAlign w:val="center"/>
                </w:tcPr>
                <w:p w14:paraId="0A6CD6D1">
                  <w:pPr>
                    <w:pStyle w:val="45"/>
                    <w:rPr>
                      <w:rFonts w:hint="default"/>
                      <w:b w:val="0"/>
                      <w:bCs w:val="0"/>
                      <w:u w:val="none"/>
                    </w:rPr>
                  </w:pPr>
                </w:p>
              </w:tc>
              <w:tc>
                <w:tcPr>
                  <w:tcW w:w="516" w:type="pct"/>
                  <w:vMerge w:val="continue"/>
                  <w:tcBorders>
                    <w:tl2br w:val="nil"/>
                    <w:tr2bl w:val="nil"/>
                  </w:tcBorders>
                  <w:shd w:val="clear" w:color="auto" w:fill="auto"/>
                  <w:vAlign w:val="center"/>
                </w:tcPr>
                <w:p w14:paraId="0C79C953">
                  <w:pPr>
                    <w:pStyle w:val="45"/>
                    <w:rPr>
                      <w:rFonts w:hint="default"/>
                      <w:b w:val="0"/>
                      <w:bCs w:val="0"/>
                      <w:u w:val="none"/>
                    </w:rPr>
                  </w:pPr>
                </w:p>
              </w:tc>
              <w:tc>
                <w:tcPr>
                  <w:tcW w:w="462" w:type="pct"/>
                  <w:vMerge w:val="continue"/>
                  <w:tcBorders>
                    <w:tl2br w:val="nil"/>
                    <w:tr2bl w:val="nil"/>
                  </w:tcBorders>
                  <w:shd w:val="clear" w:color="auto" w:fill="auto"/>
                  <w:vAlign w:val="center"/>
                </w:tcPr>
                <w:p w14:paraId="372D2DE0">
                  <w:pPr>
                    <w:pStyle w:val="45"/>
                    <w:rPr>
                      <w:rFonts w:hint="default"/>
                      <w:b w:val="0"/>
                      <w:bCs w:val="0"/>
                      <w:u w:val="none"/>
                    </w:rPr>
                  </w:pPr>
                </w:p>
              </w:tc>
              <w:tc>
                <w:tcPr>
                  <w:tcW w:w="309" w:type="pct"/>
                  <w:vMerge w:val="continue"/>
                  <w:tcBorders>
                    <w:tl2br w:val="nil"/>
                    <w:tr2bl w:val="nil"/>
                  </w:tcBorders>
                  <w:shd w:val="clear" w:color="auto" w:fill="auto"/>
                  <w:vAlign w:val="center"/>
                </w:tcPr>
                <w:p w14:paraId="5B45B11B">
                  <w:pPr>
                    <w:pStyle w:val="45"/>
                    <w:rPr>
                      <w:rFonts w:hint="default"/>
                      <w:b w:val="0"/>
                      <w:bCs w:val="0"/>
                      <w:u w:val="none"/>
                    </w:rPr>
                  </w:pPr>
                </w:p>
              </w:tc>
              <w:tc>
                <w:tcPr>
                  <w:tcW w:w="1427" w:type="pct"/>
                  <w:tcBorders>
                    <w:tl2br w:val="nil"/>
                    <w:tr2bl w:val="nil"/>
                  </w:tcBorders>
                  <w:shd w:val="clear" w:color="auto" w:fill="auto"/>
                  <w:vAlign w:val="center"/>
                </w:tcPr>
                <w:p w14:paraId="1BA844A2">
                  <w:pPr>
                    <w:pStyle w:val="45"/>
                    <w:rPr>
                      <w:rFonts w:hint="default"/>
                      <w:b w:val="0"/>
                      <w:bCs w:val="0"/>
                      <w:u w:val="none"/>
                    </w:rPr>
                  </w:pPr>
                  <w:r>
                    <w:rPr>
                      <w:b w:val="0"/>
                      <w:bCs w:val="0"/>
                      <w:u w:val="none"/>
                    </w:rPr>
                    <w:t>3、新建”两高”项目应按照《关于加强重点行业建设项目区域削减措施监督管理的通知》要求，依据区域环境质量改善目标，制定配套区域污染物削减方案，采取有效的污染物区域削减措施，腾出足够的环境容量。</w:t>
                  </w:r>
                </w:p>
              </w:tc>
              <w:tc>
                <w:tcPr>
                  <w:tcW w:w="1173" w:type="pct"/>
                  <w:tcBorders>
                    <w:tl2br w:val="nil"/>
                    <w:tr2bl w:val="nil"/>
                  </w:tcBorders>
                  <w:shd w:val="clear" w:color="auto" w:fill="auto"/>
                  <w:vAlign w:val="center"/>
                </w:tcPr>
                <w:p w14:paraId="215DBCF1">
                  <w:pPr>
                    <w:pStyle w:val="45"/>
                    <w:rPr>
                      <w:rFonts w:hint="default"/>
                      <w:b w:val="0"/>
                      <w:bCs w:val="0"/>
                      <w:u w:val="none"/>
                    </w:rPr>
                  </w:pPr>
                  <w:r>
                    <w:rPr>
                      <w:b w:val="0"/>
                      <w:bCs w:val="0"/>
                      <w:kern w:val="24"/>
                      <w:szCs w:val="18"/>
                      <w:u w:val="none"/>
                    </w:rPr>
                    <w:t>本项目</w:t>
                  </w:r>
                  <w:r>
                    <w:rPr>
                      <w:b w:val="0"/>
                      <w:bCs w:val="0"/>
                      <w:u w:val="none"/>
                    </w:rPr>
                    <w:t>为化学原料和化学制品制造业，根据企业提供平顶山尼龙产业园工业气体岛一期项目</w:t>
                  </w:r>
                  <w:r>
                    <w:rPr>
                      <w:rFonts w:hint="eastAsia"/>
                      <w:b w:val="0"/>
                      <w:bCs w:val="0"/>
                      <w:u w:val="none"/>
                      <w:lang w:eastAsia="zh-CN"/>
                    </w:rPr>
                    <w:t>节能评估报告</w:t>
                  </w:r>
                  <w:r>
                    <w:rPr>
                      <w:b w:val="0"/>
                      <w:bCs w:val="0"/>
                      <w:u w:val="none"/>
                    </w:rPr>
                    <w:t>，</w:t>
                  </w:r>
                  <w:r>
                    <w:rPr>
                      <w:rFonts w:hint="eastAsia"/>
                      <w:b w:val="0"/>
                      <w:bCs w:val="0"/>
                      <w:u w:val="none"/>
                      <w:lang w:eastAsia="zh-CN"/>
                    </w:rPr>
                    <w:t>项目</w:t>
                  </w:r>
                  <w:r>
                    <w:rPr>
                      <w:b w:val="0"/>
                      <w:bCs w:val="0"/>
                      <w:u w:val="none"/>
                    </w:rPr>
                    <w:t>综合能耗等价值为</w:t>
                  </w:r>
                  <w:r>
                    <w:rPr>
                      <w:rFonts w:hint="eastAsia"/>
                      <w:b w:val="0"/>
                      <w:bCs w:val="0"/>
                      <w:u w:val="none"/>
                      <w:lang w:val="en-US" w:eastAsia="zh-CN"/>
                    </w:rPr>
                    <w:t>10038.07</w:t>
                  </w:r>
                  <w:r>
                    <w:rPr>
                      <w:b w:val="0"/>
                      <w:bCs w:val="0"/>
                      <w:u w:val="none"/>
                    </w:rPr>
                    <w:t>吨标准煤</w:t>
                  </w:r>
                  <w:r>
                    <w:rPr>
                      <w:b w:val="0"/>
                      <w:bCs w:val="0"/>
                      <w:szCs w:val="18"/>
                      <w:u w:val="none"/>
                    </w:rPr>
                    <w:t>。对照《河南省“两高”项目管理目录（2023年修订）》，本项目不属于“两高”项目；</w:t>
                  </w:r>
                </w:p>
              </w:tc>
              <w:tc>
                <w:tcPr>
                  <w:tcW w:w="467" w:type="pct"/>
                  <w:tcBorders>
                    <w:tl2br w:val="nil"/>
                    <w:tr2bl w:val="nil"/>
                  </w:tcBorders>
                  <w:shd w:val="clear" w:color="auto" w:fill="auto"/>
                  <w:vAlign w:val="center"/>
                </w:tcPr>
                <w:p w14:paraId="242624F9">
                  <w:pPr>
                    <w:pStyle w:val="45"/>
                    <w:rPr>
                      <w:rFonts w:hint="default"/>
                      <w:b w:val="0"/>
                      <w:bCs w:val="0"/>
                      <w:u w:val="none"/>
                    </w:rPr>
                  </w:pPr>
                  <w:r>
                    <w:rPr>
                      <w:b w:val="0"/>
                      <w:bCs w:val="0"/>
                      <w:u w:val="none"/>
                    </w:rPr>
                    <w:t>不属于两高项目</w:t>
                  </w:r>
                </w:p>
              </w:tc>
            </w:tr>
            <w:tr w14:paraId="69272AD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44" w:type="pct"/>
                  <w:vMerge w:val="continue"/>
                  <w:tcBorders>
                    <w:tl2br w:val="nil"/>
                    <w:tr2bl w:val="nil"/>
                  </w:tcBorders>
                  <w:shd w:val="clear" w:color="auto" w:fill="auto"/>
                  <w:vAlign w:val="center"/>
                </w:tcPr>
                <w:p w14:paraId="4F905AC8">
                  <w:pPr>
                    <w:pStyle w:val="45"/>
                    <w:rPr>
                      <w:rFonts w:hint="default"/>
                      <w:b w:val="0"/>
                      <w:bCs w:val="0"/>
                      <w:u w:val="none"/>
                    </w:rPr>
                  </w:pPr>
                </w:p>
              </w:tc>
              <w:tc>
                <w:tcPr>
                  <w:tcW w:w="516" w:type="pct"/>
                  <w:vMerge w:val="continue"/>
                  <w:tcBorders>
                    <w:tl2br w:val="nil"/>
                    <w:tr2bl w:val="nil"/>
                  </w:tcBorders>
                  <w:shd w:val="clear" w:color="auto" w:fill="auto"/>
                  <w:vAlign w:val="center"/>
                </w:tcPr>
                <w:p w14:paraId="6FF77A3A">
                  <w:pPr>
                    <w:pStyle w:val="45"/>
                    <w:rPr>
                      <w:rFonts w:hint="default"/>
                      <w:b w:val="0"/>
                      <w:bCs w:val="0"/>
                      <w:u w:val="none"/>
                    </w:rPr>
                  </w:pPr>
                </w:p>
              </w:tc>
              <w:tc>
                <w:tcPr>
                  <w:tcW w:w="462" w:type="pct"/>
                  <w:vMerge w:val="continue"/>
                  <w:tcBorders>
                    <w:tl2br w:val="nil"/>
                    <w:tr2bl w:val="nil"/>
                  </w:tcBorders>
                  <w:shd w:val="clear" w:color="auto" w:fill="auto"/>
                  <w:vAlign w:val="center"/>
                </w:tcPr>
                <w:p w14:paraId="0418FF88">
                  <w:pPr>
                    <w:pStyle w:val="45"/>
                    <w:rPr>
                      <w:rFonts w:hint="default"/>
                      <w:b w:val="0"/>
                      <w:bCs w:val="0"/>
                      <w:u w:val="none"/>
                    </w:rPr>
                  </w:pPr>
                </w:p>
              </w:tc>
              <w:tc>
                <w:tcPr>
                  <w:tcW w:w="309" w:type="pct"/>
                  <w:vMerge w:val="continue"/>
                  <w:tcBorders>
                    <w:tl2br w:val="nil"/>
                    <w:tr2bl w:val="nil"/>
                  </w:tcBorders>
                  <w:shd w:val="clear" w:color="auto" w:fill="auto"/>
                  <w:vAlign w:val="center"/>
                </w:tcPr>
                <w:p w14:paraId="4E0FACA4">
                  <w:pPr>
                    <w:pStyle w:val="45"/>
                    <w:rPr>
                      <w:rFonts w:hint="default"/>
                      <w:b w:val="0"/>
                      <w:bCs w:val="0"/>
                      <w:u w:val="none"/>
                    </w:rPr>
                  </w:pPr>
                </w:p>
              </w:tc>
              <w:tc>
                <w:tcPr>
                  <w:tcW w:w="1427" w:type="pct"/>
                  <w:tcBorders>
                    <w:tl2br w:val="nil"/>
                    <w:tr2bl w:val="nil"/>
                  </w:tcBorders>
                  <w:shd w:val="clear" w:color="auto" w:fill="auto"/>
                  <w:vAlign w:val="center"/>
                </w:tcPr>
                <w:p w14:paraId="4A5EFE2C">
                  <w:pPr>
                    <w:pStyle w:val="45"/>
                    <w:rPr>
                      <w:rFonts w:hint="default"/>
                      <w:b w:val="0"/>
                      <w:bCs w:val="0"/>
                      <w:u w:val="none"/>
                    </w:rPr>
                  </w:pPr>
                  <w:r>
                    <w:rPr>
                      <w:b w:val="0"/>
                      <w:bCs w:val="0"/>
                      <w:u w:val="none"/>
                    </w:rPr>
                    <w:t>4、新建耗煤项目应严格按规定采取煤炭消费减量替代措施，不得使用高污染燃料作为煤炭减量替代措施。</w:t>
                  </w:r>
                </w:p>
              </w:tc>
              <w:tc>
                <w:tcPr>
                  <w:tcW w:w="1173" w:type="pct"/>
                  <w:tcBorders>
                    <w:tl2br w:val="nil"/>
                    <w:tr2bl w:val="nil"/>
                  </w:tcBorders>
                  <w:shd w:val="clear" w:color="auto" w:fill="auto"/>
                  <w:vAlign w:val="center"/>
                </w:tcPr>
                <w:p w14:paraId="3949BBB8">
                  <w:pPr>
                    <w:pStyle w:val="45"/>
                    <w:rPr>
                      <w:rFonts w:hint="default"/>
                      <w:b w:val="0"/>
                      <w:bCs w:val="0"/>
                      <w:u w:val="none"/>
                    </w:rPr>
                  </w:pPr>
                  <w:r>
                    <w:rPr>
                      <w:b w:val="0"/>
                      <w:bCs w:val="0"/>
                      <w:u w:val="none"/>
                    </w:rPr>
                    <w:t>本项目能源为电能，不涉及煤炭</w:t>
                  </w:r>
                </w:p>
              </w:tc>
              <w:tc>
                <w:tcPr>
                  <w:tcW w:w="467" w:type="pct"/>
                  <w:tcBorders>
                    <w:tl2br w:val="nil"/>
                    <w:tr2bl w:val="nil"/>
                  </w:tcBorders>
                  <w:shd w:val="clear" w:color="auto" w:fill="auto"/>
                  <w:vAlign w:val="center"/>
                </w:tcPr>
                <w:p w14:paraId="5CB36499">
                  <w:pPr>
                    <w:pStyle w:val="45"/>
                    <w:rPr>
                      <w:rFonts w:hint="default"/>
                      <w:b w:val="0"/>
                      <w:bCs w:val="0"/>
                      <w:u w:val="none"/>
                    </w:rPr>
                  </w:pPr>
                  <w:r>
                    <w:rPr>
                      <w:b w:val="0"/>
                      <w:bCs w:val="0"/>
                      <w:u w:val="none"/>
                    </w:rPr>
                    <w:t>不涉及</w:t>
                  </w:r>
                </w:p>
              </w:tc>
            </w:tr>
            <w:tr w14:paraId="46130DB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44" w:type="pct"/>
                  <w:vMerge w:val="continue"/>
                  <w:tcBorders>
                    <w:tl2br w:val="nil"/>
                    <w:tr2bl w:val="nil"/>
                  </w:tcBorders>
                  <w:shd w:val="clear" w:color="auto" w:fill="auto"/>
                  <w:vAlign w:val="center"/>
                </w:tcPr>
                <w:p w14:paraId="1EA3F544">
                  <w:pPr>
                    <w:pStyle w:val="45"/>
                    <w:rPr>
                      <w:rFonts w:hint="default"/>
                      <w:b w:val="0"/>
                      <w:bCs w:val="0"/>
                      <w:u w:val="none"/>
                    </w:rPr>
                  </w:pPr>
                </w:p>
              </w:tc>
              <w:tc>
                <w:tcPr>
                  <w:tcW w:w="516" w:type="pct"/>
                  <w:vMerge w:val="continue"/>
                  <w:tcBorders>
                    <w:tl2br w:val="nil"/>
                    <w:tr2bl w:val="nil"/>
                  </w:tcBorders>
                  <w:shd w:val="clear" w:color="auto" w:fill="auto"/>
                  <w:vAlign w:val="center"/>
                </w:tcPr>
                <w:p w14:paraId="13050626">
                  <w:pPr>
                    <w:pStyle w:val="45"/>
                    <w:rPr>
                      <w:rFonts w:hint="default"/>
                      <w:b w:val="0"/>
                      <w:bCs w:val="0"/>
                      <w:u w:val="none"/>
                    </w:rPr>
                  </w:pPr>
                </w:p>
              </w:tc>
              <w:tc>
                <w:tcPr>
                  <w:tcW w:w="462" w:type="pct"/>
                  <w:vMerge w:val="continue"/>
                  <w:tcBorders>
                    <w:tl2br w:val="nil"/>
                    <w:tr2bl w:val="nil"/>
                  </w:tcBorders>
                  <w:shd w:val="clear" w:color="auto" w:fill="auto"/>
                  <w:vAlign w:val="center"/>
                </w:tcPr>
                <w:p w14:paraId="42C9AE7B">
                  <w:pPr>
                    <w:pStyle w:val="45"/>
                    <w:rPr>
                      <w:rFonts w:hint="default"/>
                      <w:b w:val="0"/>
                      <w:bCs w:val="0"/>
                      <w:u w:val="none"/>
                    </w:rPr>
                  </w:pPr>
                </w:p>
              </w:tc>
              <w:tc>
                <w:tcPr>
                  <w:tcW w:w="309" w:type="pct"/>
                  <w:vMerge w:val="continue"/>
                  <w:tcBorders>
                    <w:tl2br w:val="nil"/>
                    <w:tr2bl w:val="nil"/>
                  </w:tcBorders>
                  <w:shd w:val="clear" w:color="auto" w:fill="auto"/>
                  <w:vAlign w:val="center"/>
                </w:tcPr>
                <w:p w14:paraId="4E3773E2">
                  <w:pPr>
                    <w:pStyle w:val="45"/>
                    <w:rPr>
                      <w:rFonts w:hint="default"/>
                      <w:b w:val="0"/>
                      <w:bCs w:val="0"/>
                      <w:u w:val="none"/>
                    </w:rPr>
                  </w:pPr>
                </w:p>
              </w:tc>
              <w:tc>
                <w:tcPr>
                  <w:tcW w:w="1427" w:type="pct"/>
                  <w:tcBorders>
                    <w:tl2br w:val="nil"/>
                    <w:tr2bl w:val="nil"/>
                  </w:tcBorders>
                  <w:shd w:val="clear" w:color="auto" w:fill="auto"/>
                  <w:vAlign w:val="center"/>
                </w:tcPr>
                <w:p w14:paraId="40657EB7">
                  <w:pPr>
                    <w:pStyle w:val="45"/>
                    <w:rPr>
                      <w:rFonts w:hint="default"/>
                      <w:b w:val="0"/>
                      <w:bCs w:val="0"/>
                      <w:u w:val="none"/>
                    </w:rPr>
                  </w:pPr>
                  <w:r>
                    <w:rPr>
                      <w:b w:val="0"/>
                      <w:bCs w:val="0"/>
                      <w:u w:val="none"/>
                    </w:rPr>
                    <w:t>5、火电等“两高行业建设项目应满足超低排放要求。</w:t>
                  </w:r>
                </w:p>
              </w:tc>
              <w:tc>
                <w:tcPr>
                  <w:tcW w:w="1173" w:type="pct"/>
                  <w:tcBorders>
                    <w:tl2br w:val="nil"/>
                    <w:tr2bl w:val="nil"/>
                  </w:tcBorders>
                  <w:shd w:val="clear" w:color="auto" w:fill="auto"/>
                  <w:vAlign w:val="center"/>
                </w:tcPr>
                <w:p w14:paraId="10BB159D">
                  <w:pPr>
                    <w:pStyle w:val="45"/>
                    <w:rPr>
                      <w:rFonts w:hint="default"/>
                      <w:b w:val="0"/>
                      <w:bCs w:val="0"/>
                      <w:u w:val="none"/>
                    </w:rPr>
                  </w:pPr>
                  <w:r>
                    <w:rPr>
                      <w:b w:val="0"/>
                      <w:bCs w:val="0"/>
                      <w:kern w:val="24"/>
                      <w:szCs w:val="18"/>
                      <w:u w:val="none"/>
                    </w:rPr>
                    <w:t>本项目</w:t>
                  </w:r>
                  <w:r>
                    <w:rPr>
                      <w:b w:val="0"/>
                      <w:bCs w:val="0"/>
                      <w:u w:val="none"/>
                    </w:rPr>
                    <w:t>为化学原料和化学制品制造业，根据企业提供平顶山尼龙产业园工业气体岛一期项目</w:t>
                  </w:r>
                  <w:r>
                    <w:rPr>
                      <w:rFonts w:hint="eastAsia"/>
                      <w:b w:val="0"/>
                      <w:bCs w:val="0"/>
                      <w:u w:val="none"/>
                      <w:lang w:eastAsia="zh-CN"/>
                    </w:rPr>
                    <w:t>节能评估报告</w:t>
                  </w:r>
                  <w:r>
                    <w:rPr>
                      <w:b w:val="0"/>
                      <w:bCs w:val="0"/>
                      <w:u w:val="none"/>
                    </w:rPr>
                    <w:t>，</w:t>
                  </w:r>
                  <w:r>
                    <w:rPr>
                      <w:rFonts w:hint="eastAsia"/>
                      <w:b w:val="0"/>
                      <w:bCs w:val="0"/>
                      <w:u w:val="none"/>
                      <w:lang w:eastAsia="zh-CN"/>
                    </w:rPr>
                    <w:t>项目</w:t>
                  </w:r>
                  <w:r>
                    <w:rPr>
                      <w:b w:val="0"/>
                      <w:bCs w:val="0"/>
                      <w:u w:val="none"/>
                    </w:rPr>
                    <w:t>综合能耗等价值为</w:t>
                  </w:r>
                  <w:r>
                    <w:rPr>
                      <w:rFonts w:hint="eastAsia"/>
                      <w:b w:val="0"/>
                      <w:bCs w:val="0"/>
                      <w:u w:val="none"/>
                      <w:lang w:val="en-US" w:eastAsia="zh-CN"/>
                    </w:rPr>
                    <w:t>10038.07</w:t>
                  </w:r>
                  <w:r>
                    <w:rPr>
                      <w:b w:val="0"/>
                      <w:bCs w:val="0"/>
                      <w:u w:val="none"/>
                    </w:rPr>
                    <w:t>吨标准煤</w:t>
                  </w:r>
                  <w:r>
                    <w:rPr>
                      <w:b w:val="0"/>
                      <w:bCs w:val="0"/>
                      <w:szCs w:val="18"/>
                      <w:u w:val="none"/>
                    </w:rPr>
                    <w:t>。对照《河南省“两高”项目管理目录（2023年修订）》，本项目不属于“两高”项目；</w:t>
                  </w:r>
                </w:p>
              </w:tc>
              <w:tc>
                <w:tcPr>
                  <w:tcW w:w="467" w:type="pct"/>
                  <w:tcBorders>
                    <w:tl2br w:val="nil"/>
                    <w:tr2bl w:val="nil"/>
                  </w:tcBorders>
                  <w:shd w:val="clear" w:color="auto" w:fill="auto"/>
                  <w:vAlign w:val="center"/>
                </w:tcPr>
                <w:p w14:paraId="7438E76C">
                  <w:pPr>
                    <w:pStyle w:val="45"/>
                    <w:rPr>
                      <w:rFonts w:hint="default"/>
                      <w:b w:val="0"/>
                      <w:bCs w:val="0"/>
                      <w:u w:val="none"/>
                    </w:rPr>
                  </w:pPr>
                  <w:r>
                    <w:rPr>
                      <w:b w:val="0"/>
                      <w:bCs w:val="0"/>
                      <w:u w:val="none"/>
                    </w:rPr>
                    <w:t>不属于两高项目</w:t>
                  </w:r>
                </w:p>
              </w:tc>
            </w:tr>
            <w:tr w14:paraId="7CABF82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44" w:type="pct"/>
                  <w:vMerge w:val="continue"/>
                  <w:tcBorders>
                    <w:tl2br w:val="nil"/>
                    <w:tr2bl w:val="nil"/>
                  </w:tcBorders>
                  <w:shd w:val="clear" w:color="auto" w:fill="auto"/>
                  <w:vAlign w:val="center"/>
                </w:tcPr>
                <w:p w14:paraId="6401626B">
                  <w:pPr>
                    <w:pStyle w:val="45"/>
                    <w:rPr>
                      <w:rFonts w:hint="default"/>
                      <w:b w:val="0"/>
                      <w:bCs w:val="0"/>
                      <w:u w:val="none"/>
                    </w:rPr>
                  </w:pPr>
                </w:p>
              </w:tc>
              <w:tc>
                <w:tcPr>
                  <w:tcW w:w="516" w:type="pct"/>
                  <w:vMerge w:val="continue"/>
                  <w:tcBorders>
                    <w:tl2br w:val="nil"/>
                    <w:tr2bl w:val="nil"/>
                  </w:tcBorders>
                  <w:shd w:val="clear" w:color="auto" w:fill="auto"/>
                  <w:vAlign w:val="center"/>
                </w:tcPr>
                <w:p w14:paraId="24298D45">
                  <w:pPr>
                    <w:pStyle w:val="45"/>
                    <w:rPr>
                      <w:rFonts w:hint="default"/>
                      <w:b w:val="0"/>
                      <w:bCs w:val="0"/>
                      <w:u w:val="none"/>
                    </w:rPr>
                  </w:pPr>
                </w:p>
              </w:tc>
              <w:tc>
                <w:tcPr>
                  <w:tcW w:w="462" w:type="pct"/>
                  <w:vMerge w:val="continue"/>
                  <w:tcBorders>
                    <w:tl2br w:val="nil"/>
                    <w:tr2bl w:val="nil"/>
                  </w:tcBorders>
                  <w:shd w:val="clear" w:color="auto" w:fill="auto"/>
                  <w:vAlign w:val="center"/>
                </w:tcPr>
                <w:p w14:paraId="691D6735">
                  <w:pPr>
                    <w:pStyle w:val="45"/>
                    <w:rPr>
                      <w:rFonts w:hint="default"/>
                      <w:b w:val="0"/>
                      <w:bCs w:val="0"/>
                      <w:u w:val="none"/>
                    </w:rPr>
                  </w:pPr>
                </w:p>
              </w:tc>
              <w:tc>
                <w:tcPr>
                  <w:tcW w:w="309" w:type="pct"/>
                  <w:tcBorders>
                    <w:tl2br w:val="nil"/>
                    <w:tr2bl w:val="nil"/>
                  </w:tcBorders>
                  <w:shd w:val="clear" w:color="auto" w:fill="auto"/>
                  <w:vAlign w:val="center"/>
                </w:tcPr>
                <w:p w14:paraId="280D3F9C">
                  <w:pPr>
                    <w:pStyle w:val="45"/>
                    <w:rPr>
                      <w:rFonts w:hint="default"/>
                      <w:b w:val="0"/>
                      <w:bCs w:val="0"/>
                      <w:u w:val="none"/>
                    </w:rPr>
                  </w:pPr>
                  <w:r>
                    <w:rPr>
                      <w:b w:val="0"/>
                      <w:bCs w:val="0"/>
                      <w:u w:val="none"/>
                    </w:rPr>
                    <w:t>环境风险防控</w:t>
                  </w:r>
                </w:p>
              </w:tc>
              <w:tc>
                <w:tcPr>
                  <w:tcW w:w="1427" w:type="pct"/>
                  <w:tcBorders>
                    <w:tl2br w:val="nil"/>
                    <w:tr2bl w:val="nil"/>
                  </w:tcBorders>
                  <w:shd w:val="clear" w:color="auto" w:fill="auto"/>
                  <w:vAlign w:val="center"/>
                </w:tcPr>
                <w:p w14:paraId="1F4E17F8">
                  <w:pPr>
                    <w:pStyle w:val="45"/>
                    <w:rPr>
                      <w:rFonts w:hint="default"/>
                      <w:b w:val="0"/>
                      <w:bCs w:val="0"/>
                      <w:u w:val="none"/>
                    </w:rPr>
                  </w:pPr>
                  <w:r>
                    <w:rPr>
                      <w:b w:val="0"/>
                      <w:bCs w:val="0"/>
                      <w:u w:val="none"/>
                    </w:rPr>
                    <w:t>按照《化工园区建设标准和认定管理办法》(试行)建设标准、园区管理要求，做好园区风险防范设施建设、入园企业管理，全面提升园区风险防控和事故应急处置能力。</w:t>
                  </w:r>
                </w:p>
              </w:tc>
              <w:tc>
                <w:tcPr>
                  <w:tcW w:w="1173" w:type="pct"/>
                  <w:tcBorders>
                    <w:tl2br w:val="nil"/>
                    <w:tr2bl w:val="nil"/>
                  </w:tcBorders>
                  <w:shd w:val="clear" w:color="auto" w:fill="auto"/>
                  <w:vAlign w:val="center"/>
                </w:tcPr>
                <w:p w14:paraId="11FA45D6">
                  <w:pPr>
                    <w:pStyle w:val="45"/>
                    <w:rPr>
                      <w:rFonts w:hint="default"/>
                      <w:b w:val="0"/>
                      <w:bCs w:val="0"/>
                      <w:u w:val="none"/>
                    </w:rPr>
                  </w:pPr>
                  <w:r>
                    <w:rPr>
                      <w:b w:val="0"/>
                      <w:bCs w:val="0"/>
                      <w:u w:val="none"/>
                    </w:rPr>
                    <w:t>本项目应对入厂化学品进行严格管理，建立完善有效的风险防控设施。厂区建设过程中应做到雨污分流、清污分流。</w:t>
                  </w:r>
                </w:p>
              </w:tc>
              <w:tc>
                <w:tcPr>
                  <w:tcW w:w="467" w:type="pct"/>
                  <w:tcBorders>
                    <w:tl2br w:val="nil"/>
                    <w:tr2bl w:val="nil"/>
                  </w:tcBorders>
                  <w:shd w:val="clear" w:color="auto" w:fill="auto"/>
                  <w:vAlign w:val="center"/>
                </w:tcPr>
                <w:p w14:paraId="4955D3D2">
                  <w:pPr>
                    <w:pStyle w:val="45"/>
                    <w:rPr>
                      <w:rFonts w:hint="default"/>
                      <w:b w:val="0"/>
                      <w:bCs w:val="0"/>
                      <w:u w:val="none"/>
                    </w:rPr>
                  </w:pPr>
                  <w:r>
                    <w:rPr>
                      <w:b w:val="0"/>
                      <w:bCs w:val="0"/>
                      <w:u w:val="none"/>
                    </w:rPr>
                    <w:t>相符</w:t>
                  </w:r>
                </w:p>
              </w:tc>
            </w:tr>
            <w:tr w14:paraId="00E90BC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44" w:type="pct"/>
                  <w:vMerge w:val="continue"/>
                  <w:tcBorders>
                    <w:tl2br w:val="nil"/>
                    <w:tr2bl w:val="nil"/>
                  </w:tcBorders>
                  <w:shd w:val="clear" w:color="auto" w:fill="auto"/>
                  <w:vAlign w:val="center"/>
                </w:tcPr>
                <w:p w14:paraId="6C5BDA57">
                  <w:pPr>
                    <w:pStyle w:val="45"/>
                    <w:rPr>
                      <w:rFonts w:hint="default"/>
                      <w:b w:val="0"/>
                      <w:bCs w:val="0"/>
                      <w:u w:val="none"/>
                    </w:rPr>
                  </w:pPr>
                </w:p>
              </w:tc>
              <w:tc>
                <w:tcPr>
                  <w:tcW w:w="516" w:type="pct"/>
                  <w:vMerge w:val="continue"/>
                  <w:tcBorders>
                    <w:tl2br w:val="nil"/>
                    <w:tr2bl w:val="nil"/>
                  </w:tcBorders>
                  <w:shd w:val="clear" w:color="auto" w:fill="auto"/>
                  <w:vAlign w:val="center"/>
                </w:tcPr>
                <w:p w14:paraId="1AD42448">
                  <w:pPr>
                    <w:pStyle w:val="45"/>
                    <w:rPr>
                      <w:rFonts w:hint="default"/>
                      <w:b w:val="0"/>
                      <w:bCs w:val="0"/>
                      <w:u w:val="none"/>
                    </w:rPr>
                  </w:pPr>
                </w:p>
              </w:tc>
              <w:tc>
                <w:tcPr>
                  <w:tcW w:w="462" w:type="pct"/>
                  <w:vMerge w:val="continue"/>
                  <w:tcBorders>
                    <w:tl2br w:val="nil"/>
                    <w:tr2bl w:val="nil"/>
                  </w:tcBorders>
                  <w:shd w:val="clear" w:color="auto" w:fill="auto"/>
                  <w:vAlign w:val="center"/>
                </w:tcPr>
                <w:p w14:paraId="5780AE8E">
                  <w:pPr>
                    <w:pStyle w:val="45"/>
                    <w:rPr>
                      <w:rFonts w:hint="default"/>
                      <w:b w:val="0"/>
                      <w:bCs w:val="0"/>
                      <w:u w:val="none"/>
                    </w:rPr>
                  </w:pPr>
                </w:p>
              </w:tc>
              <w:tc>
                <w:tcPr>
                  <w:tcW w:w="309" w:type="pct"/>
                  <w:vMerge w:val="restart"/>
                  <w:tcBorders>
                    <w:tl2br w:val="nil"/>
                    <w:tr2bl w:val="nil"/>
                  </w:tcBorders>
                  <w:shd w:val="clear" w:color="auto" w:fill="auto"/>
                  <w:vAlign w:val="center"/>
                </w:tcPr>
                <w:p w14:paraId="7EB5539A">
                  <w:pPr>
                    <w:pStyle w:val="45"/>
                    <w:rPr>
                      <w:rFonts w:hint="default"/>
                      <w:b w:val="0"/>
                      <w:bCs w:val="0"/>
                      <w:u w:val="none"/>
                    </w:rPr>
                  </w:pPr>
                  <w:r>
                    <w:rPr>
                      <w:b w:val="0"/>
                      <w:bCs w:val="0"/>
                      <w:u w:val="none"/>
                    </w:rPr>
                    <w:t>资源开发效率要求</w:t>
                  </w:r>
                </w:p>
              </w:tc>
              <w:tc>
                <w:tcPr>
                  <w:tcW w:w="1427" w:type="pct"/>
                  <w:tcBorders>
                    <w:tl2br w:val="nil"/>
                    <w:tr2bl w:val="nil"/>
                  </w:tcBorders>
                  <w:shd w:val="clear" w:color="auto" w:fill="auto"/>
                  <w:vAlign w:val="center"/>
                </w:tcPr>
                <w:p w14:paraId="0D5528DE">
                  <w:pPr>
                    <w:pStyle w:val="45"/>
                    <w:rPr>
                      <w:rFonts w:hint="default"/>
                      <w:b w:val="0"/>
                      <w:bCs w:val="0"/>
                      <w:u w:val="none"/>
                    </w:rPr>
                  </w:pPr>
                  <w:r>
                    <w:rPr>
                      <w:b w:val="0"/>
                      <w:bCs w:val="0"/>
                      <w:u w:val="none"/>
                    </w:rPr>
                    <w:t>1、加强水资源集约利用，进一步控制水资源消耗。严格用水全过程管理，推进区域再生水循环利用，加强企业内部工业用水循环利用。</w:t>
                  </w:r>
                </w:p>
              </w:tc>
              <w:tc>
                <w:tcPr>
                  <w:tcW w:w="1173" w:type="pct"/>
                  <w:tcBorders>
                    <w:tl2br w:val="nil"/>
                    <w:tr2bl w:val="nil"/>
                  </w:tcBorders>
                  <w:shd w:val="clear" w:color="auto" w:fill="auto"/>
                  <w:vAlign w:val="center"/>
                </w:tcPr>
                <w:p w14:paraId="170D921C">
                  <w:pPr>
                    <w:pStyle w:val="45"/>
                    <w:rPr>
                      <w:rFonts w:hint="default"/>
                      <w:b w:val="0"/>
                      <w:bCs w:val="0"/>
                      <w:u w:val="none"/>
                    </w:rPr>
                  </w:pPr>
                  <w:r>
                    <w:rPr>
                      <w:b w:val="0"/>
                      <w:bCs w:val="0"/>
                      <w:u w:val="none"/>
                    </w:rPr>
                    <w:t>本项目用水为生活用水、工艺用水和循环冷却用水。本项目严格用水全过程管理</w:t>
                  </w:r>
                </w:p>
              </w:tc>
              <w:tc>
                <w:tcPr>
                  <w:tcW w:w="467" w:type="pct"/>
                  <w:tcBorders>
                    <w:tl2br w:val="nil"/>
                    <w:tr2bl w:val="nil"/>
                  </w:tcBorders>
                  <w:shd w:val="clear" w:color="auto" w:fill="auto"/>
                  <w:vAlign w:val="center"/>
                </w:tcPr>
                <w:p w14:paraId="7EAAFE41">
                  <w:pPr>
                    <w:pStyle w:val="45"/>
                    <w:rPr>
                      <w:rFonts w:hint="default"/>
                      <w:b w:val="0"/>
                      <w:bCs w:val="0"/>
                      <w:u w:val="none"/>
                    </w:rPr>
                  </w:pPr>
                  <w:r>
                    <w:rPr>
                      <w:b w:val="0"/>
                      <w:bCs w:val="0"/>
                      <w:u w:val="none"/>
                    </w:rPr>
                    <w:t>相符</w:t>
                  </w:r>
                </w:p>
              </w:tc>
            </w:tr>
            <w:tr w14:paraId="4072A97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44" w:type="pct"/>
                  <w:vMerge w:val="continue"/>
                  <w:tcBorders>
                    <w:tl2br w:val="nil"/>
                    <w:tr2bl w:val="nil"/>
                  </w:tcBorders>
                  <w:shd w:val="clear" w:color="auto" w:fill="auto"/>
                  <w:vAlign w:val="center"/>
                </w:tcPr>
                <w:p w14:paraId="0774ECF8">
                  <w:pPr>
                    <w:pStyle w:val="45"/>
                    <w:rPr>
                      <w:rFonts w:hint="default"/>
                      <w:b w:val="0"/>
                      <w:bCs w:val="0"/>
                      <w:u w:val="none"/>
                    </w:rPr>
                  </w:pPr>
                </w:p>
              </w:tc>
              <w:tc>
                <w:tcPr>
                  <w:tcW w:w="516" w:type="pct"/>
                  <w:vMerge w:val="continue"/>
                  <w:tcBorders>
                    <w:tl2br w:val="nil"/>
                    <w:tr2bl w:val="nil"/>
                  </w:tcBorders>
                  <w:shd w:val="clear" w:color="auto" w:fill="auto"/>
                  <w:vAlign w:val="center"/>
                </w:tcPr>
                <w:p w14:paraId="2BB39141">
                  <w:pPr>
                    <w:pStyle w:val="45"/>
                    <w:rPr>
                      <w:rFonts w:hint="default"/>
                      <w:b w:val="0"/>
                      <w:bCs w:val="0"/>
                      <w:u w:val="none"/>
                    </w:rPr>
                  </w:pPr>
                </w:p>
              </w:tc>
              <w:tc>
                <w:tcPr>
                  <w:tcW w:w="462" w:type="pct"/>
                  <w:vMerge w:val="continue"/>
                  <w:tcBorders>
                    <w:tl2br w:val="nil"/>
                    <w:tr2bl w:val="nil"/>
                  </w:tcBorders>
                  <w:shd w:val="clear" w:color="auto" w:fill="auto"/>
                  <w:vAlign w:val="center"/>
                </w:tcPr>
                <w:p w14:paraId="22D84192">
                  <w:pPr>
                    <w:pStyle w:val="45"/>
                    <w:rPr>
                      <w:rFonts w:hint="default"/>
                      <w:b w:val="0"/>
                      <w:bCs w:val="0"/>
                      <w:u w:val="none"/>
                    </w:rPr>
                  </w:pPr>
                </w:p>
              </w:tc>
              <w:tc>
                <w:tcPr>
                  <w:tcW w:w="309" w:type="pct"/>
                  <w:vMerge w:val="continue"/>
                  <w:tcBorders>
                    <w:tl2br w:val="nil"/>
                    <w:tr2bl w:val="nil"/>
                  </w:tcBorders>
                  <w:shd w:val="clear" w:color="auto" w:fill="auto"/>
                  <w:vAlign w:val="center"/>
                </w:tcPr>
                <w:p w14:paraId="5D583CCA">
                  <w:pPr>
                    <w:pStyle w:val="45"/>
                    <w:rPr>
                      <w:rFonts w:hint="default"/>
                      <w:b w:val="0"/>
                      <w:bCs w:val="0"/>
                      <w:u w:val="none"/>
                    </w:rPr>
                  </w:pPr>
                </w:p>
              </w:tc>
              <w:tc>
                <w:tcPr>
                  <w:tcW w:w="1427" w:type="pct"/>
                  <w:tcBorders>
                    <w:tl2br w:val="nil"/>
                    <w:tr2bl w:val="nil"/>
                  </w:tcBorders>
                  <w:shd w:val="clear" w:color="auto" w:fill="auto"/>
                  <w:vAlign w:val="center"/>
                </w:tcPr>
                <w:p w14:paraId="1D21032A">
                  <w:pPr>
                    <w:pStyle w:val="45"/>
                    <w:rPr>
                      <w:rFonts w:hint="default"/>
                      <w:b w:val="0"/>
                      <w:bCs w:val="0"/>
                      <w:u w:val="none"/>
                    </w:rPr>
                  </w:pPr>
                  <w:r>
                    <w:rPr>
                      <w:b w:val="0"/>
                      <w:bCs w:val="0"/>
                      <w:u w:val="none"/>
                    </w:rPr>
                    <w:t>2、积极发展可再生能源，持续扩大可再生能源开发利用规模，严控煤炭消耗总量，严格落实能源消费总量和强度“双控”制度。</w:t>
                  </w:r>
                </w:p>
              </w:tc>
              <w:tc>
                <w:tcPr>
                  <w:tcW w:w="1173" w:type="pct"/>
                  <w:tcBorders>
                    <w:tl2br w:val="nil"/>
                    <w:tr2bl w:val="nil"/>
                  </w:tcBorders>
                  <w:shd w:val="clear" w:color="auto" w:fill="auto"/>
                  <w:vAlign w:val="center"/>
                </w:tcPr>
                <w:p w14:paraId="16832219">
                  <w:pPr>
                    <w:pStyle w:val="45"/>
                    <w:rPr>
                      <w:rFonts w:hint="default"/>
                      <w:b w:val="0"/>
                      <w:bCs w:val="0"/>
                      <w:u w:val="none"/>
                    </w:rPr>
                  </w:pPr>
                  <w:r>
                    <w:rPr>
                      <w:b w:val="0"/>
                      <w:bCs w:val="0"/>
                      <w:u w:val="none"/>
                    </w:rPr>
                    <w:t>不涉及</w:t>
                  </w:r>
                </w:p>
              </w:tc>
              <w:tc>
                <w:tcPr>
                  <w:tcW w:w="467" w:type="pct"/>
                  <w:tcBorders>
                    <w:tl2br w:val="nil"/>
                    <w:tr2bl w:val="nil"/>
                  </w:tcBorders>
                  <w:shd w:val="clear" w:color="auto" w:fill="auto"/>
                  <w:vAlign w:val="center"/>
                </w:tcPr>
                <w:p w14:paraId="3FBFE9A1">
                  <w:pPr>
                    <w:pStyle w:val="45"/>
                    <w:rPr>
                      <w:rFonts w:hint="default"/>
                      <w:b w:val="0"/>
                      <w:bCs w:val="0"/>
                      <w:u w:val="none"/>
                    </w:rPr>
                  </w:pPr>
                  <w:r>
                    <w:rPr>
                      <w:b w:val="0"/>
                      <w:bCs w:val="0"/>
                      <w:u w:val="none"/>
                    </w:rPr>
                    <w:t>不涉及</w:t>
                  </w:r>
                </w:p>
              </w:tc>
            </w:tr>
          </w:tbl>
          <w:p w14:paraId="09DB39BB">
            <w:pPr>
              <w:pStyle w:val="4"/>
              <w:rPr>
                <w:b w:val="0"/>
                <w:bCs w:val="0"/>
                <w:u w:val="none"/>
              </w:rPr>
            </w:pPr>
            <w:r>
              <w:rPr>
                <w:b w:val="0"/>
                <w:bCs w:val="0"/>
                <w:u w:val="none"/>
              </w:rPr>
              <w:t>备案相符性分析</w:t>
            </w:r>
          </w:p>
          <w:p w14:paraId="3A428111">
            <w:pPr>
              <w:pStyle w:val="5"/>
              <w:rPr>
                <w:rFonts w:hint="default"/>
                <w:b w:val="0"/>
                <w:bCs w:val="0"/>
                <w:u w:val="none"/>
              </w:rPr>
            </w:pPr>
            <w:r>
              <w:rPr>
                <w:rFonts w:hint="default"/>
                <w:b w:val="0"/>
                <w:bCs w:val="0"/>
                <w:u w:val="none"/>
              </w:rPr>
              <w:t>本</w:t>
            </w:r>
            <w:r>
              <w:rPr>
                <w:b w:val="0"/>
                <w:bCs w:val="0"/>
                <w:u w:val="none"/>
              </w:rPr>
              <w:t>项目</w:t>
            </w:r>
            <w:r>
              <w:rPr>
                <w:rFonts w:hint="default"/>
                <w:b w:val="0"/>
                <w:bCs w:val="0"/>
                <w:u w:val="none"/>
              </w:rPr>
              <w:t>备案与拟建内容相符性分析见下表。</w:t>
            </w:r>
          </w:p>
          <w:p w14:paraId="245E439E">
            <w:pPr>
              <w:pStyle w:val="44"/>
              <w:numPr>
                <w:ilvl w:val="0"/>
                <w:numId w:val="2"/>
              </w:numPr>
              <w:rPr>
                <w:rFonts w:hint="default"/>
                <w:b w:val="0"/>
                <w:bCs w:val="0"/>
                <w:u w:val="none"/>
              </w:rPr>
            </w:pPr>
            <w:r>
              <w:rPr>
                <w:b w:val="0"/>
                <w:bCs w:val="0"/>
                <w:u w:val="none"/>
              </w:rPr>
              <w:t xml:space="preserve"> </w:t>
            </w:r>
            <w:r>
              <w:rPr>
                <w:rFonts w:hint="default"/>
                <w:b w:val="0"/>
                <w:bCs w:val="0"/>
                <w:u w:val="none"/>
              </w:rPr>
              <w:t>项目备案内容与拟建内容相符性一览表</w:t>
            </w:r>
          </w:p>
          <w:tbl>
            <w:tblPr>
              <w:tblStyle w:val="27"/>
              <w:tblW w:w="7036"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96"/>
              <w:gridCol w:w="633"/>
              <w:gridCol w:w="3017"/>
              <w:gridCol w:w="2386"/>
              <w:gridCol w:w="604"/>
            </w:tblGrid>
            <w:tr w14:paraId="2AECA11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6" w:type="dxa"/>
                  <w:tcBorders>
                    <w:tl2br w:val="nil"/>
                    <w:tr2bl w:val="nil"/>
                  </w:tcBorders>
                  <w:shd w:val="clear" w:color="auto" w:fill="auto"/>
                  <w:vAlign w:val="center"/>
                </w:tcPr>
                <w:p w14:paraId="4F54C117">
                  <w:pPr>
                    <w:pStyle w:val="45"/>
                    <w:rPr>
                      <w:rFonts w:hint="default"/>
                      <w:b w:val="0"/>
                      <w:bCs w:val="0"/>
                      <w:u w:val="none"/>
                    </w:rPr>
                  </w:pPr>
                  <w:r>
                    <w:rPr>
                      <w:b w:val="0"/>
                      <w:bCs w:val="0"/>
                      <w:u w:val="none"/>
                    </w:rPr>
                    <w:t>序号</w:t>
                  </w:r>
                </w:p>
              </w:tc>
              <w:tc>
                <w:tcPr>
                  <w:tcW w:w="633" w:type="dxa"/>
                  <w:tcBorders>
                    <w:tl2br w:val="nil"/>
                    <w:tr2bl w:val="nil"/>
                  </w:tcBorders>
                  <w:shd w:val="clear" w:color="auto" w:fill="auto"/>
                  <w:vAlign w:val="center"/>
                </w:tcPr>
                <w:p w14:paraId="01806E25">
                  <w:pPr>
                    <w:pStyle w:val="45"/>
                    <w:rPr>
                      <w:rFonts w:hint="default"/>
                      <w:b w:val="0"/>
                      <w:bCs w:val="0"/>
                      <w:u w:val="none"/>
                    </w:rPr>
                  </w:pPr>
                  <w:r>
                    <w:rPr>
                      <w:b w:val="0"/>
                      <w:bCs w:val="0"/>
                      <w:u w:val="none"/>
                    </w:rPr>
                    <w:t>项目</w:t>
                  </w:r>
                </w:p>
              </w:tc>
              <w:tc>
                <w:tcPr>
                  <w:tcW w:w="3017" w:type="dxa"/>
                  <w:tcBorders>
                    <w:tl2br w:val="nil"/>
                    <w:tr2bl w:val="nil"/>
                  </w:tcBorders>
                  <w:shd w:val="clear" w:color="auto" w:fill="auto"/>
                  <w:vAlign w:val="center"/>
                </w:tcPr>
                <w:p w14:paraId="370E2C4D">
                  <w:pPr>
                    <w:pStyle w:val="45"/>
                    <w:rPr>
                      <w:rFonts w:hint="default"/>
                      <w:b w:val="0"/>
                      <w:bCs w:val="0"/>
                      <w:u w:val="none"/>
                    </w:rPr>
                  </w:pPr>
                  <w:r>
                    <w:rPr>
                      <w:b w:val="0"/>
                      <w:bCs w:val="0"/>
                      <w:u w:val="none"/>
                    </w:rPr>
                    <w:t>备案内容</w:t>
                  </w:r>
                </w:p>
              </w:tc>
              <w:tc>
                <w:tcPr>
                  <w:tcW w:w="2386" w:type="dxa"/>
                  <w:tcBorders>
                    <w:tl2br w:val="nil"/>
                    <w:tr2bl w:val="nil"/>
                  </w:tcBorders>
                  <w:shd w:val="clear" w:color="auto" w:fill="auto"/>
                  <w:vAlign w:val="center"/>
                </w:tcPr>
                <w:p w14:paraId="35C65BEB">
                  <w:pPr>
                    <w:pStyle w:val="45"/>
                    <w:rPr>
                      <w:rFonts w:hint="default"/>
                      <w:b w:val="0"/>
                      <w:bCs w:val="0"/>
                      <w:u w:val="none"/>
                    </w:rPr>
                  </w:pPr>
                  <w:r>
                    <w:rPr>
                      <w:b w:val="0"/>
                      <w:bCs w:val="0"/>
                      <w:u w:val="none"/>
                    </w:rPr>
                    <w:t>拟建内容</w:t>
                  </w:r>
                </w:p>
              </w:tc>
              <w:tc>
                <w:tcPr>
                  <w:tcW w:w="604" w:type="dxa"/>
                  <w:tcBorders>
                    <w:tl2br w:val="nil"/>
                    <w:tr2bl w:val="nil"/>
                  </w:tcBorders>
                  <w:shd w:val="clear" w:color="auto" w:fill="auto"/>
                  <w:vAlign w:val="center"/>
                </w:tcPr>
                <w:p w14:paraId="15C1126D">
                  <w:pPr>
                    <w:pStyle w:val="45"/>
                    <w:rPr>
                      <w:rFonts w:hint="default"/>
                      <w:b w:val="0"/>
                      <w:bCs w:val="0"/>
                      <w:u w:val="none"/>
                    </w:rPr>
                  </w:pPr>
                  <w:r>
                    <w:rPr>
                      <w:b w:val="0"/>
                      <w:bCs w:val="0"/>
                      <w:u w:val="none"/>
                    </w:rPr>
                    <w:t>相符性</w:t>
                  </w:r>
                </w:p>
              </w:tc>
            </w:tr>
            <w:tr w14:paraId="097431F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6" w:type="dxa"/>
                  <w:tcBorders>
                    <w:tl2br w:val="nil"/>
                    <w:tr2bl w:val="nil"/>
                  </w:tcBorders>
                  <w:shd w:val="clear" w:color="auto" w:fill="auto"/>
                  <w:vAlign w:val="center"/>
                </w:tcPr>
                <w:p w14:paraId="52EC9964">
                  <w:pPr>
                    <w:pStyle w:val="45"/>
                    <w:rPr>
                      <w:rFonts w:hint="default"/>
                      <w:b w:val="0"/>
                      <w:bCs w:val="0"/>
                      <w:u w:val="none"/>
                    </w:rPr>
                  </w:pPr>
                  <w:r>
                    <w:rPr>
                      <w:b w:val="0"/>
                      <w:bCs w:val="0"/>
                      <w:u w:val="none"/>
                    </w:rPr>
                    <w:t>1</w:t>
                  </w:r>
                </w:p>
              </w:tc>
              <w:tc>
                <w:tcPr>
                  <w:tcW w:w="633" w:type="dxa"/>
                  <w:tcBorders>
                    <w:tl2br w:val="nil"/>
                    <w:tr2bl w:val="nil"/>
                  </w:tcBorders>
                  <w:shd w:val="clear" w:color="auto" w:fill="auto"/>
                  <w:vAlign w:val="center"/>
                </w:tcPr>
                <w:p w14:paraId="59C56758">
                  <w:pPr>
                    <w:pStyle w:val="45"/>
                    <w:rPr>
                      <w:rFonts w:hint="default"/>
                      <w:b w:val="0"/>
                      <w:bCs w:val="0"/>
                      <w:u w:val="none"/>
                    </w:rPr>
                  </w:pPr>
                  <w:r>
                    <w:rPr>
                      <w:b w:val="0"/>
                      <w:bCs w:val="0"/>
                      <w:u w:val="none"/>
                    </w:rPr>
                    <w:t>企业名称</w:t>
                  </w:r>
                </w:p>
              </w:tc>
              <w:tc>
                <w:tcPr>
                  <w:tcW w:w="3017" w:type="dxa"/>
                  <w:tcBorders>
                    <w:tl2br w:val="nil"/>
                    <w:tr2bl w:val="nil"/>
                  </w:tcBorders>
                  <w:shd w:val="clear" w:color="auto" w:fill="auto"/>
                  <w:vAlign w:val="center"/>
                </w:tcPr>
                <w:p w14:paraId="051A88E4">
                  <w:pPr>
                    <w:pStyle w:val="45"/>
                    <w:rPr>
                      <w:rFonts w:hint="default"/>
                      <w:b w:val="0"/>
                      <w:bCs w:val="0"/>
                      <w:u w:val="none"/>
                    </w:rPr>
                  </w:pPr>
                  <w:r>
                    <w:rPr>
                      <w:b w:val="0"/>
                      <w:bCs w:val="0"/>
                      <w:u w:val="none"/>
                    </w:rPr>
                    <w:t>河南平益气体有限公司</w:t>
                  </w:r>
                </w:p>
              </w:tc>
              <w:tc>
                <w:tcPr>
                  <w:tcW w:w="2386" w:type="dxa"/>
                  <w:tcBorders>
                    <w:tl2br w:val="nil"/>
                    <w:tr2bl w:val="nil"/>
                  </w:tcBorders>
                  <w:shd w:val="clear" w:color="auto" w:fill="auto"/>
                  <w:vAlign w:val="center"/>
                </w:tcPr>
                <w:p w14:paraId="66025836">
                  <w:pPr>
                    <w:pStyle w:val="45"/>
                    <w:rPr>
                      <w:rFonts w:hint="default"/>
                      <w:b w:val="0"/>
                      <w:bCs w:val="0"/>
                      <w:u w:val="none"/>
                    </w:rPr>
                  </w:pPr>
                  <w:r>
                    <w:rPr>
                      <w:b w:val="0"/>
                      <w:bCs w:val="0"/>
                      <w:u w:val="none"/>
                    </w:rPr>
                    <w:t>河南平益气体有限公司</w:t>
                  </w:r>
                </w:p>
              </w:tc>
              <w:tc>
                <w:tcPr>
                  <w:tcW w:w="604" w:type="dxa"/>
                  <w:tcBorders>
                    <w:tl2br w:val="nil"/>
                    <w:tr2bl w:val="nil"/>
                  </w:tcBorders>
                  <w:shd w:val="clear" w:color="auto" w:fill="auto"/>
                  <w:vAlign w:val="center"/>
                </w:tcPr>
                <w:p w14:paraId="02FEF11A">
                  <w:pPr>
                    <w:pStyle w:val="45"/>
                    <w:rPr>
                      <w:rFonts w:hint="default"/>
                      <w:b w:val="0"/>
                      <w:bCs w:val="0"/>
                      <w:u w:val="none"/>
                    </w:rPr>
                  </w:pPr>
                  <w:r>
                    <w:rPr>
                      <w:b w:val="0"/>
                      <w:bCs w:val="0"/>
                      <w:u w:val="none"/>
                    </w:rPr>
                    <w:t>相符</w:t>
                  </w:r>
                </w:p>
              </w:tc>
            </w:tr>
            <w:tr w14:paraId="4374E27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6" w:type="dxa"/>
                  <w:tcBorders>
                    <w:tl2br w:val="nil"/>
                    <w:tr2bl w:val="nil"/>
                  </w:tcBorders>
                  <w:shd w:val="clear" w:color="auto" w:fill="auto"/>
                  <w:vAlign w:val="center"/>
                </w:tcPr>
                <w:p w14:paraId="49AE6B96">
                  <w:pPr>
                    <w:pStyle w:val="45"/>
                    <w:rPr>
                      <w:rFonts w:hint="default"/>
                      <w:b w:val="0"/>
                      <w:bCs w:val="0"/>
                      <w:u w:val="none"/>
                    </w:rPr>
                  </w:pPr>
                  <w:r>
                    <w:rPr>
                      <w:b w:val="0"/>
                      <w:bCs w:val="0"/>
                      <w:u w:val="none"/>
                    </w:rPr>
                    <w:t>2</w:t>
                  </w:r>
                </w:p>
              </w:tc>
              <w:tc>
                <w:tcPr>
                  <w:tcW w:w="633" w:type="dxa"/>
                  <w:tcBorders>
                    <w:tl2br w:val="nil"/>
                    <w:tr2bl w:val="nil"/>
                  </w:tcBorders>
                  <w:shd w:val="clear" w:color="auto" w:fill="auto"/>
                  <w:vAlign w:val="center"/>
                </w:tcPr>
                <w:p w14:paraId="43623E90">
                  <w:pPr>
                    <w:pStyle w:val="45"/>
                    <w:rPr>
                      <w:rFonts w:hint="default"/>
                      <w:b w:val="0"/>
                      <w:bCs w:val="0"/>
                      <w:u w:val="none"/>
                    </w:rPr>
                  </w:pPr>
                  <w:r>
                    <w:rPr>
                      <w:b w:val="0"/>
                      <w:bCs w:val="0"/>
                      <w:u w:val="none"/>
                    </w:rPr>
                    <w:t>项目名称</w:t>
                  </w:r>
                </w:p>
              </w:tc>
              <w:tc>
                <w:tcPr>
                  <w:tcW w:w="3017" w:type="dxa"/>
                  <w:tcBorders>
                    <w:tl2br w:val="nil"/>
                    <w:tr2bl w:val="nil"/>
                  </w:tcBorders>
                  <w:shd w:val="clear" w:color="auto" w:fill="auto"/>
                  <w:vAlign w:val="center"/>
                </w:tcPr>
                <w:p w14:paraId="2B06E624">
                  <w:pPr>
                    <w:pStyle w:val="45"/>
                    <w:rPr>
                      <w:rFonts w:hint="default"/>
                      <w:b w:val="0"/>
                      <w:bCs w:val="0"/>
                      <w:u w:val="none"/>
                    </w:rPr>
                  </w:pPr>
                  <w:r>
                    <w:rPr>
                      <w:b w:val="0"/>
                      <w:bCs w:val="0"/>
                      <w:u w:val="none"/>
                    </w:rPr>
                    <w:t>平顶山尼龙产业园工业气体岛一期项目</w:t>
                  </w:r>
                </w:p>
              </w:tc>
              <w:tc>
                <w:tcPr>
                  <w:tcW w:w="2386" w:type="dxa"/>
                  <w:tcBorders>
                    <w:tl2br w:val="nil"/>
                    <w:tr2bl w:val="nil"/>
                  </w:tcBorders>
                  <w:shd w:val="clear" w:color="auto" w:fill="auto"/>
                  <w:vAlign w:val="center"/>
                </w:tcPr>
                <w:p w14:paraId="42B7C606">
                  <w:pPr>
                    <w:pStyle w:val="45"/>
                    <w:rPr>
                      <w:rFonts w:hint="default"/>
                      <w:b w:val="0"/>
                      <w:bCs w:val="0"/>
                      <w:u w:val="none"/>
                    </w:rPr>
                  </w:pPr>
                  <w:r>
                    <w:rPr>
                      <w:b w:val="0"/>
                      <w:bCs w:val="0"/>
                      <w:u w:val="none"/>
                    </w:rPr>
                    <w:t>平顶山尼龙产业园工业气体岛一期项目</w:t>
                  </w:r>
                </w:p>
              </w:tc>
              <w:tc>
                <w:tcPr>
                  <w:tcW w:w="604" w:type="dxa"/>
                  <w:tcBorders>
                    <w:tl2br w:val="nil"/>
                    <w:tr2bl w:val="nil"/>
                  </w:tcBorders>
                  <w:shd w:val="clear" w:color="auto" w:fill="auto"/>
                  <w:vAlign w:val="center"/>
                </w:tcPr>
                <w:p w14:paraId="1F34B0F1">
                  <w:pPr>
                    <w:pStyle w:val="45"/>
                    <w:rPr>
                      <w:rFonts w:hint="default"/>
                      <w:b w:val="0"/>
                      <w:bCs w:val="0"/>
                      <w:u w:val="none"/>
                    </w:rPr>
                  </w:pPr>
                  <w:r>
                    <w:rPr>
                      <w:b w:val="0"/>
                      <w:bCs w:val="0"/>
                      <w:u w:val="none"/>
                    </w:rPr>
                    <w:t>相符</w:t>
                  </w:r>
                </w:p>
              </w:tc>
            </w:tr>
            <w:tr w14:paraId="6D25A70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6" w:type="dxa"/>
                  <w:tcBorders>
                    <w:tl2br w:val="nil"/>
                    <w:tr2bl w:val="nil"/>
                  </w:tcBorders>
                  <w:shd w:val="clear" w:color="auto" w:fill="auto"/>
                  <w:vAlign w:val="center"/>
                </w:tcPr>
                <w:p w14:paraId="76200188">
                  <w:pPr>
                    <w:pStyle w:val="45"/>
                    <w:rPr>
                      <w:rFonts w:hint="default"/>
                      <w:b w:val="0"/>
                      <w:bCs w:val="0"/>
                      <w:u w:val="none"/>
                    </w:rPr>
                  </w:pPr>
                  <w:r>
                    <w:rPr>
                      <w:b w:val="0"/>
                      <w:bCs w:val="0"/>
                      <w:u w:val="none"/>
                    </w:rPr>
                    <w:t>3</w:t>
                  </w:r>
                </w:p>
              </w:tc>
              <w:tc>
                <w:tcPr>
                  <w:tcW w:w="633" w:type="dxa"/>
                  <w:tcBorders>
                    <w:tl2br w:val="nil"/>
                    <w:tr2bl w:val="nil"/>
                  </w:tcBorders>
                  <w:shd w:val="clear" w:color="auto" w:fill="auto"/>
                  <w:vAlign w:val="center"/>
                </w:tcPr>
                <w:p w14:paraId="44E7C19B">
                  <w:pPr>
                    <w:pStyle w:val="45"/>
                    <w:rPr>
                      <w:rFonts w:hint="default"/>
                      <w:b w:val="0"/>
                      <w:bCs w:val="0"/>
                      <w:u w:val="none"/>
                    </w:rPr>
                  </w:pPr>
                  <w:r>
                    <w:rPr>
                      <w:b w:val="0"/>
                      <w:bCs w:val="0"/>
                      <w:u w:val="none"/>
                    </w:rPr>
                    <w:t>建设地点</w:t>
                  </w:r>
                </w:p>
              </w:tc>
              <w:tc>
                <w:tcPr>
                  <w:tcW w:w="3017" w:type="dxa"/>
                  <w:tcBorders>
                    <w:tl2br w:val="nil"/>
                    <w:tr2bl w:val="nil"/>
                  </w:tcBorders>
                  <w:shd w:val="clear" w:color="auto" w:fill="auto"/>
                  <w:vAlign w:val="center"/>
                </w:tcPr>
                <w:p w14:paraId="09FB3340">
                  <w:pPr>
                    <w:pStyle w:val="45"/>
                    <w:rPr>
                      <w:rFonts w:hint="default"/>
                      <w:b w:val="0"/>
                      <w:bCs w:val="0"/>
                      <w:u w:val="none"/>
                    </w:rPr>
                  </w:pPr>
                  <w:r>
                    <w:rPr>
                      <w:b w:val="0"/>
                      <w:bCs w:val="0"/>
                      <w:u w:val="none"/>
                    </w:rPr>
                    <w:t>平顶山市叶县平顶山尼龙新材料开发区</w:t>
                  </w:r>
                </w:p>
              </w:tc>
              <w:tc>
                <w:tcPr>
                  <w:tcW w:w="2386" w:type="dxa"/>
                  <w:tcBorders>
                    <w:tl2br w:val="nil"/>
                    <w:tr2bl w:val="nil"/>
                  </w:tcBorders>
                  <w:shd w:val="clear" w:color="auto" w:fill="auto"/>
                  <w:vAlign w:val="center"/>
                </w:tcPr>
                <w:p w14:paraId="04E9CCDC">
                  <w:pPr>
                    <w:pStyle w:val="45"/>
                    <w:rPr>
                      <w:rFonts w:hint="default"/>
                      <w:b w:val="0"/>
                      <w:bCs w:val="0"/>
                      <w:u w:val="none"/>
                    </w:rPr>
                  </w:pPr>
                  <w:r>
                    <w:rPr>
                      <w:b w:val="0"/>
                      <w:bCs w:val="0"/>
                      <w:u w:val="none"/>
                    </w:rPr>
                    <w:t>平顶山市叶县平顶山尼龙新材料开发区</w:t>
                  </w:r>
                </w:p>
              </w:tc>
              <w:tc>
                <w:tcPr>
                  <w:tcW w:w="604" w:type="dxa"/>
                  <w:tcBorders>
                    <w:tl2br w:val="nil"/>
                    <w:tr2bl w:val="nil"/>
                  </w:tcBorders>
                  <w:shd w:val="clear" w:color="auto" w:fill="auto"/>
                  <w:vAlign w:val="center"/>
                </w:tcPr>
                <w:p w14:paraId="1864C6A7">
                  <w:pPr>
                    <w:pStyle w:val="45"/>
                    <w:rPr>
                      <w:rFonts w:hint="default"/>
                      <w:b w:val="0"/>
                      <w:bCs w:val="0"/>
                      <w:u w:val="none"/>
                    </w:rPr>
                  </w:pPr>
                  <w:r>
                    <w:rPr>
                      <w:b w:val="0"/>
                      <w:bCs w:val="0"/>
                      <w:u w:val="none"/>
                    </w:rPr>
                    <w:t>相符</w:t>
                  </w:r>
                </w:p>
              </w:tc>
            </w:tr>
            <w:tr w14:paraId="14C118E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6" w:type="dxa"/>
                  <w:tcBorders>
                    <w:tl2br w:val="nil"/>
                    <w:tr2bl w:val="nil"/>
                  </w:tcBorders>
                  <w:shd w:val="clear" w:color="auto" w:fill="auto"/>
                  <w:vAlign w:val="center"/>
                </w:tcPr>
                <w:p w14:paraId="5885470D">
                  <w:pPr>
                    <w:pStyle w:val="45"/>
                    <w:rPr>
                      <w:rFonts w:hint="default"/>
                      <w:b w:val="0"/>
                      <w:bCs w:val="0"/>
                      <w:u w:val="none"/>
                    </w:rPr>
                  </w:pPr>
                  <w:r>
                    <w:rPr>
                      <w:b w:val="0"/>
                      <w:bCs w:val="0"/>
                      <w:u w:val="none"/>
                    </w:rPr>
                    <w:t>4</w:t>
                  </w:r>
                </w:p>
              </w:tc>
              <w:tc>
                <w:tcPr>
                  <w:tcW w:w="633" w:type="dxa"/>
                  <w:tcBorders>
                    <w:tl2br w:val="nil"/>
                    <w:tr2bl w:val="nil"/>
                  </w:tcBorders>
                  <w:shd w:val="clear" w:color="auto" w:fill="auto"/>
                  <w:vAlign w:val="center"/>
                </w:tcPr>
                <w:p w14:paraId="0C03AEA5">
                  <w:pPr>
                    <w:pStyle w:val="45"/>
                    <w:rPr>
                      <w:rFonts w:hint="default"/>
                      <w:b w:val="0"/>
                      <w:bCs w:val="0"/>
                      <w:u w:val="none"/>
                    </w:rPr>
                  </w:pPr>
                  <w:r>
                    <w:rPr>
                      <w:b w:val="0"/>
                      <w:bCs w:val="0"/>
                      <w:u w:val="none"/>
                    </w:rPr>
                    <w:t>建设性质</w:t>
                  </w:r>
                </w:p>
              </w:tc>
              <w:tc>
                <w:tcPr>
                  <w:tcW w:w="3017" w:type="dxa"/>
                  <w:tcBorders>
                    <w:tl2br w:val="nil"/>
                    <w:tr2bl w:val="nil"/>
                  </w:tcBorders>
                  <w:shd w:val="clear" w:color="auto" w:fill="auto"/>
                  <w:vAlign w:val="center"/>
                </w:tcPr>
                <w:p w14:paraId="044F9928">
                  <w:pPr>
                    <w:pStyle w:val="45"/>
                    <w:rPr>
                      <w:rFonts w:hint="default"/>
                      <w:b w:val="0"/>
                      <w:bCs w:val="0"/>
                      <w:u w:val="none"/>
                    </w:rPr>
                  </w:pPr>
                  <w:r>
                    <w:rPr>
                      <w:b w:val="0"/>
                      <w:bCs w:val="0"/>
                      <w:u w:val="none"/>
                    </w:rPr>
                    <w:t>新建</w:t>
                  </w:r>
                </w:p>
              </w:tc>
              <w:tc>
                <w:tcPr>
                  <w:tcW w:w="2386" w:type="dxa"/>
                  <w:tcBorders>
                    <w:tl2br w:val="nil"/>
                    <w:tr2bl w:val="nil"/>
                  </w:tcBorders>
                  <w:shd w:val="clear" w:color="auto" w:fill="auto"/>
                  <w:vAlign w:val="center"/>
                </w:tcPr>
                <w:p w14:paraId="7CB34342">
                  <w:pPr>
                    <w:pStyle w:val="45"/>
                    <w:rPr>
                      <w:rFonts w:hint="default"/>
                      <w:b w:val="0"/>
                      <w:bCs w:val="0"/>
                      <w:u w:val="none"/>
                    </w:rPr>
                  </w:pPr>
                  <w:r>
                    <w:rPr>
                      <w:b w:val="0"/>
                      <w:bCs w:val="0"/>
                      <w:u w:val="none"/>
                    </w:rPr>
                    <w:t>新建</w:t>
                  </w:r>
                </w:p>
              </w:tc>
              <w:tc>
                <w:tcPr>
                  <w:tcW w:w="604" w:type="dxa"/>
                  <w:tcBorders>
                    <w:tl2br w:val="nil"/>
                    <w:tr2bl w:val="nil"/>
                  </w:tcBorders>
                  <w:shd w:val="clear" w:color="auto" w:fill="auto"/>
                  <w:vAlign w:val="center"/>
                </w:tcPr>
                <w:p w14:paraId="04282FDE">
                  <w:pPr>
                    <w:pStyle w:val="45"/>
                    <w:rPr>
                      <w:rFonts w:hint="default"/>
                      <w:b w:val="0"/>
                      <w:bCs w:val="0"/>
                      <w:u w:val="none"/>
                    </w:rPr>
                  </w:pPr>
                  <w:r>
                    <w:rPr>
                      <w:b w:val="0"/>
                      <w:bCs w:val="0"/>
                      <w:u w:val="none"/>
                    </w:rPr>
                    <w:t>相符</w:t>
                  </w:r>
                </w:p>
              </w:tc>
            </w:tr>
            <w:tr w14:paraId="4A413AF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6" w:type="dxa"/>
                  <w:tcBorders>
                    <w:tl2br w:val="nil"/>
                    <w:tr2bl w:val="nil"/>
                  </w:tcBorders>
                  <w:shd w:val="clear" w:color="auto" w:fill="auto"/>
                  <w:vAlign w:val="center"/>
                </w:tcPr>
                <w:p w14:paraId="4EE58480">
                  <w:pPr>
                    <w:pStyle w:val="45"/>
                    <w:rPr>
                      <w:rFonts w:hint="default"/>
                      <w:b w:val="0"/>
                      <w:bCs w:val="0"/>
                      <w:u w:val="none"/>
                    </w:rPr>
                  </w:pPr>
                  <w:r>
                    <w:rPr>
                      <w:b w:val="0"/>
                      <w:bCs w:val="0"/>
                      <w:u w:val="none"/>
                    </w:rPr>
                    <w:t>5</w:t>
                  </w:r>
                </w:p>
              </w:tc>
              <w:tc>
                <w:tcPr>
                  <w:tcW w:w="633" w:type="dxa"/>
                  <w:tcBorders>
                    <w:tl2br w:val="nil"/>
                    <w:tr2bl w:val="nil"/>
                  </w:tcBorders>
                  <w:shd w:val="clear" w:color="auto" w:fill="auto"/>
                  <w:vAlign w:val="center"/>
                </w:tcPr>
                <w:p w14:paraId="561904E1">
                  <w:pPr>
                    <w:pStyle w:val="45"/>
                    <w:rPr>
                      <w:rFonts w:hint="default"/>
                      <w:b w:val="0"/>
                      <w:bCs w:val="0"/>
                      <w:u w:val="none"/>
                    </w:rPr>
                  </w:pPr>
                  <w:r>
                    <w:rPr>
                      <w:b w:val="0"/>
                      <w:bCs w:val="0"/>
                      <w:u w:val="none"/>
                    </w:rPr>
                    <w:t>总投资</w:t>
                  </w:r>
                </w:p>
              </w:tc>
              <w:tc>
                <w:tcPr>
                  <w:tcW w:w="3017" w:type="dxa"/>
                  <w:tcBorders>
                    <w:tl2br w:val="nil"/>
                    <w:tr2bl w:val="nil"/>
                  </w:tcBorders>
                  <w:shd w:val="clear" w:color="auto" w:fill="auto"/>
                  <w:vAlign w:val="center"/>
                </w:tcPr>
                <w:p w14:paraId="18DD1889">
                  <w:pPr>
                    <w:pStyle w:val="45"/>
                    <w:rPr>
                      <w:rFonts w:hint="default"/>
                      <w:b w:val="0"/>
                      <w:bCs w:val="0"/>
                      <w:u w:val="none"/>
                    </w:rPr>
                  </w:pPr>
                  <w:r>
                    <w:rPr>
                      <w:b w:val="0"/>
                      <w:bCs w:val="0"/>
                      <w:u w:val="none"/>
                    </w:rPr>
                    <w:t>31000万元</w:t>
                  </w:r>
                </w:p>
              </w:tc>
              <w:tc>
                <w:tcPr>
                  <w:tcW w:w="2386" w:type="dxa"/>
                  <w:tcBorders>
                    <w:tl2br w:val="nil"/>
                    <w:tr2bl w:val="nil"/>
                  </w:tcBorders>
                  <w:shd w:val="clear" w:color="auto" w:fill="auto"/>
                  <w:vAlign w:val="center"/>
                </w:tcPr>
                <w:p w14:paraId="75030FB7">
                  <w:pPr>
                    <w:pStyle w:val="45"/>
                    <w:rPr>
                      <w:rFonts w:hint="default"/>
                      <w:b w:val="0"/>
                      <w:bCs w:val="0"/>
                      <w:u w:val="none"/>
                    </w:rPr>
                  </w:pPr>
                  <w:r>
                    <w:rPr>
                      <w:b w:val="0"/>
                      <w:bCs w:val="0"/>
                      <w:u w:val="none"/>
                    </w:rPr>
                    <w:t>31000万元</w:t>
                  </w:r>
                </w:p>
              </w:tc>
              <w:tc>
                <w:tcPr>
                  <w:tcW w:w="604" w:type="dxa"/>
                  <w:tcBorders>
                    <w:tl2br w:val="nil"/>
                    <w:tr2bl w:val="nil"/>
                  </w:tcBorders>
                  <w:shd w:val="clear" w:color="auto" w:fill="auto"/>
                  <w:vAlign w:val="center"/>
                </w:tcPr>
                <w:p w14:paraId="117ED86B">
                  <w:pPr>
                    <w:pStyle w:val="45"/>
                    <w:rPr>
                      <w:rFonts w:hint="default"/>
                      <w:b w:val="0"/>
                      <w:bCs w:val="0"/>
                      <w:u w:val="none"/>
                    </w:rPr>
                  </w:pPr>
                  <w:r>
                    <w:rPr>
                      <w:b w:val="0"/>
                      <w:bCs w:val="0"/>
                      <w:u w:val="none"/>
                    </w:rPr>
                    <w:t>相符</w:t>
                  </w:r>
                </w:p>
              </w:tc>
            </w:tr>
            <w:tr w14:paraId="5418828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96" w:type="dxa"/>
                  <w:tcBorders>
                    <w:tl2br w:val="nil"/>
                    <w:tr2bl w:val="nil"/>
                  </w:tcBorders>
                  <w:shd w:val="clear" w:color="auto" w:fill="auto"/>
                  <w:vAlign w:val="center"/>
                </w:tcPr>
                <w:p w14:paraId="437F00A0">
                  <w:pPr>
                    <w:pStyle w:val="45"/>
                    <w:rPr>
                      <w:rFonts w:hint="default"/>
                      <w:b w:val="0"/>
                      <w:bCs w:val="0"/>
                      <w:u w:val="none"/>
                    </w:rPr>
                  </w:pPr>
                  <w:r>
                    <w:rPr>
                      <w:b w:val="0"/>
                      <w:bCs w:val="0"/>
                      <w:u w:val="none"/>
                    </w:rPr>
                    <w:t>6</w:t>
                  </w:r>
                </w:p>
              </w:tc>
              <w:tc>
                <w:tcPr>
                  <w:tcW w:w="633" w:type="dxa"/>
                  <w:tcBorders>
                    <w:tl2br w:val="nil"/>
                    <w:tr2bl w:val="nil"/>
                  </w:tcBorders>
                  <w:shd w:val="clear" w:color="auto" w:fill="auto"/>
                  <w:vAlign w:val="center"/>
                </w:tcPr>
                <w:p w14:paraId="7A47C221">
                  <w:pPr>
                    <w:pStyle w:val="45"/>
                    <w:rPr>
                      <w:rFonts w:hint="default"/>
                      <w:b w:val="0"/>
                      <w:bCs w:val="0"/>
                      <w:u w:val="none"/>
                    </w:rPr>
                  </w:pPr>
                  <w:r>
                    <w:rPr>
                      <w:b w:val="0"/>
                      <w:bCs w:val="0"/>
                      <w:u w:val="none"/>
                    </w:rPr>
                    <w:t>建设内容</w:t>
                  </w:r>
                </w:p>
              </w:tc>
              <w:tc>
                <w:tcPr>
                  <w:tcW w:w="3017" w:type="dxa"/>
                  <w:tcBorders>
                    <w:tl2br w:val="nil"/>
                    <w:tr2bl w:val="nil"/>
                  </w:tcBorders>
                  <w:shd w:val="clear" w:color="auto" w:fill="auto"/>
                  <w:vAlign w:val="center"/>
                </w:tcPr>
                <w:p w14:paraId="2DEF5B2F">
                  <w:pPr>
                    <w:pStyle w:val="45"/>
                    <w:rPr>
                      <w:rFonts w:hint="default"/>
                      <w:b w:val="0"/>
                      <w:bCs w:val="0"/>
                      <w:u w:val="none"/>
                    </w:rPr>
                  </w:pPr>
                  <w:r>
                    <w:rPr>
                      <w:b w:val="0"/>
                      <w:bCs w:val="0"/>
                      <w:u w:val="none"/>
                    </w:rPr>
                    <w:t>20万吨/年</w:t>
                  </w:r>
                  <w:r>
                    <w:rPr>
                      <w:rFonts w:hint="eastAsia"/>
                      <w:b w:val="0"/>
                      <w:bCs w:val="0"/>
                      <w:u w:val="none"/>
                      <w:lang w:eastAsia="zh-CN"/>
                    </w:rPr>
                    <w:t>二氧化碳</w:t>
                  </w:r>
                  <w:r>
                    <w:rPr>
                      <w:b w:val="0"/>
                      <w:bCs w:val="0"/>
                      <w:u w:val="none"/>
                    </w:rPr>
                    <w:t>，6000吨/年超纯氨，配套工程包括：土地、办公楼、厂房、公用工程、DN800二氧化碳原料气管道、DN40液氨原料气管道、2000立方二氧化碳球罐等</w:t>
                  </w:r>
                </w:p>
              </w:tc>
              <w:tc>
                <w:tcPr>
                  <w:tcW w:w="2386" w:type="dxa"/>
                  <w:tcBorders>
                    <w:tl2br w:val="nil"/>
                    <w:tr2bl w:val="nil"/>
                  </w:tcBorders>
                  <w:shd w:val="clear" w:color="auto" w:fill="auto"/>
                  <w:vAlign w:val="center"/>
                </w:tcPr>
                <w:p w14:paraId="5289E2D4">
                  <w:pPr>
                    <w:pStyle w:val="45"/>
                    <w:rPr>
                      <w:rFonts w:hint="default"/>
                      <w:b w:val="0"/>
                      <w:bCs w:val="0"/>
                      <w:u w:val="none"/>
                    </w:rPr>
                  </w:pPr>
                  <w:r>
                    <w:rPr>
                      <w:b w:val="0"/>
                      <w:bCs w:val="0"/>
                      <w:u w:val="none"/>
                    </w:rPr>
                    <w:t>20万吨/年</w:t>
                  </w:r>
                  <w:r>
                    <w:rPr>
                      <w:rFonts w:hint="eastAsia"/>
                      <w:b w:val="0"/>
                      <w:bCs w:val="0"/>
                      <w:u w:val="none"/>
                      <w:lang w:eastAsia="zh-CN"/>
                    </w:rPr>
                    <w:t>二氧化碳</w:t>
                  </w:r>
                  <w:r>
                    <w:rPr>
                      <w:b w:val="0"/>
                      <w:bCs w:val="0"/>
                      <w:u w:val="none"/>
                    </w:rPr>
                    <w:t>，6000吨/年超纯氨，配套工程包括：土地、办公楼、厂房、公用工程、DN800二氧化碳原料气管道、DN40液氨原料气管道、2000立方二氧化碳球罐等</w:t>
                  </w:r>
                </w:p>
              </w:tc>
              <w:tc>
                <w:tcPr>
                  <w:tcW w:w="604" w:type="dxa"/>
                  <w:tcBorders>
                    <w:tl2br w:val="nil"/>
                    <w:tr2bl w:val="nil"/>
                  </w:tcBorders>
                  <w:shd w:val="clear" w:color="auto" w:fill="auto"/>
                  <w:vAlign w:val="center"/>
                </w:tcPr>
                <w:p w14:paraId="0ECFC72B">
                  <w:pPr>
                    <w:pStyle w:val="45"/>
                    <w:rPr>
                      <w:rFonts w:hint="default"/>
                      <w:b w:val="0"/>
                      <w:bCs w:val="0"/>
                      <w:u w:val="none"/>
                    </w:rPr>
                  </w:pPr>
                  <w:r>
                    <w:rPr>
                      <w:b w:val="0"/>
                      <w:bCs w:val="0"/>
                      <w:u w:val="none"/>
                    </w:rPr>
                    <w:t>相符</w:t>
                  </w:r>
                </w:p>
              </w:tc>
            </w:tr>
          </w:tbl>
          <w:p w14:paraId="4B5460F0">
            <w:pPr>
              <w:pStyle w:val="5"/>
              <w:rPr>
                <w:rFonts w:hint="default"/>
                <w:b w:val="0"/>
                <w:bCs w:val="0"/>
                <w:u w:val="none"/>
              </w:rPr>
            </w:pPr>
            <w:r>
              <w:rPr>
                <w:rFonts w:hint="default"/>
                <w:b w:val="0"/>
                <w:bCs w:val="0"/>
                <w:u w:val="none"/>
              </w:rPr>
              <w:t>综上所述，本次</w:t>
            </w:r>
            <w:r>
              <w:rPr>
                <w:b w:val="0"/>
                <w:bCs w:val="0"/>
                <w:u w:val="none"/>
              </w:rPr>
              <w:t>工程</w:t>
            </w:r>
            <w:r>
              <w:rPr>
                <w:rFonts w:hint="default"/>
                <w:b w:val="0"/>
                <w:bCs w:val="0"/>
                <w:u w:val="none"/>
              </w:rPr>
              <w:t>建设内容与备案内容一致。</w:t>
            </w:r>
          </w:p>
          <w:p w14:paraId="7F17C69A">
            <w:pPr>
              <w:pStyle w:val="4"/>
              <w:numPr>
                <w:ilvl w:val="1"/>
                <w:numId w:val="3"/>
              </w:numPr>
              <w:tabs>
                <w:tab w:val="left" w:pos="0"/>
              </w:tabs>
              <w:rPr>
                <w:b w:val="0"/>
                <w:bCs w:val="0"/>
                <w:u w:val="none"/>
              </w:rPr>
            </w:pPr>
            <w:r>
              <w:rPr>
                <w:rFonts w:hint="eastAsia"/>
                <w:b w:val="0"/>
                <w:bCs w:val="0"/>
                <w:u w:val="none"/>
              </w:rPr>
              <w:t>与《河南省“两高”项目管理目录 （2023 年修订）》相符性分析</w:t>
            </w:r>
          </w:p>
          <w:p w14:paraId="4E2B05F8">
            <w:pPr>
              <w:pStyle w:val="5"/>
              <w:rPr>
                <w:rFonts w:hint="default"/>
                <w:b w:val="0"/>
                <w:bCs w:val="0"/>
                <w:u w:val="none"/>
              </w:rPr>
            </w:pPr>
            <w:r>
              <w:rPr>
                <w:b w:val="0"/>
                <w:bCs w:val="0"/>
                <w:u w:val="none"/>
              </w:rPr>
              <w:t>根据《关于印发河南省“两高”项目管理目录 （2023 年修订）的通知》（豫发改环资〔2023〕38 号），河南省“两高”项目管理目录如下：</w:t>
            </w:r>
          </w:p>
          <w:p w14:paraId="6390D707">
            <w:pPr>
              <w:pStyle w:val="5"/>
              <w:rPr>
                <w:rFonts w:hint="default"/>
                <w:b w:val="0"/>
                <w:bCs w:val="0"/>
                <w:u w:val="none"/>
              </w:rPr>
            </w:pPr>
            <w:r>
              <w:rPr>
                <w:b w:val="0"/>
                <w:bCs w:val="0"/>
                <w:u w:val="none"/>
              </w:rPr>
              <w:t>第一类：煤电、石化、化工、煤化工、钢铁（不含短流程炼钢项目及钢铁压延加工项目）、焦化、建材（非金属矿物制品，不含耐火材料项目）、有色（不含铜、铅锌、铝、硅等有色金属再生冶炼和原生、再生有色金属压延加工项目）等8个行业年综合能耗量5万吨标准煤（等价值）及以上项目。</w:t>
            </w:r>
          </w:p>
          <w:p w14:paraId="469622E0">
            <w:pPr>
              <w:pStyle w:val="5"/>
              <w:rPr>
                <w:rFonts w:hint="default"/>
                <w:b w:val="0"/>
                <w:bCs w:val="0"/>
                <w:u w:val="none"/>
              </w:rPr>
            </w:pPr>
            <w:r>
              <w:rPr>
                <w:b w:val="0"/>
                <w:bCs w:val="0"/>
                <w:u w:val="none"/>
              </w:rPr>
              <w:t>第二类:以下19个细分行业中年综合能耗1-5万吨标准煤（等价值）的项目。</w:t>
            </w:r>
          </w:p>
          <w:p w14:paraId="08C4C478">
            <w:pPr>
              <w:pStyle w:val="5"/>
              <w:rPr>
                <w:rFonts w:hint="eastAsia" w:eastAsia="宋体"/>
                <w:b w:val="0"/>
                <w:bCs w:val="0"/>
                <w:szCs w:val="18"/>
                <w:u w:val="none"/>
                <w:lang w:eastAsia="zh-CN"/>
              </w:rPr>
            </w:pPr>
            <w:r>
              <w:rPr>
                <w:b w:val="0"/>
                <w:bCs w:val="0"/>
                <w:u w:val="none"/>
              </w:rPr>
              <w:t>本项目利用河南神马氢化学有限责任公司净化装置尾气提纯CO</w:t>
            </w:r>
            <w:r>
              <w:rPr>
                <w:b w:val="0"/>
                <w:bCs w:val="0"/>
                <w:u w:val="none"/>
                <w:vertAlign w:val="subscript"/>
              </w:rPr>
              <w:t>2</w:t>
            </w:r>
            <w:r>
              <w:rPr>
                <w:b w:val="0"/>
                <w:bCs w:val="0"/>
                <w:u w:val="none"/>
              </w:rPr>
              <w:t>，属于</w:t>
            </w:r>
            <w:r>
              <w:rPr>
                <w:b w:val="0"/>
                <w:bCs w:val="0"/>
                <w:szCs w:val="18"/>
                <w:u w:val="none"/>
              </w:rPr>
              <w:t>第一类化工项目</w:t>
            </w:r>
            <w:r>
              <w:rPr>
                <w:b w:val="0"/>
                <w:bCs w:val="0"/>
                <w:u w:val="none"/>
              </w:rPr>
              <w:t>，</w:t>
            </w:r>
            <w:r>
              <w:rPr>
                <w:b w:val="0"/>
                <w:bCs w:val="0"/>
                <w:kern w:val="24"/>
                <w:szCs w:val="18"/>
                <w:u w:val="none"/>
              </w:rPr>
              <w:t>本项目</w:t>
            </w:r>
            <w:r>
              <w:rPr>
                <w:b w:val="0"/>
                <w:bCs w:val="0"/>
                <w:u w:val="none"/>
              </w:rPr>
              <w:t>为化学原料和化学制品制造业，根据企业提供平顶山尼龙产业园工业气体岛一期项目</w:t>
            </w:r>
            <w:r>
              <w:rPr>
                <w:rFonts w:hint="eastAsia"/>
                <w:b w:val="0"/>
                <w:bCs w:val="0"/>
                <w:u w:val="none"/>
                <w:lang w:eastAsia="zh-CN"/>
              </w:rPr>
              <w:t>节能评估报告</w:t>
            </w:r>
            <w:r>
              <w:rPr>
                <w:b w:val="0"/>
                <w:bCs w:val="0"/>
                <w:u w:val="none"/>
              </w:rPr>
              <w:t>，</w:t>
            </w:r>
            <w:r>
              <w:rPr>
                <w:rFonts w:hint="eastAsia"/>
                <w:b w:val="0"/>
                <w:bCs w:val="0"/>
                <w:u w:val="none"/>
                <w:lang w:eastAsia="zh-CN"/>
              </w:rPr>
              <w:t>项目</w:t>
            </w:r>
            <w:r>
              <w:rPr>
                <w:b w:val="0"/>
                <w:bCs w:val="0"/>
                <w:u w:val="none"/>
              </w:rPr>
              <w:t>综合能耗等价值为</w:t>
            </w:r>
            <w:r>
              <w:rPr>
                <w:rFonts w:hint="eastAsia"/>
                <w:b w:val="0"/>
                <w:bCs w:val="0"/>
                <w:u w:val="none"/>
                <w:lang w:val="en-US" w:eastAsia="zh-CN"/>
              </w:rPr>
              <w:t>10038.07</w:t>
            </w:r>
            <w:r>
              <w:rPr>
                <w:b w:val="0"/>
                <w:bCs w:val="0"/>
                <w:u w:val="none"/>
              </w:rPr>
              <w:t>吨标准煤</w:t>
            </w:r>
            <w:r>
              <w:rPr>
                <w:b w:val="0"/>
                <w:bCs w:val="0"/>
                <w:szCs w:val="18"/>
                <w:u w:val="none"/>
              </w:rPr>
              <w:t>。对照《河南省“两高”项目管理目录（2023年修订）》，本项目不属于“两高”项目</w:t>
            </w:r>
            <w:r>
              <w:rPr>
                <w:rFonts w:hint="eastAsia"/>
                <w:b w:val="0"/>
                <w:bCs w:val="0"/>
                <w:szCs w:val="18"/>
                <w:u w:val="none"/>
                <w:lang w:eastAsia="zh-CN"/>
              </w:rPr>
              <w:t>。</w:t>
            </w:r>
          </w:p>
          <w:p w14:paraId="7FB1E1F1">
            <w:pPr>
              <w:pStyle w:val="4"/>
              <w:numPr>
                <w:ilvl w:val="1"/>
                <w:numId w:val="3"/>
              </w:numPr>
              <w:tabs>
                <w:tab w:val="left" w:pos="0"/>
              </w:tabs>
              <w:rPr>
                <w:b/>
                <w:bCs/>
                <w:color w:val="auto"/>
                <w:u w:val="single"/>
              </w:rPr>
            </w:pPr>
            <w:r>
              <w:rPr>
                <w:rFonts w:hint="eastAsia"/>
                <w:b/>
                <w:bCs/>
                <w:color w:val="auto"/>
                <w:u w:val="single"/>
              </w:rPr>
              <w:t>与《平顶山市2024 年蓝天保卫战实施方案》（平环委办〔2024〕13号）相符性分析</w:t>
            </w:r>
          </w:p>
          <w:p w14:paraId="6635DD26">
            <w:pPr>
              <w:pStyle w:val="5"/>
              <w:rPr>
                <w:rFonts w:hint="default"/>
                <w:b/>
                <w:bCs/>
                <w:color w:val="auto"/>
                <w:u w:val="single"/>
              </w:rPr>
            </w:pPr>
            <w:r>
              <w:rPr>
                <w:b/>
                <w:bCs/>
                <w:color w:val="auto"/>
                <w:u w:val="single"/>
              </w:rPr>
              <w:t>本项目与《平顶山市202</w:t>
            </w:r>
            <w:r>
              <w:rPr>
                <w:rFonts w:hint="eastAsia"/>
                <w:b/>
                <w:bCs/>
                <w:color w:val="auto"/>
                <w:u w:val="single"/>
                <w:lang w:val="en-US" w:eastAsia="zh-CN"/>
              </w:rPr>
              <w:t>4</w:t>
            </w:r>
            <w:r>
              <w:rPr>
                <w:b/>
                <w:bCs/>
                <w:color w:val="auto"/>
                <w:u w:val="single"/>
              </w:rPr>
              <w:t>年蓝天保卫战实施方案》相符性分析如下。</w:t>
            </w:r>
          </w:p>
          <w:p w14:paraId="3B71EBB9">
            <w:pPr>
              <w:pStyle w:val="44"/>
              <w:numPr>
                <w:ilvl w:val="0"/>
                <w:numId w:val="2"/>
              </w:numPr>
              <w:rPr>
                <w:rFonts w:hint="default"/>
                <w:b/>
                <w:bCs/>
                <w:color w:val="auto"/>
                <w:u w:val="single"/>
              </w:rPr>
            </w:pPr>
            <w:r>
              <w:rPr>
                <w:b/>
                <w:bCs/>
                <w:color w:val="auto"/>
                <w:u w:val="single"/>
              </w:rPr>
              <w:t xml:space="preserve">   与《平顶山市202</w:t>
            </w:r>
            <w:r>
              <w:rPr>
                <w:rFonts w:hint="eastAsia"/>
                <w:b/>
                <w:bCs/>
                <w:color w:val="auto"/>
                <w:u w:val="single"/>
                <w:lang w:val="en-US" w:eastAsia="zh-CN"/>
              </w:rPr>
              <w:t>4</w:t>
            </w:r>
            <w:r>
              <w:rPr>
                <w:b/>
                <w:bCs/>
                <w:color w:val="auto"/>
                <w:u w:val="single"/>
              </w:rPr>
              <w:t>年蓝天保卫战实施方案》相符性分析</w:t>
            </w:r>
          </w:p>
          <w:tbl>
            <w:tblPr>
              <w:tblStyle w:val="27"/>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4248"/>
              <w:gridCol w:w="1397"/>
              <w:gridCol w:w="941"/>
            </w:tblGrid>
            <w:tr w14:paraId="4D746A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336" w:type="pct"/>
                  <w:gridSpan w:val="2"/>
                  <w:tcBorders>
                    <w:tl2br w:val="nil"/>
                    <w:tr2bl w:val="nil"/>
                  </w:tcBorders>
                  <w:vAlign w:val="center"/>
                </w:tcPr>
                <w:p w14:paraId="1C6CE7C9">
                  <w:pPr>
                    <w:widowControl w:val="0"/>
                    <w:jc w:val="center"/>
                    <w:rPr>
                      <w:b/>
                      <w:bCs/>
                      <w:color w:val="auto"/>
                      <w:sz w:val="18"/>
                      <w:szCs w:val="18"/>
                      <w:u w:val="single"/>
                    </w:rPr>
                  </w:pPr>
                  <w:r>
                    <w:rPr>
                      <w:b/>
                      <w:bCs/>
                      <w:color w:val="auto"/>
                      <w:sz w:val="18"/>
                      <w:szCs w:val="18"/>
                      <w:u w:val="single"/>
                    </w:rPr>
                    <w:t>方案内容</w:t>
                  </w:r>
                </w:p>
              </w:tc>
              <w:tc>
                <w:tcPr>
                  <w:tcW w:w="993" w:type="pct"/>
                  <w:tcBorders>
                    <w:tl2br w:val="nil"/>
                    <w:tr2bl w:val="nil"/>
                  </w:tcBorders>
                  <w:vAlign w:val="center"/>
                </w:tcPr>
                <w:p w14:paraId="1904B9C0">
                  <w:pPr>
                    <w:widowControl w:val="0"/>
                    <w:jc w:val="center"/>
                    <w:rPr>
                      <w:b/>
                      <w:bCs/>
                      <w:color w:val="auto"/>
                      <w:sz w:val="18"/>
                      <w:szCs w:val="18"/>
                      <w:u w:val="single"/>
                    </w:rPr>
                  </w:pPr>
                  <w:r>
                    <w:rPr>
                      <w:b/>
                      <w:bCs/>
                      <w:color w:val="auto"/>
                      <w:sz w:val="18"/>
                      <w:szCs w:val="18"/>
                      <w:u w:val="single"/>
                    </w:rPr>
                    <w:t>本项目情况</w:t>
                  </w:r>
                </w:p>
              </w:tc>
              <w:tc>
                <w:tcPr>
                  <w:tcW w:w="669" w:type="pct"/>
                  <w:tcBorders>
                    <w:tl2br w:val="nil"/>
                    <w:tr2bl w:val="nil"/>
                  </w:tcBorders>
                  <w:vAlign w:val="center"/>
                </w:tcPr>
                <w:p w14:paraId="6556C946">
                  <w:pPr>
                    <w:widowControl w:val="0"/>
                    <w:jc w:val="center"/>
                    <w:rPr>
                      <w:b/>
                      <w:bCs/>
                      <w:color w:val="auto"/>
                      <w:sz w:val="18"/>
                      <w:szCs w:val="18"/>
                      <w:u w:val="single"/>
                    </w:rPr>
                  </w:pPr>
                  <w:r>
                    <w:rPr>
                      <w:b/>
                      <w:bCs/>
                      <w:color w:val="auto"/>
                      <w:sz w:val="18"/>
                      <w:szCs w:val="18"/>
                      <w:u w:val="single"/>
                    </w:rPr>
                    <w:t>相符性</w:t>
                  </w:r>
                </w:p>
              </w:tc>
            </w:tr>
            <w:tr w14:paraId="4B3E2F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7" w:type="pct"/>
                  <w:vMerge w:val="restart"/>
                  <w:tcBorders>
                    <w:tl2br w:val="nil"/>
                    <w:tr2bl w:val="nil"/>
                  </w:tcBorders>
                  <w:vAlign w:val="center"/>
                </w:tcPr>
                <w:p w14:paraId="06157CF2">
                  <w:pPr>
                    <w:widowControl w:val="0"/>
                    <w:jc w:val="center"/>
                    <w:rPr>
                      <w:b/>
                      <w:bCs/>
                      <w:color w:val="auto"/>
                      <w:sz w:val="18"/>
                      <w:szCs w:val="18"/>
                      <w:u w:val="single"/>
                    </w:rPr>
                  </w:pPr>
                  <w:r>
                    <w:rPr>
                      <w:b/>
                      <w:bCs/>
                      <w:color w:val="auto"/>
                      <w:sz w:val="18"/>
                      <w:szCs w:val="18"/>
                      <w:u w:val="single"/>
                    </w:rPr>
                    <w:t>主要任务</w:t>
                  </w:r>
                </w:p>
              </w:tc>
              <w:tc>
                <w:tcPr>
                  <w:tcW w:w="3019" w:type="pct"/>
                  <w:tcBorders>
                    <w:tl2br w:val="nil"/>
                    <w:tr2bl w:val="nil"/>
                  </w:tcBorders>
                  <w:vAlign w:val="center"/>
                </w:tcPr>
                <w:p w14:paraId="01670BF0">
                  <w:pPr>
                    <w:pStyle w:val="71"/>
                    <w:widowControl w:val="0"/>
                    <w:rPr>
                      <w:rFonts w:ascii="Times New Roman" w:hAnsi="Times New Roman" w:cs="Times New Roman"/>
                      <w:b/>
                      <w:bCs/>
                      <w:color w:val="auto"/>
                      <w:sz w:val="18"/>
                      <w:szCs w:val="18"/>
                      <w:u w:val="single"/>
                      <w:lang w:eastAsia="zh-CN"/>
                    </w:rPr>
                  </w:pPr>
                  <w:r>
                    <w:rPr>
                      <w:rFonts w:ascii="Times New Roman" w:hAnsi="Times New Roman" w:cs="Times New Roman"/>
                      <w:b/>
                      <w:bCs/>
                      <w:color w:val="auto"/>
                      <w:spacing w:val="2"/>
                      <w:sz w:val="18"/>
                      <w:szCs w:val="18"/>
                      <w:u w:val="single"/>
                      <w:lang w:eastAsia="zh-CN"/>
                    </w:rPr>
                    <w:t>12.实施挥发性有机物综合治理。按照“可替尽替、应代尽代”的原则，加快推进低VOCs含量原辅材料替代；加强VOCs全流程综合治理，加大蓄热式氧化燃烧(RTO)、蓄热式催化燃烧(RCO)、催化燃烧(CO)、沸石转轮吸附浓缩等高效治理技术推广力度；对企业含VOCs有机废水储罐、装置区集水井(池)实施有机废气收集密闭化改造；对企业活性炭装填量、更换周期实施编码登记，实现从购买、更换到处置的全过程可回溯管理；对污水处理设施排放的高浓度有机废气实施单独收集处理；具备改造条件的挥发性有机液体储罐改用低泄漏的储罐呼吸阀、紧急泄压阀，汽车罐车改用自封式快速接头；加强火炬燃烧装置监管，火炬系统、煤气放散管安装温度监控、废气流量计、助燃气体流量计，相关数据接入DCS 系统；按规定开展VOCs 泄漏检测与修复，化工行业企业集中的重点工业园区建立统一的泄漏检测与修复信息管理平台。2024年5月底前，各县(市、区)排查建立挥发性有机物综合治理清单台账；2024年年底前，完成治理任务，全面提升企业VOCs治理水平。</w:t>
                  </w:r>
                </w:p>
              </w:tc>
              <w:tc>
                <w:tcPr>
                  <w:tcW w:w="993" w:type="pct"/>
                  <w:tcBorders>
                    <w:tl2br w:val="nil"/>
                    <w:tr2bl w:val="nil"/>
                  </w:tcBorders>
                  <w:vAlign w:val="center"/>
                </w:tcPr>
                <w:p w14:paraId="69419641">
                  <w:pPr>
                    <w:widowControl w:val="0"/>
                    <w:rPr>
                      <w:b/>
                      <w:bCs/>
                      <w:color w:val="auto"/>
                      <w:sz w:val="18"/>
                      <w:szCs w:val="18"/>
                      <w:u w:val="single"/>
                    </w:rPr>
                  </w:pPr>
                  <w:r>
                    <w:rPr>
                      <w:b/>
                      <w:bCs/>
                      <w:color w:val="auto"/>
                      <w:sz w:val="18"/>
                      <w:szCs w:val="18"/>
                      <w:u w:val="single"/>
                    </w:rPr>
                    <w:t>本项目生产过程中</w:t>
                  </w:r>
                  <w:r>
                    <w:rPr>
                      <w:rFonts w:hint="eastAsia"/>
                      <w:b/>
                      <w:bCs/>
                      <w:color w:val="auto"/>
                      <w:sz w:val="18"/>
                      <w:szCs w:val="18"/>
                      <w:u w:val="single"/>
                    </w:rPr>
                    <w:t>均通过密闭管道输送，原料气中有机废气含量极少，通过采用密闭、自动的输送系统，可以最大限度控制有机废气排放量</w:t>
                  </w:r>
                </w:p>
              </w:tc>
              <w:tc>
                <w:tcPr>
                  <w:tcW w:w="669" w:type="pct"/>
                  <w:tcBorders>
                    <w:tl2br w:val="nil"/>
                    <w:tr2bl w:val="nil"/>
                  </w:tcBorders>
                  <w:vAlign w:val="center"/>
                </w:tcPr>
                <w:p w14:paraId="142E31EE">
                  <w:pPr>
                    <w:widowControl w:val="0"/>
                    <w:jc w:val="center"/>
                    <w:rPr>
                      <w:b/>
                      <w:bCs/>
                      <w:color w:val="auto"/>
                      <w:sz w:val="18"/>
                      <w:szCs w:val="18"/>
                      <w:u w:val="single"/>
                    </w:rPr>
                  </w:pPr>
                  <w:r>
                    <w:rPr>
                      <w:b/>
                      <w:bCs/>
                      <w:color w:val="auto"/>
                      <w:sz w:val="18"/>
                      <w:szCs w:val="18"/>
                      <w:u w:val="single"/>
                    </w:rPr>
                    <w:t>相符</w:t>
                  </w:r>
                </w:p>
              </w:tc>
            </w:tr>
            <w:tr w14:paraId="22F097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7" w:type="pct"/>
                  <w:vMerge w:val="continue"/>
                  <w:tcBorders>
                    <w:tl2br w:val="nil"/>
                    <w:tr2bl w:val="nil"/>
                  </w:tcBorders>
                  <w:vAlign w:val="center"/>
                </w:tcPr>
                <w:p w14:paraId="2BA3039E">
                  <w:pPr>
                    <w:widowControl w:val="0"/>
                    <w:jc w:val="center"/>
                    <w:rPr>
                      <w:b/>
                      <w:bCs/>
                      <w:color w:val="auto"/>
                      <w:sz w:val="18"/>
                      <w:szCs w:val="18"/>
                      <w:u w:val="single"/>
                    </w:rPr>
                  </w:pPr>
                </w:p>
              </w:tc>
              <w:tc>
                <w:tcPr>
                  <w:tcW w:w="3019" w:type="pct"/>
                  <w:tcBorders>
                    <w:tl2br w:val="nil"/>
                    <w:tr2bl w:val="nil"/>
                  </w:tcBorders>
                  <w:vAlign w:val="center"/>
                </w:tcPr>
                <w:p w14:paraId="27CE9D31">
                  <w:pPr>
                    <w:pStyle w:val="71"/>
                    <w:widowControl w:val="0"/>
                    <w:rPr>
                      <w:rFonts w:ascii="Times New Roman" w:hAnsi="Times New Roman" w:cs="Times New Roman"/>
                      <w:b/>
                      <w:bCs/>
                      <w:color w:val="auto"/>
                      <w:sz w:val="18"/>
                      <w:szCs w:val="18"/>
                      <w:u w:val="single"/>
                    </w:rPr>
                  </w:pPr>
                  <w:r>
                    <w:rPr>
                      <w:rFonts w:ascii="Times New Roman" w:hAnsi="Times New Roman" w:cs="Times New Roman"/>
                      <w:b/>
                      <w:bCs/>
                      <w:color w:val="auto"/>
                      <w:spacing w:val="2"/>
                      <w:sz w:val="18"/>
                      <w:szCs w:val="18"/>
                      <w:u w:val="single"/>
                      <w:lang w:eastAsia="zh-CN"/>
                    </w:rPr>
                    <w:t>18.深化扬尘污染精细化管控。聚焦建筑施工、城市道路、车辆运输、线性工程、矿山开采和裸露地面等重点领域，细化完善全市重点扬尘污染源管控清单，建立施工防尘措施检查制度，按照“谁组织、谁监管”原则，明确监管责任，严格落实扬尘治理“两个标准”要求，加强施工围挡、车辆冲洗、湿法作业、密闭运输、地面硬化、物料覆盖等管理，提升扬尘污染精细化管理水平。按照省要求推进扬尘污染防治智慧化监控平台互联互通，推动5000平方米及以上建筑工地安装在线监测和视频监控设施,并接入当地监管平台。市政道路、水务等长距离线性工程实行分段施工。工程项目将防治扬尘污染费用纳入工程造价，作为专项费用用于扬尘治理。强化道路扬尘综合治理，开展渣土、物料等运输车辆规范化整治，依法查处遗撒滴漏或扬散物料、不按照规定路线、时段行驶等违法行为，城市建成区道路机械化清扫率达到80%以上。逐月开展降尘量监测，实施公开排名通报。</w:t>
                  </w:r>
                </w:p>
              </w:tc>
              <w:tc>
                <w:tcPr>
                  <w:tcW w:w="993" w:type="pct"/>
                  <w:tcBorders>
                    <w:tl2br w:val="nil"/>
                    <w:tr2bl w:val="nil"/>
                  </w:tcBorders>
                  <w:vAlign w:val="center"/>
                </w:tcPr>
                <w:p w14:paraId="3C711DA5">
                  <w:pPr>
                    <w:widowControl w:val="0"/>
                    <w:rPr>
                      <w:b/>
                      <w:bCs/>
                      <w:color w:val="auto"/>
                      <w:sz w:val="18"/>
                      <w:szCs w:val="18"/>
                      <w:u w:val="single"/>
                    </w:rPr>
                  </w:pPr>
                  <w:r>
                    <w:rPr>
                      <w:b/>
                      <w:bCs/>
                      <w:color w:val="auto"/>
                      <w:sz w:val="18"/>
                      <w:szCs w:val="18"/>
                      <w:u w:val="single"/>
                    </w:rPr>
                    <w:t>本项目位于平顶山尼龙新材料开发区内，</w:t>
                  </w:r>
                  <w:r>
                    <w:rPr>
                      <w:rFonts w:hint="eastAsia"/>
                      <w:b/>
                      <w:bCs/>
                      <w:color w:val="auto"/>
                      <w:sz w:val="18"/>
                      <w:szCs w:val="18"/>
                      <w:u w:val="single"/>
                    </w:rPr>
                    <w:t>项目严格</w:t>
                  </w:r>
                  <w:r>
                    <w:rPr>
                      <w:b/>
                      <w:bCs/>
                      <w:color w:val="auto"/>
                      <w:sz w:val="18"/>
                      <w:szCs w:val="18"/>
                      <w:u w:val="single"/>
                    </w:rPr>
                    <w:t>落实扬尘治理“两个标准”要求，施工过程中</w:t>
                  </w:r>
                  <w:r>
                    <w:rPr>
                      <w:rFonts w:hint="eastAsia"/>
                      <w:b/>
                      <w:bCs/>
                      <w:color w:val="auto"/>
                      <w:sz w:val="18"/>
                      <w:szCs w:val="18"/>
                      <w:u w:val="single"/>
                    </w:rPr>
                    <w:t>落实</w:t>
                  </w:r>
                  <w:r>
                    <w:rPr>
                      <w:b/>
                      <w:bCs/>
                      <w:color w:val="auto"/>
                      <w:sz w:val="18"/>
                      <w:szCs w:val="18"/>
                      <w:u w:val="single"/>
                    </w:rPr>
                    <w:t>“六个百分之百”，</w:t>
                  </w:r>
                  <w:r>
                    <w:rPr>
                      <w:rFonts w:hint="eastAsia"/>
                      <w:b/>
                      <w:bCs/>
                      <w:color w:val="auto"/>
                      <w:sz w:val="18"/>
                      <w:szCs w:val="18"/>
                      <w:u w:val="single"/>
                    </w:rPr>
                    <w:t>要求，做好施工场地扬尘治理。</w:t>
                  </w:r>
                </w:p>
              </w:tc>
              <w:tc>
                <w:tcPr>
                  <w:tcW w:w="669" w:type="pct"/>
                  <w:tcBorders>
                    <w:tl2br w:val="nil"/>
                    <w:tr2bl w:val="nil"/>
                  </w:tcBorders>
                  <w:vAlign w:val="center"/>
                </w:tcPr>
                <w:p w14:paraId="5A8B094C">
                  <w:pPr>
                    <w:widowControl w:val="0"/>
                    <w:jc w:val="center"/>
                    <w:rPr>
                      <w:b/>
                      <w:bCs/>
                      <w:color w:val="auto"/>
                      <w:sz w:val="18"/>
                      <w:szCs w:val="18"/>
                      <w:u w:val="single"/>
                    </w:rPr>
                  </w:pPr>
                  <w:r>
                    <w:rPr>
                      <w:b/>
                      <w:bCs/>
                      <w:color w:val="auto"/>
                      <w:sz w:val="18"/>
                      <w:szCs w:val="18"/>
                      <w:u w:val="single"/>
                    </w:rPr>
                    <w:t>相符</w:t>
                  </w:r>
                </w:p>
              </w:tc>
            </w:tr>
          </w:tbl>
          <w:p w14:paraId="03024256">
            <w:pPr>
              <w:pStyle w:val="5"/>
              <w:ind w:firstLine="422"/>
              <w:rPr>
                <w:b/>
                <w:bCs/>
                <w:color w:val="auto"/>
                <w:u w:val="single"/>
              </w:rPr>
            </w:pPr>
            <w:r>
              <w:rPr>
                <w:b/>
                <w:bCs/>
                <w:color w:val="auto"/>
                <w:u w:val="single"/>
              </w:rPr>
              <w:t>由上表可知，本项目建设符合《平顶山市2024年蓝天保卫战实施方案》（平环委办〔2024〕13号）。</w:t>
            </w:r>
          </w:p>
          <w:p w14:paraId="0CC49782">
            <w:pPr>
              <w:pStyle w:val="4"/>
              <w:numPr>
                <w:ilvl w:val="1"/>
                <w:numId w:val="3"/>
              </w:numPr>
              <w:tabs>
                <w:tab w:val="left" w:pos="0"/>
              </w:tabs>
              <w:rPr>
                <w:b/>
                <w:bCs/>
                <w:color w:val="auto"/>
                <w:u w:val="single"/>
              </w:rPr>
            </w:pPr>
            <w:r>
              <w:rPr>
                <w:rFonts w:hint="eastAsia"/>
                <w:b/>
                <w:bCs/>
                <w:color w:val="auto"/>
                <w:u w:val="single"/>
              </w:rPr>
              <w:t>与《平顶山市2024 年</w:t>
            </w:r>
            <w:r>
              <w:rPr>
                <w:rFonts w:hint="eastAsia"/>
                <w:b/>
                <w:bCs/>
                <w:color w:val="auto"/>
                <w:u w:val="single"/>
                <w:lang w:eastAsia="zh-CN"/>
              </w:rPr>
              <w:t>碧水</w:t>
            </w:r>
            <w:r>
              <w:rPr>
                <w:rFonts w:hint="eastAsia"/>
                <w:b/>
                <w:bCs/>
                <w:color w:val="auto"/>
                <w:u w:val="single"/>
              </w:rPr>
              <w:t>保卫战实施方案》（平环委办〔2024〕1</w:t>
            </w:r>
            <w:r>
              <w:rPr>
                <w:rFonts w:hint="eastAsia"/>
                <w:b/>
                <w:bCs/>
                <w:color w:val="auto"/>
                <w:u w:val="single"/>
                <w:lang w:val="en-US" w:eastAsia="zh-CN"/>
              </w:rPr>
              <w:t>4</w:t>
            </w:r>
            <w:r>
              <w:rPr>
                <w:rFonts w:hint="eastAsia"/>
                <w:b/>
                <w:bCs/>
                <w:color w:val="auto"/>
                <w:u w:val="single"/>
              </w:rPr>
              <w:t>号）相符性分析</w:t>
            </w:r>
          </w:p>
          <w:p w14:paraId="23C4E8BC">
            <w:pPr>
              <w:pStyle w:val="5"/>
              <w:rPr>
                <w:rFonts w:hint="default"/>
                <w:b/>
                <w:bCs/>
                <w:color w:val="auto"/>
                <w:u w:val="single"/>
              </w:rPr>
            </w:pPr>
            <w:r>
              <w:rPr>
                <w:b/>
                <w:bCs/>
                <w:color w:val="auto"/>
                <w:u w:val="single"/>
              </w:rPr>
              <w:t>本项目与《平顶山市202</w:t>
            </w:r>
            <w:r>
              <w:rPr>
                <w:rFonts w:hint="eastAsia"/>
                <w:b/>
                <w:bCs/>
                <w:color w:val="auto"/>
                <w:u w:val="single"/>
                <w:lang w:val="en-US" w:eastAsia="zh-CN"/>
              </w:rPr>
              <w:t>4</w:t>
            </w:r>
            <w:r>
              <w:rPr>
                <w:b/>
                <w:bCs/>
                <w:color w:val="auto"/>
                <w:u w:val="single"/>
              </w:rPr>
              <w:t>年</w:t>
            </w:r>
            <w:r>
              <w:rPr>
                <w:rFonts w:hint="eastAsia"/>
                <w:b/>
                <w:bCs/>
                <w:color w:val="auto"/>
                <w:u w:val="single"/>
                <w:lang w:eastAsia="zh-CN"/>
              </w:rPr>
              <w:t>碧水</w:t>
            </w:r>
            <w:r>
              <w:rPr>
                <w:b/>
                <w:bCs/>
                <w:color w:val="auto"/>
                <w:u w:val="single"/>
              </w:rPr>
              <w:t>保卫战实施方案》相符性分析如下。</w:t>
            </w:r>
          </w:p>
          <w:p w14:paraId="6ABF1765">
            <w:pPr>
              <w:pStyle w:val="44"/>
              <w:numPr>
                <w:ilvl w:val="0"/>
                <w:numId w:val="2"/>
              </w:numPr>
              <w:rPr>
                <w:rFonts w:hint="default"/>
                <w:b/>
                <w:bCs/>
                <w:color w:val="auto"/>
                <w:u w:val="single"/>
              </w:rPr>
            </w:pPr>
            <w:r>
              <w:rPr>
                <w:b/>
                <w:bCs/>
                <w:color w:val="auto"/>
                <w:u w:val="single"/>
              </w:rPr>
              <w:t xml:space="preserve">   与《平顶山市202</w:t>
            </w:r>
            <w:r>
              <w:rPr>
                <w:rFonts w:hint="eastAsia"/>
                <w:b/>
                <w:bCs/>
                <w:color w:val="auto"/>
                <w:u w:val="single"/>
                <w:lang w:val="en-US" w:eastAsia="zh-CN"/>
              </w:rPr>
              <w:t>4</w:t>
            </w:r>
            <w:r>
              <w:rPr>
                <w:b/>
                <w:bCs/>
                <w:color w:val="auto"/>
                <w:u w:val="single"/>
              </w:rPr>
              <w:t>年</w:t>
            </w:r>
            <w:r>
              <w:rPr>
                <w:rFonts w:hint="eastAsia"/>
                <w:b/>
                <w:bCs/>
                <w:color w:val="auto"/>
                <w:u w:val="single"/>
                <w:lang w:eastAsia="zh-CN"/>
              </w:rPr>
              <w:t>碧水</w:t>
            </w:r>
            <w:r>
              <w:rPr>
                <w:b/>
                <w:bCs/>
                <w:color w:val="auto"/>
                <w:u w:val="single"/>
              </w:rPr>
              <w:t>保卫战实施方案》相符性分析</w:t>
            </w:r>
          </w:p>
          <w:tbl>
            <w:tblPr>
              <w:tblStyle w:val="27"/>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75"/>
              <w:gridCol w:w="1916"/>
              <w:gridCol w:w="941"/>
            </w:tblGrid>
            <w:tr w14:paraId="392BDD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97" w:hRule="atLeast"/>
                <w:tblHeader/>
                <w:jc w:val="center"/>
              </w:trPr>
              <w:tc>
                <w:tcPr>
                  <w:tcW w:w="2968" w:type="pct"/>
                  <w:tcBorders>
                    <w:tl2br w:val="nil"/>
                    <w:tr2bl w:val="nil"/>
                  </w:tcBorders>
                  <w:vAlign w:val="center"/>
                </w:tcPr>
                <w:p w14:paraId="608452F6">
                  <w:pPr>
                    <w:widowControl w:val="0"/>
                    <w:jc w:val="center"/>
                    <w:rPr>
                      <w:rFonts w:hint="default" w:ascii="Times New Roman" w:hAnsi="Times New Roman" w:cs="Times New Roman"/>
                      <w:b/>
                      <w:bCs/>
                      <w:color w:val="auto"/>
                      <w:sz w:val="18"/>
                      <w:szCs w:val="18"/>
                      <w:u w:val="single"/>
                    </w:rPr>
                  </w:pPr>
                  <w:r>
                    <w:rPr>
                      <w:rFonts w:hint="default" w:ascii="Times New Roman" w:hAnsi="Times New Roman" w:cs="Times New Roman"/>
                      <w:b/>
                      <w:bCs/>
                      <w:color w:val="auto"/>
                      <w:sz w:val="18"/>
                      <w:szCs w:val="18"/>
                      <w:u w:val="single"/>
                    </w:rPr>
                    <w:t>方案内容</w:t>
                  </w:r>
                </w:p>
              </w:tc>
              <w:tc>
                <w:tcPr>
                  <w:tcW w:w="1362" w:type="pct"/>
                  <w:tcBorders>
                    <w:tl2br w:val="nil"/>
                    <w:tr2bl w:val="nil"/>
                  </w:tcBorders>
                  <w:vAlign w:val="center"/>
                </w:tcPr>
                <w:p w14:paraId="05E27536">
                  <w:pPr>
                    <w:widowControl w:val="0"/>
                    <w:jc w:val="center"/>
                    <w:rPr>
                      <w:rFonts w:hint="default" w:ascii="Times New Roman" w:hAnsi="Times New Roman" w:cs="Times New Roman"/>
                      <w:b/>
                      <w:bCs/>
                      <w:color w:val="auto"/>
                      <w:sz w:val="18"/>
                      <w:szCs w:val="18"/>
                      <w:u w:val="single"/>
                    </w:rPr>
                  </w:pPr>
                  <w:r>
                    <w:rPr>
                      <w:rFonts w:hint="default" w:ascii="Times New Roman" w:hAnsi="Times New Roman" w:cs="Times New Roman"/>
                      <w:b/>
                      <w:bCs/>
                      <w:color w:val="auto"/>
                      <w:sz w:val="18"/>
                      <w:szCs w:val="18"/>
                      <w:u w:val="single"/>
                    </w:rPr>
                    <w:t>本项目情况</w:t>
                  </w:r>
                </w:p>
              </w:tc>
              <w:tc>
                <w:tcPr>
                  <w:tcW w:w="669" w:type="pct"/>
                  <w:tcBorders>
                    <w:tl2br w:val="nil"/>
                    <w:tr2bl w:val="nil"/>
                  </w:tcBorders>
                  <w:vAlign w:val="center"/>
                </w:tcPr>
                <w:p w14:paraId="004961DA">
                  <w:pPr>
                    <w:widowControl w:val="0"/>
                    <w:jc w:val="center"/>
                    <w:rPr>
                      <w:rFonts w:hint="default" w:ascii="Times New Roman" w:hAnsi="Times New Roman" w:cs="Times New Roman"/>
                      <w:b/>
                      <w:bCs/>
                      <w:color w:val="auto"/>
                      <w:sz w:val="18"/>
                      <w:szCs w:val="18"/>
                      <w:u w:val="single"/>
                    </w:rPr>
                  </w:pPr>
                  <w:r>
                    <w:rPr>
                      <w:rFonts w:hint="default" w:ascii="Times New Roman" w:hAnsi="Times New Roman" w:cs="Times New Roman"/>
                      <w:b/>
                      <w:bCs/>
                      <w:color w:val="auto"/>
                      <w:sz w:val="18"/>
                      <w:szCs w:val="18"/>
                      <w:u w:val="single"/>
                    </w:rPr>
                    <w:t>相符性</w:t>
                  </w:r>
                </w:p>
              </w:tc>
            </w:tr>
            <w:tr w14:paraId="18508A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68" w:type="pct"/>
                  <w:tcBorders>
                    <w:tl2br w:val="nil"/>
                    <w:tr2bl w:val="nil"/>
                  </w:tcBorders>
                  <w:vAlign w:val="center"/>
                </w:tcPr>
                <w:p w14:paraId="11404015">
                  <w:pPr>
                    <w:pStyle w:val="71"/>
                    <w:widowControl w:val="0"/>
                    <w:rPr>
                      <w:rFonts w:hint="default" w:ascii="Times New Roman" w:hAnsi="Times New Roman" w:cs="Times New Roman"/>
                      <w:b/>
                      <w:bCs/>
                      <w:color w:val="auto"/>
                      <w:sz w:val="18"/>
                      <w:szCs w:val="18"/>
                      <w:u w:val="single"/>
                      <w:lang w:eastAsia="zh-CN"/>
                    </w:rPr>
                  </w:pPr>
                  <w:r>
                    <w:rPr>
                      <w:rFonts w:hint="default" w:ascii="Times New Roman" w:hAnsi="Times New Roman" w:cs="Times New Roman"/>
                      <w:b/>
                      <w:bCs/>
                      <w:color w:val="auto"/>
                      <w:sz w:val="18"/>
                      <w:szCs w:val="18"/>
                      <w:u w:val="single"/>
                    </w:rPr>
                    <w:t>24. 持续开展工业废水循环利用工程。推动工业企业、园区废水循环利用，实现串联用水、分质用水、一水多用和梯级利用，提升企业水重复利用率。推动有条件的工业企业、园区进一步完善再生水管网，将处理达标后的再生水回用于生产过程，减少企业新水取用量，形成可复制推广的产城融合废水高效循环利用新模式。重点围绕火电、石化、钢铁、有色、造纸、印染等高耗水行业，组织开展企业内部废水利用，创建一批工业废水循环利用试点企业、园区。</w:t>
                  </w:r>
                </w:p>
              </w:tc>
              <w:tc>
                <w:tcPr>
                  <w:tcW w:w="1362" w:type="pct"/>
                  <w:tcBorders>
                    <w:tl2br w:val="nil"/>
                    <w:tr2bl w:val="nil"/>
                  </w:tcBorders>
                  <w:vAlign w:val="center"/>
                </w:tcPr>
                <w:p w14:paraId="55DFB727">
                  <w:pPr>
                    <w:widowControl w:val="0"/>
                    <w:rPr>
                      <w:rFonts w:hint="eastAsia" w:ascii="Times New Roman" w:hAnsi="Times New Roman" w:eastAsia="宋体" w:cs="Times New Roman"/>
                      <w:b/>
                      <w:bCs/>
                      <w:color w:val="auto"/>
                      <w:sz w:val="18"/>
                      <w:szCs w:val="18"/>
                      <w:u w:val="single"/>
                      <w:lang w:eastAsia="zh-CN"/>
                    </w:rPr>
                  </w:pPr>
                  <w:r>
                    <w:rPr>
                      <w:rFonts w:hint="default" w:ascii="Times New Roman" w:hAnsi="Times New Roman" w:cs="Times New Roman"/>
                      <w:b/>
                      <w:bCs/>
                      <w:color w:val="auto"/>
                      <w:sz w:val="18"/>
                      <w:szCs w:val="18"/>
                      <w:u w:val="single"/>
                    </w:rPr>
                    <w:t>本项目</w:t>
                  </w:r>
                  <w:r>
                    <w:rPr>
                      <w:rFonts w:hint="eastAsia" w:ascii="Times New Roman" w:hAnsi="Times New Roman" w:cs="Times New Roman"/>
                      <w:b/>
                      <w:bCs/>
                      <w:color w:val="auto"/>
                      <w:sz w:val="18"/>
                      <w:szCs w:val="18"/>
                      <w:u w:val="single"/>
                      <w:lang w:eastAsia="zh-CN"/>
                    </w:rPr>
                    <w:t>用水主要包括制氨水系统工艺用水、冷却循环水和生活用水，项目实施节水措施，充分利用循环水，提升企业水重复利用率。</w:t>
                  </w:r>
                </w:p>
              </w:tc>
              <w:tc>
                <w:tcPr>
                  <w:tcW w:w="669" w:type="pct"/>
                  <w:tcBorders>
                    <w:tl2br w:val="nil"/>
                    <w:tr2bl w:val="nil"/>
                  </w:tcBorders>
                  <w:vAlign w:val="center"/>
                </w:tcPr>
                <w:p w14:paraId="376E0DD5">
                  <w:pPr>
                    <w:widowControl w:val="0"/>
                    <w:jc w:val="center"/>
                    <w:rPr>
                      <w:rFonts w:hint="default" w:ascii="Times New Roman" w:hAnsi="Times New Roman" w:cs="Times New Roman"/>
                      <w:b/>
                      <w:bCs/>
                      <w:color w:val="auto"/>
                      <w:sz w:val="18"/>
                      <w:szCs w:val="18"/>
                      <w:u w:val="single"/>
                    </w:rPr>
                  </w:pPr>
                  <w:r>
                    <w:rPr>
                      <w:rFonts w:hint="default" w:ascii="Times New Roman" w:hAnsi="Times New Roman" w:cs="Times New Roman"/>
                      <w:b/>
                      <w:bCs/>
                      <w:color w:val="auto"/>
                      <w:sz w:val="18"/>
                      <w:szCs w:val="18"/>
                      <w:u w:val="single"/>
                    </w:rPr>
                    <w:t>相符</w:t>
                  </w:r>
                </w:p>
              </w:tc>
            </w:tr>
          </w:tbl>
          <w:p w14:paraId="38645BA3">
            <w:pPr>
              <w:pStyle w:val="5"/>
              <w:ind w:firstLine="422"/>
              <w:rPr>
                <w:rFonts w:hint="default"/>
                <w:b/>
                <w:bCs/>
                <w:color w:val="auto"/>
                <w:u w:val="single"/>
              </w:rPr>
            </w:pPr>
            <w:r>
              <w:rPr>
                <w:b/>
                <w:bCs/>
                <w:color w:val="auto"/>
                <w:u w:val="single"/>
              </w:rPr>
              <w:t>由上表可知，本项目建设符合《平顶山市2024年</w:t>
            </w:r>
            <w:r>
              <w:rPr>
                <w:rFonts w:hint="eastAsia"/>
                <w:b/>
                <w:bCs/>
                <w:color w:val="auto"/>
                <w:u w:val="single"/>
                <w:lang w:eastAsia="zh-CN"/>
              </w:rPr>
              <w:t>碧水</w:t>
            </w:r>
            <w:r>
              <w:rPr>
                <w:b/>
                <w:bCs/>
                <w:color w:val="auto"/>
                <w:u w:val="single"/>
              </w:rPr>
              <w:t>保卫战实施方案》（平环委办〔2024〕1</w:t>
            </w:r>
            <w:r>
              <w:rPr>
                <w:rFonts w:hint="eastAsia"/>
                <w:b/>
                <w:bCs/>
                <w:color w:val="auto"/>
                <w:u w:val="single"/>
                <w:lang w:val="en-US" w:eastAsia="zh-CN"/>
              </w:rPr>
              <w:t>4</w:t>
            </w:r>
            <w:r>
              <w:rPr>
                <w:b/>
                <w:bCs/>
                <w:color w:val="auto"/>
                <w:u w:val="single"/>
              </w:rPr>
              <w:t>号）。</w:t>
            </w:r>
          </w:p>
          <w:p w14:paraId="5BA6F1B6">
            <w:pPr>
              <w:pStyle w:val="4"/>
              <w:numPr>
                <w:ilvl w:val="1"/>
                <w:numId w:val="3"/>
              </w:numPr>
              <w:tabs>
                <w:tab w:val="left" w:pos="0"/>
              </w:tabs>
              <w:rPr>
                <w:b/>
                <w:bCs/>
                <w:color w:val="auto"/>
                <w:u w:val="single"/>
              </w:rPr>
            </w:pPr>
            <w:r>
              <w:rPr>
                <w:rFonts w:hint="eastAsia"/>
                <w:b/>
                <w:bCs/>
                <w:color w:val="auto"/>
                <w:u w:val="single"/>
              </w:rPr>
              <w:t>与《平顶山市2024 年</w:t>
            </w:r>
            <w:r>
              <w:rPr>
                <w:rFonts w:hint="eastAsia"/>
                <w:b/>
                <w:bCs/>
                <w:color w:val="auto"/>
                <w:u w:val="single"/>
                <w:lang w:eastAsia="zh-CN"/>
              </w:rPr>
              <w:t>净土</w:t>
            </w:r>
            <w:r>
              <w:rPr>
                <w:rFonts w:hint="eastAsia"/>
                <w:b/>
                <w:bCs/>
                <w:color w:val="auto"/>
                <w:u w:val="single"/>
              </w:rPr>
              <w:t>保卫战实施方案》（平环委办〔2024〕1</w:t>
            </w:r>
            <w:r>
              <w:rPr>
                <w:rFonts w:hint="eastAsia"/>
                <w:b/>
                <w:bCs/>
                <w:color w:val="auto"/>
                <w:u w:val="single"/>
                <w:lang w:val="en-US" w:eastAsia="zh-CN"/>
              </w:rPr>
              <w:t>5</w:t>
            </w:r>
            <w:r>
              <w:rPr>
                <w:rFonts w:hint="eastAsia"/>
                <w:b/>
                <w:bCs/>
                <w:color w:val="auto"/>
                <w:u w:val="single"/>
              </w:rPr>
              <w:t>号）相符性分析</w:t>
            </w:r>
          </w:p>
          <w:p w14:paraId="06E3F710">
            <w:pPr>
              <w:pStyle w:val="5"/>
              <w:rPr>
                <w:rFonts w:hint="default"/>
                <w:b/>
                <w:bCs/>
                <w:color w:val="auto"/>
                <w:u w:val="single"/>
              </w:rPr>
            </w:pPr>
            <w:r>
              <w:rPr>
                <w:b/>
                <w:bCs/>
                <w:color w:val="auto"/>
                <w:u w:val="single"/>
              </w:rPr>
              <w:t>本项目与《平顶山市202</w:t>
            </w:r>
            <w:r>
              <w:rPr>
                <w:rFonts w:hint="eastAsia"/>
                <w:b/>
                <w:bCs/>
                <w:color w:val="auto"/>
                <w:u w:val="single"/>
                <w:lang w:val="en-US" w:eastAsia="zh-CN"/>
              </w:rPr>
              <w:t>4</w:t>
            </w:r>
            <w:r>
              <w:rPr>
                <w:b/>
                <w:bCs/>
                <w:color w:val="auto"/>
                <w:u w:val="single"/>
              </w:rPr>
              <w:t>年</w:t>
            </w:r>
            <w:r>
              <w:rPr>
                <w:rFonts w:hint="eastAsia"/>
                <w:b/>
                <w:bCs/>
                <w:color w:val="auto"/>
                <w:u w:val="single"/>
                <w:lang w:eastAsia="zh-CN"/>
              </w:rPr>
              <w:t>碧水</w:t>
            </w:r>
            <w:r>
              <w:rPr>
                <w:b/>
                <w:bCs/>
                <w:color w:val="auto"/>
                <w:u w:val="single"/>
              </w:rPr>
              <w:t>保卫战实施方案》相符性分析如下。</w:t>
            </w:r>
          </w:p>
          <w:p w14:paraId="62BC06E1">
            <w:pPr>
              <w:pStyle w:val="44"/>
              <w:numPr>
                <w:ilvl w:val="0"/>
                <w:numId w:val="2"/>
              </w:numPr>
              <w:rPr>
                <w:rFonts w:hint="default"/>
                <w:b/>
                <w:bCs/>
                <w:color w:val="auto"/>
                <w:u w:val="single"/>
              </w:rPr>
            </w:pPr>
            <w:r>
              <w:rPr>
                <w:b/>
                <w:bCs/>
                <w:color w:val="auto"/>
                <w:u w:val="single"/>
              </w:rPr>
              <w:t xml:space="preserve">   与《平顶山市202</w:t>
            </w:r>
            <w:r>
              <w:rPr>
                <w:rFonts w:hint="eastAsia"/>
                <w:b/>
                <w:bCs/>
                <w:color w:val="auto"/>
                <w:u w:val="single"/>
                <w:lang w:val="en-US" w:eastAsia="zh-CN"/>
              </w:rPr>
              <w:t>4</w:t>
            </w:r>
            <w:r>
              <w:rPr>
                <w:b/>
                <w:bCs/>
                <w:color w:val="auto"/>
                <w:u w:val="single"/>
              </w:rPr>
              <w:t>年</w:t>
            </w:r>
            <w:r>
              <w:rPr>
                <w:rFonts w:hint="eastAsia"/>
                <w:b/>
                <w:bCs/>
                <w:color w:val="auto"/>
                <w:u w:val="single"/>
                <w:lang w:eastAsia="zh-CN"/>
              </w:rPr>
              <w:t>净土</w:t>
            </w:r>
            <w:r>
              <w:rPr>
                <w:b/>
                <w:bCs/>
                <w:color w:val="auto"/>
                <w:u w:val="single"/>
              </w:rPr>
              <w:t>保卫战实施方案》相符性分析</w:t>
            </w:r>
          </w:p>
          <w:tbl>
            <w:tblPr>
              <w:tblStyle w:val="27"/>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323"/>
              <w:gridCol w:w="2768"/>
              <w:gridCol w:w="941"/>
            </w:tblGrid>
            <w:tr w14:paraId="5D468D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362" w:type="pct"/>
                  <w:tcBorders>
                    <w:tl2br w:val="nil"/>
                    <w:tr2bl w:val="nil"/>
                  </w:tcBorders>
                  <w:vAlign w:val="center"/>
                </w:tcPr>
                <w:p w14:paraId="39D60168">
                  <w:pPr>
                    <w:widowControl w:val="0"/>
                    <w:jc w:val="center"/>
                    <w:rPr>
                      <w:rFonts w:hint="default" w:ascii="Times New Roman" w:hAnsi="Times New Roman" w:cs="Times New Roman"/>
                      <w:b/>
                      <w:bCs/>
                      <w:color w:val="auto"/>
                      <w:sz w:val="18"/>
                      <w:szCs w:val="18"/>
                      <w:u w:val="single"/>
                    </w:rPr>
                  </w:pPr>
                  <w:r>
                    <w:rPr>
                      <w:rFonts w:hint="default" w:ascii="Times New Roman" w:hAnsi="Times New Roman" w:cs="Times New Roman"/>
                      <w:b/>
                      <w:bCs/>
                      <w:color w:val="auto"/>
                      <w:sz w:val="18"/>
                      <w:szCs w:val="18"/>
                      <w:u w:val="single"/>
                    </w:rPr>
                    <w:t>方案内容</w:t>
                  </w:r>
                </w:p>
              </w:tc>
              <w:tc>
                <w:tcPr>
                  <w:tcW w:w="1967" w:type="pct"/>
                  <w:tcBorders>
                    <w:tl2br w:val="nil"/>
                    <w:tr2bl w:val="nil"/>
                  </w:tcBorders>
                  <w:vAlign w:val="center"/>
                </w:tcPr>
                <w:p w14:paraId="35D7A19D">
                  <w:pPr>
                    <w:widowControl w:val="0"/>
                    <w:jc w:val="center"/>
                    <w:rPr>
                      <w:rFonts w:hint="default" w:ascii="Times New Roman" w:hAnsi="Times New Roman" w:cs="Times New Roman"/>
                      <w:b/>
                      <w:bCs/>
                      <w:color w:val="auto"/>
                      <w:sz w:val="18"/>
                      <w:szCs w:val="18"/>
                      <w:u w:val="single"/>
                    </w:rPr>
                  </w:pPr>
                  <w:r>
                    <w:rPr>
                      <w:rFonts w:hint="default" w:ascii="Times New Roman" w:hAnsi="Times New Roman" w:cs="Times New Roman"/>
                      <w:b/>
                      <w:bCs/>
                      <w:color w:val="auto"/>
                      <w:sz w:val="18"/>
                      <w:szCs w:val="18"/>
                      <w:u w:val="single"/>
                    </w:rPr>
                    <w:t>本项目情况</w:t>
                  </w:r>
                </w:p>
              </w:tc>
              <w:tc>
                <w:tcPr>
                  <w:tcW w:w="669" w:type="pct"/>
                  <w:tcBorders>
                    <w:tl2br w:val="nil"/>
                    <w:tr2bl w:val="nil"/>
                  </w:tcBorders>
                  <w:vAlign w:val="center"/>
                </w:tcPr>
                <w:p w14:paraId="30201192">
                  <w:pPr>
                    <w:widowControl w:val="0"/>
                    <w:jc w:val="center"/>
                    <w:rPr>
                      <w:rFonts w:hint="default" w:ascii="Times New Roman" w:hAnsi="Times New Roman" w:cs="Times New Roman"/>
                      <w:b/>
                      <w:bCs/>
                      <w:color w:val="auto"/>
                      <w:sz w:val="18"/>
                      <w:szCs w:val="18"/>
                      <w:u w:val="single"/>
                    </w:rPr>
                  </w:pPr>
                  <w:r>
                    <w:rPr>
                      <w:rFonts w:hint="default" w:ascii="Times New Roman" w:hAnsi="Times New Roman" w:cs="Times New Roman"/>
                      <w:b/>
                      <w:bCs/>
                      <w:color w:val="auto"/>
                      <w:sz w:val="18"/>
                      <w:szCs w:val="18"/>
                      <w:u w:val="single"/>
                    </w:rPr>
                    <w:t>相符性</w:t>
                  </w:r>
                </w:p>
              </w:tc>
            </w:tr>
            <w:tr w14:paraId="552600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2" w:type="pct"/>
                  <w:tcBorders>
                    <w:tl2br w:val="nil"/>
                    <w:tr2bl w:val="nil"/>
                  </w:tcBorders>
                  <w:vAlign w:val="center"/>
                </w:tcPr>
                <w:p w14:paraId="6C05B4FC">
                  <w:pPr>
                    <w:pStyle w:val="71"/>
                    <w:widowControl w:val="0"/>
                    <w:rPr>
                      <w:rFonts w:hint="default" w:ascii="Times New Roman" w:hAnsi="Times New Roman" w:cs="Times New Roman"/>
                      <w:b/>
                      <w:bCs/>
                      <w:color w:val="auto"/>
                      <w:sz w:val="18"/>
                      <w:szCs w:val="18"/>
                      <w:u w:val="single"/>
                      <w:lang w:eastAsia="zh-CN"/>
                    </w:rPr>
                  </w:pPr>
                  <w:r>
                    <w:rPr>
                      <w:rFonts w:hint="default" w:ascii="Times New Roman" w:hAnsi="Times New Roman" w:cs="Times New Roman"/>
                      <w:b/>
                      <w:bCs/>
                      <w:color w:val="auto"/>
                      <w:sz w:val="18"/>
                      <w:szCs w:val="18"/>
                      <w:u w:val="single"/>
                      <w:lang w:eastAsia="zh-CN"/>
                    </w:rPr>
                    <w:t>16. 深化危险废物监管和利用处置能力改革。持续创新危险废物环境监管方式，建立综合处置企业行业自律机制、特殊类别危险废物的信息通报机制，制定危险废物综合处置高质量发展指导意见。提升危险废物规范化管理水平，实施危险废物规范化环境管理评估。开展危险废物自行利用处置专项整治行动。加强废弃电器电子产品拆解监管。</w:t>
                  </w:r>
                </w:p>
              </w:tc>
              <w:tc>
                <w:tcPr>
                  <w:tcW w:w="1967" w:type="pct"/>
                  <w:tcBorders>
                    <w:tl2br w:val="nil"/>
                    <w:tr2bl w:val="nil"/>
                  </w:tcBorders>
                  <w:vAlign w:val="center"/>
                </w:tcPr>
                <w:p w14:paraId="2C559FFB">
                  <w:pPr>
                    <w:widowControl w:val="0"/>
                    <w:rPr>
                      <w:rFonts w:hint="eastAsia" w:ascii="Times New Roman" w:hAnsi="Times New Roman" w:eastAsia="宋体" w:cs="Times New Roman"/>
                      <w:b/>
                      <w:bCs/>
                      <w:color w:val="auto"/>
                      <w:sz w:val="18"/>
                      <w:szCs w:val="18"/>
                      <w:u w:val="single"/>
                      <w:lang w:eastAsia="zh-CN"/>
                    </w:rPr>
                  </w:pPr>
                  <w:r>
                    <w:rPr>
                      <w:rFonts w:hint="default" w:ascii="Times New Roman" w:hAnsi="Times New Roman" w:cs="Times New Roman"/>
                      <w:b/>
                      <w:bCs/>
                      <w:color w:val="auto"/>
                      <w:sz w:val="18"/>
                      <w:szCs w:val="18"/>
                      <w:u w:val="single"/>
                    </w:rPr>
                    <w:t>本项目</w:t>
                  </w:r>
                  <w:r>
                    <w:rPr>
                      <w:rFonts w:hint="eastAsia" w:cs="Times New Roman"/>
                      <w:b/>
                      <w:bCs/>
                      <w:color w:val="auto"/>
                      <w:sz w:val="18"/>
                      <w:szCs w:val="18"/>
                      <w:u w:val="single"/>
                      <w:lang w:eastAsia="zh-CN"/>
                    </w:rPr>
                    <w:t>危险废物主要为设备维护过程会产生废润滑油和废油桶，危险废物的收集、运输、贮存、管理以及转运应严格按照《危险废物污染防治技术政策》（环发〔2001〕199号）、《危险废物转移联单管理办法》（国家环境保护总局令第5号）和《危险废物贮存污染控制标准》（GB18597-2023）实行，对危险废物外运采取防渗透、防泄漏、防中途流失措施，并落实安全管理责任，避免二次污染。</w:t>
                  </w:r>
                </w:p>
              </w:tc>
              <w:tc>
                <w:tcPr>
                  <w:tcW w:w="669" w:type="pct"/>
                  <w:tcBorders>
                    <w:tl2br w:val="nil"/>
                    <w:tr2bl w:val="nil"/>
                  </w:tcBorders>
                  <w:vAlign w:val="center"/>
                </w:tcPr>
                <w:p w14:paraId="4F07B271">
                  <w:pPr>
                    <w:widowControl w:val="0"/>
                    <w:jc w:val="center"/>
                    <w:rPr>
                      <w:rFonts w:hint="default" w:ascii="Times New Roman" w:hAnsi="Times New Roman" w:cs="Times New Roman"/>
                      <w:b/>
                      <w:bCs/>
                      <w:color w:val="auto"/>
                      <w:sz w:val="18"/>
                      <w:szCs w:val="18"/>
                      <w:u w:val="single"/>
                    </w:rPr>
                  </w:pPr>
                  <w:r>
                    <w:rPr>
                      <w:rFonts w:hint="default" w:ascii="Times New Roman" w:hAnsi="Times New Roman" w:cs="Times New Roman"/>
                      <w:b/>
                      <w:bCs/>
                      <w:color w:val="auto"/>
                      <w:sz w:val="18"/>
                      <w:szCs w:val="18"/>
                      <w:u w:val="single"/>
                    </w:rPr>
                    <w:t>相符</w:t>
                  </w:r>
                </w:p>
              </w:tc>
            </w:tr>
          </w:tbl>
          <w:p w14:paraId="4CC8F97B">
            <w:pPr>
              <w:pStyle w:val="5"/>
              <w:ind w:firstLine="422"/>
              <w:rPr>
                <w:rFonts w:hint="default"/>
                <w:b/>
                <w:bCs/>
                <w:color w:val="auto"/>
                <w:u w:val="single"/>
              </w:rPr>
            </w:pPr>
            <w:r>
              <w:rPr>
                <w:b/>
                <w:bCs/>
                <w:color w:val="auto"/>
                <w:u w:val="single"/>
              </w:rPr>
              <w:t>由上表可知，本项目建设符合《平顶山市2024年</w:t>
            </w:r>
            <w:r>
              <w:rPr>
                <w:rFonts w:hint="eastAsia"/>
                <w:b/>
                <w:bCs/>
                <w:color w:val="auto"/>
                <w:u w:val="single"/>
                <w:lang w:eastAsia="zh-CN"/>
              </w:rPr>
              <w:t>净土</w:t>
            </w:r>
            <w:r>
              <w:rPr>
                <w:b/>
                <w:bCs/>
                <w:color w:val="auto"/>
                <w:u w:val="single"/>
              </w:rPr>
              <w:t>保卫战实施方案》（平环委办〔2024〕</w:t>
            </w:r>
            <w:r>
              <w:rPr>
                <w:rFonts w:hint="eastAsia"/>
                <w:b/>
                <w:bCs/>
                <w:color w:val="auto"/>
                <w:u w:val="single"/>
                <w:lang w:val="en-US" w:eastAsia="zh-CN"/>
              </w:rPr>
              <w:t>15</w:t>
            </w:r>
            <w:r>
              <w:rPr>
                <w:b/>
                <w:bCs/>
                <w:color w:val="auto"/>
                <w:u w:val="single"/>
              </w:rPr>
              <w:t>号）。</w:t>
            </w:r>
          </w:p>
          <w:p w14:paraId="08B796CA">
            <w:pPr>
              <w:pStyle w:val="4"/>
              <w:numPr>
                <w:ilvl w:val="1"/>
                <w:numId w:val="3"/>
              </w:numPr>
              <w:tabs>
                <w:tab w:val="left" w:pos="0"/>
              </w:tabs>
              <w:rPr>
                <w:b/>
                <w:bCs/>
                <w:color w:val="auto"/>
                <w:u w:val="single"/>
              </w:rPr>
            </w:pPr>
            <w:r>
              <w:rPr>
                <w:rFonts w:hint="eastAsia"/>
                <w:b/>
                <w:bCs/>
                <w:color w:val="auto"/>
                <w:u w:val="single"/>
              </w:rPr>
              <w:t>与国家、省重点行业绩效分级要求的相符性分析</w:t>
            </w:r>
          </w:p>
          <w:p w14:paraId="06208A0C">
            <w:pPr>
              <w:spacing w:line="360" w:lineRule="auto"/>
              <w:ind w:firstLine="406" w:firstLineChars="200"/>
              <w:rPr>
                <w:b/>
                <w:bCs/>
                <w:color w:val="auto"/>
                <w:spacing w:val="-2"/>
                <w:u w:val="single"/>
              </w:rPr>
            </w:pPr>
            <w:r>
              <w:rPr>
                <w:rFonts w:hint="eastAsia"/>
                <w:b/>
                <w:bCs/>
                <w:color w:val="auto"/>
                <w:spacing w:val="-4"/>
                <w:u w:val="single"/>
              </w:rPr>
              <w:t>本项目主要为二氧化碳回收和</w:t>
            </w:r>
            <w:r>
              <w:rPr>
                <w:rFonts w:hint="eastAsia"/>
                <w:b/>
                <w:bCs/>
                <w:color w:val="auto"/>
                <w:spacing w:val="-4"/>
                <w:u w:val="single"/>
                <w:lang w:eastAsia="zh-CN"/>
              </w:rPr>
              <w:t>优等品</w:t>
            </w:r>
            <w:r>
              <w:rPr>
                <w:rFonts w:hint="eastAsia"/>
                <w:b/>
                <w:bCs/>
                <w:color w:val="auto"/>
                <w:spacing w:val="-4"/>
                <w:u w:val="single"/>
              </w:rPr>
              <w:t>产品液氨提纯</w:t>
            </w:r>
            <w:r>
              <w:rPr>
                <w:rFonts w:hint="eastAsia"/>
                <w:b/>
                <w:bCs/>
                <w:color w:val="auto"/>
                <w:spacing w:val="-2"/>
                <w:u w:val="single"/>
              </w:rPr>
              <w:t>，不属于国家、省绩效分级重点行业，项目涉及VOCs排放，应对照《河南省重污染天气通用行业应急减排措施制定技术指南》通用行业基本要求。本项目</w:t>
            </w:r>
            <w:r>
              <w:rPr>
                <w:rStyle w:val="33"/>
                <w:rFonts w:hint="eastAsia"/>
                <w:b/>
                <w:bCs/>
                <w:color w:val="auto"/>
                <w:kern w:val="0"/>
                <w:u w:val="single"/>
              </w:rPr>
              <w:t>与《</w:t>
            </w:r>
            <w:r>
              <w:rPr>
                <w:rFonts w:hint="eastAsia"/>
                <w:b/>
                <w:bCs/>
                <w:color w:val="auto"/>
                <w:spacing w:val="-2"/>
                <w:u w:val="single"/>
              </w:rPr>
              <w:t>河南省重污染天气通用行业应急减排措施制定技术指南》通用行业基本要求相符性分析见下表。</w:t>
            </w:r>
          </w:p>
          <w:p w14:paraId="295C9D7B">
            <w:pPr>
              <w:pStyle w:val="44"/>
              <w:numPr>
                <w:ilvl w:val="0"/>
                <w:numId w:val="2"/>
              </w:numPr>
              <w:rPr>
                <w:rFonts w:hint="default"/>
                <w:b/>
                <w:bCs/>
                <w:color w:val="auto"/>
                <w:u w:val="single"/>
              </w:rPr>
            </w:pPr>
            <w:r>
              <w:rPr>
                <w:b/>
                <w:bCs/>
                <w:color w:val="auto"/>
                <w:u w:val="single"/>
              </w:rPr>
              <w:t xml:space="preserve">   通用行业基本要求相符性分析</w:t>
            </w:r>
          </w:p>
          <w:tbl>
            <w:tblPr>
              <w:tblStyle w:val="27"/>
              <w:tblW w:w="6986"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609"/>
              <w:gridCol w:w="2736"/>
              <w:gridCol w:w="2318"/>
              <w:gridCol w:w="616"/>
            </w:tblGrid>
            <w:tr w14:paraId="449C89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atLeast"/>
              </w:trPr>
              <w:tc>
                <w:tcPr>
                  <w:tcW w:w="1278" w:type="dxa"/>
                  <w:gridSpan w:val="2"/>
                  <w:vAlign w:val="center"/>
                </w:tcPr>
                <w:p w14:paraId="61124BEE">
                  <w:pPr>
                    <w:pStyle w:val="26"/>
                    <w:spacing w:line="240" w:lineRule="auto"/>
                    <w:ind w:firstLine="0" w:firstLineChars="0"/>
                    <w:jc w:val="center"/>
                    <w:rPr>
                      <w:b/>
                      <w:bCs/>
                      <w:color w:val="auto"/>
                      <w:sz w:val="18"/>
                      <w:szCs w:val="18"/>
                      <w:u w:val="single"/>
                    </w:rPr>
                  </w:pPr>
                  <w:r>
                    <w:rPr>
                      <w:b/>
                      <w:bCs/>
                      <w:color w:val="auto"/>
                      <w:sz w:val="18"/>
                      <w:szCs w:val="18"/>
                      <w:u w:val="single"/>
                    </w:rPr>
                    <w:t>指标</w:t>
                  </w:r>
                </w:p>
              </w:tc>
              <w:tc>
                <w:tcPr>
                  <w:tcW w:w="2755" w:type="dxa"/>
                  <w:vAlign w:val="center"/>
                </w:tcPr>
                <w:p w14:paraId="15F7D104">
                  <w:pPr>
                    <w:pStyle w:val="26"/>
                    <w:spacing w:line="240" w:lineRule="auto"/>
                    <w:ind w:firstLine="0" w:firstLineChars="0"/>
                    <w:jc w:val="center"/>
                    <w:rPr>
                      <w:b/>
                      <w:bCs/>
                      <w:color w:val="auto"/>
                      <w:sz w:val="18"/>
                      <w:szCs w:val="18"/>
                      <w:u w:val="single"/>
                    </w:rPr>
                  </w:pPr>
                  <w:r>
                    <w:rPr>
                      <w:b/>
                      <w:bCs/>
                      <w:color w:val="auto"/>
                      <w:sz w:val="18"/>
                      <w:szCs w:val="18"/>
                      <w:u w:val="single"/>
                    </w:rPr>
                    <w:t>要求</w:t>
                  </w:r>
                </w:p>
              </w:tc>
              <w:tc>
                <w:tcPr>
                  <w:tcW w:w="2335" w:type="dxa"/>
                  <w:vAlign w:val="center"/>
                </w:tcPr>
                <w:p w14:paraId="5F1A3AFA">
                  <w:pPr>
                    <w:pStyle w:val="26"/>
                    <w:spacing w:line="240" w:lineRule="auto"/>
                    <w:ind w:firstLine="0" w:firstLineChars="0"/>
                    <w:jc w:val="center"/>
                    <w:rPr>
                      <w:b/>
                      <w:bCs/>
                      <w:color w:val="auto"/>
                      <w:sz w:val="18"/>
                      <w:szCs w:val="18"/>
                      <w:u w:val="single"/>
                    </w:rPr>
                  </w:pPr>
                  <w:r>
                    <w:rPr>
                      <w:b/>
                      <w:bCs/>
                      <w:color w:val="auto"/>
                      <w:sz w:val="18"/>
                      <w:szCs w:val="18"/>
                      <w:u w:val="single"/>
                    </w:rPr>
                    <w:t>本项目</w:t>
                  </w:r>
                </w:p>
              </w:tc>
              <w:tc>
                <w:tcPr>
                  <w:tcW w:w="618" w:type="dxa"/>
                  <w:vAlign w:val="center"/>
                </w:tcPr>
                <w:p w14:paraId="0C556F53">
                  <w:pPr>
                    <w:pStyle w:val="26"/>
                    <w:spacing w:line="240" w:lineRule="auto"/>
                    <w:ind w:firstLine="0" w:firstLineChars="0"/>
                    <w:jc w:val="center"/>
                    <w:rPr>
                      <w:b/>
                      <w:bCs/>
                      <w:color w:val="auto"/>
                      <w:sz w:val="18"/>
                      <w:szCs w:val="18"/>
                      <w:u w:val="single"/>
                    </w:rPr>
                  </w:pPr>
                  <w:r>
                    <w:rPr>
                      <w:b/>
                      <w:bCs/>
                      <w:color w:val="auto"/>
                      <w:sz w:val="18"/>
                      <w:szCs w:val="18"/>
                      <w:u w:val="single"/>
                    </w:rPr>
                    <w:t>符合性</w:t>
                  </w:r>
                </w:p>
              </w:tc>
            </w:tr>
            <w:tr w14:paraId="025786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67" w:type="dxa"/>
                  <w:vMerge w:val="restart"/>
                  <w:vAlign w:val="center"/>
                </w:tcPr>
                <w:p w14:paraId="4448B016">
                  <w:pPr>
                    <w:pStyle w:val="26"/>
                    <w:spacing w:line="240" w:lineRule="auto"/>
                    <w:ind w:firstLine="0" w:firstLineChars="0"/>
                    <w:jc w:val="center"/>
                    <w:rPr>
                      <w:b/>
                      <w:bCs/>
                      <w:color w:val="auto"/>
                      <w:sz w:val="18"/>
                      <w:szCs w:val="18"/>
                      <w:u w:val="single"/>
                    </w:rPr>
                  </w:pPr>
                  <w:r>
                    <w:rPr>
                      <w:b/>
                      <w:bCs/>
                      <w:color w:val="auto"/>
                      <w:sz w:val="18"/>
                      <w:szCs w:val="18"/>
                      <w:u w:val="single"/>
                    </w:rPr>
                    <w:t>涉VOCs企业基本要求</w:t>
                  </w:r>
                </w:p>
                <w:p w14:paraId="3398232B">
                  <w:pPr>
                    <w:pStyle w:val="26"/>
                    <w:spacing w:line="240" w:lineRule="auto"/>
                    <w:ind w:firstLine="0" w:firstLineChars="0"/>
                    <w:jc w:val="center"/>
                    <w:rPr>
                      <w:b/>
                      <w:bCs/>
                      <w:color w:val="auto"/>
                      <w:sz w:val="18"/>
                      <w:szCs w:val="18"/>
                      <w:u w:val="single"/>
                    </w:rPr>
                  </w:pPr>
                </w:p>
              </w:tc>
              <w:tc>
                <w:tcPr>
                  <w:tcW w:w="611" w:type="dxa"/>
                  <w:vAlign w:val="center"/>
                </w:tcPr>
                <w:p w14:paraId="6E8A0707">
                  <w:pPr>
                    <w:pStyle w:val="26"/>
                    <w:spacing w:line="240" w:lineRule="auto"/>
                    <w:ind w:firstLine="0" w:firstLineChars="0"/>
                    <w:jc w:val="center"/>
                    <w:rPr>
                      <w:b/>
                      <w:bCs/>
                      <w:color w:val="auto"/>
                      <w:sz w:val="18"/>
                      <w:szCs w:val="18"/>
                      <w:u w:val="single"/>
                    </w:rPr>
                  </w:pPr>
                  <w:r>
                    <w:rPr>
                      <w:b/>
                      <w:bCs/>
                      <w:color w:val="auto"/>
                      <w:sz w:val="18"/>
                      <w:szCs w:val="18"/>
                      <w:u w:val="single"/>
                    </w:rPr>
                    <w:t xml:space="preserve">物料储存 </w:t>
                  </w:r>
                </w:p>
              </w:tc>
              <w:tc>
                <w:tcPr>
                  <w:tcW w:w="2755" w:type="dxa"/>
                  <w:vAlign w:val="center"/>
                </w:tcPr>
                <w:p w14:paraId="403C92A7">
                  <w:pPr>
                    <w:pStyle w:val="26"/>
                    <w:spacing w:line="240" w:lineRule="auto"/>
                    <w:ind w:firstLine="0" w:firstLineChars="0"/>
                    <w:jc w:val="center"/>
                    <w:rPr>
                      <w:b/>
                      <w:bCs/>
                      <w:color w:val="auto"/>
                      <w:sz w:val="18"/>
                      <w:szCs w:val="18"/>
                      <w:u w:val="single"/>
                    </w:rPr>
                  </w:pPr>
                  <w:r>
                    <w:rPr>
                      <w:b/>
                      <w:bCs/>
                      <w:color w:val="auto"/>
                      <w:sz w:val="18"/>
                      <w:szCs w:val="18"/>
                      <w:u w:val="single"/>
                    </w:rPr>
                    <w:t>涂料、稀释剂、清洗剂等原辅材料密闭存储。盛装过VOCs物料的包装容器、含VOCs 废料（渣、液）、废吸附剂等通过加盖、封装等方式密闭储存；生产车间内涉VOCs 物料应密闭储存</w:t>
                  </w:r>
                </w:p>
              </w:tc>
              <w:tc>
                <w:tcPr>
                  <w:tcW w:w="2335" w:type="dxa"/>
                  <w:vAlign w:val="center"/>
                </w:tcPr>
                <w:p w14:paraId="6ED2D4ED">
                  <w:pPr>
                    <w:pStyle w:val="26"/>
                    <w:spacing w:line="240" w:lineRule="auto"/>
                    <w:ind w:firstLine="0" w:firstLineChars="0"/>
                    <w:jc w:val="center"/>
                    <w:rPr>
                      <w:rFonts w:hint="eastAsia" w:eastAsia="宋体"/>
                      <w:b/>
                      <w:bCs/>
                      <w:color w:val="auto"/>
                      <w:sz w:val="18"/>
                      <w:szCs w:val="18"/>
                      <w:u w:val="single"/>
                      <w:lang w:eastAsia="zh-CN"/>
                    </w:rPr>
                  </w:pPr>
                  <w:r>
                    <w:rPr>
                      <w:b/>
                      <w:bCs/>
                      <w:color w:val="auto"/>
                      <w:sz w:val="18"/>
                      <w:szCs w:val="18"/>
                      <w:u w:val="single"/>
                    </w:rPr>
                    <w:t>本项目涉及VOCs物料主要为原料气中含有的少量甲醇，原料通过管道密闭输送，二氧化碳回收</w:t>
                  </w:r>
                  <w:r>
                    <w:rPr>
                      <w:rFonts w:hint="eastAsia"/>
                      <w:b/>
                      <w:bCs/>
                      <w:color w:val="auto"/>
                      <w:sz w:val="18"/>
                      <w:szCs w:val="18"/>
                      <w:u w:val="single"/>
                      <w:lang w:eastAsia="zh-CN"/>
                    </w:rPr>
                    <w:t>工艺环节全部为密闭环节，原料输送及生产工艺均为全密闭流程。</w:t>
                  </w:r>
                </w:p>
              </w:tc>
              <w:tc>
                <w:tcPr>
                  <w:tcW w:w="618" w:type="dxa"/>
                  <w:vAlign w:val="center"/>
                </w:tcPr>
                <w:p w14:paraId="293F7425">
                  <w:pPr>
                    <w:pStyle w:val="26"/>
                    <w:spacing w:line="240" w:lineRule="auto"/>
                    <w:ind w:firstLine="0" w:firstLineChars="0"/>
                    <w:jc w:val="center"/>
                    <w:rPr>
                      <w:b/>
                      <w:bCs/>
                      <w:color w:val="auto"/>
                      <w:sz w:val="18"/>
                      <w:szCs w:val="18"/>
                      <w:u w:val="single"/>
                    </w:rPr>
                  </w:pPr>
                  <w:r>
                    <w:rPr>
                      <w:b/>
                      <w:bCs/>
                      <w:color w:val="auto"/>
                      <w:sz w:val="18"/>
                      <w:szCs w:val="18"/>
                      <w:u w:val="single"/>
                    </w:rPr>
                    <w:t>符合</w:t>
                  </w:r>
                </w:p>
              </w:tc>
            </w:tr>
            <w:tr w14:paraId="5DEB18F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67" w:type="dxa"/>
                  <w:vMerge w:val="continue"/>
                  <w:vAlign w:val="center"/>
                </w:tcPr>
                <w:p w14:paraId="72D2E57B">
                  <w:pPr>
                    <w:pStyle w:val="26"/>
                    <w:spacing w:line="240" w:lineRule="auto"/>
                    <w:ind w:firstLine="0" w:firstLineChars="0"/>
                    <w:jc w:val="center"/>
                    <w:rPr>
                      <w:b/>
                      <w:bCs/>
                      <w:color w:val="auto"/>
                      <w:sz w:val="18"/>
                      <w:szCs w:val="18"/>
                      <w:u w:val="single"/>
                    </w:rPr>
                  </w:pPr>
                </w:p>
              </w:tc>
              <w:tc>
                <w:tcPr>
                  <w:tcW w:w="611" w:type="dxa"/>
                  <w:vAlign w:val="center"/>
                </w:tcPr>
                <w:p w14:paraId="1FBA9A59">
                  <w:pPr>
                    <w:pStyle w:val="26"/>
                    <w:spacing w:line="240" w:lineRule="auto"/>
                    <w:ind w:firstLine="0" w:firstLineChars="0"/>
                    <w:jc w:val="center"/>
                    <w:rPr>
                      <w:b/>
                      <w:bCs/>
                      <w:color w:val="auto"/>
                      <w:sz w:val="18"/>
                      <w:szCs w:val="18"/>
                      <w:u w:val="single"/>
                    </w:rPr>
                  </w:pPr>
                  <w:r>
                    <w:rPr>
                      <w:b/>
                      <w:bCs/>
                      <w:color w:val="auto"/>
                      <w:sz w:val="18"/>
                      <w:szCs w:val="18"/>
                      <w:u w:val="single"/>
                    </w:rPr>
                    <w:t>物料转移和输送</w:t>
                  </w:r>
                </w:p>
              </w:tc>
              <w:tc>
                <w:tcPr>
                  <w:tcW w:w="2755" w:type="dxa"/>
                  <w:vAlign w:val="center"/>
                </w:tcPr>
                <w:p w14:paraId="54BFF9B5">
                  <w:pPr>
                    <w:pStyle w:val="26"/>
                    <w:spacing w:line="240" w:lineRule="auto"/>
                    <w:ind w:firstLine="0" w:firstLineChars="0"/>
                    <w:jc w:val="center"/>
                    <w:rPr>
                      <w:b/>
                      <w:bCs/>
                      <w:color w:val="auto"/>
                      <w:sz w:val="18"/>
                      <w:szCs w:val="18"/>
                      <w:u w:val="single"/>
                    </w:rPr>
                  </w:pPr>
                  <w:r>
                    <w:rPr>
                      <w:b/>
                      <w:bCs/>
                      <w:color w:val="auto"/>
                      <w:sz w:val="18"/>
                      <w:szCs w:val="18"/>
                      <w:u w:val="single"/>
                    </w:rPr>
                    <w:t>采用密闭管道或密闭容器等输送。</w:t>
                  </w:r>
                </w:p>
              </w:tc>
              <w:tc>
                <w:tcPr>
                  <w:tcW w:w="2335" w:type="dxa"/>
                  <w:vAlign w:val="center"/>
                </w:tcPr>
                <w:p w14:paraId="63DB897E">
                  <w:pPr>
                    <w:pStyle w:val="26"/>
                    <w:spacing w:line="240" w:lineRule="auto"/>
                    <w:ind w:firstLine="0" w:firstLineChars="0"/>
                    <w:jc w:val="center"/>
                    <w:rPr>
                      <w:b/>
                      <w:bCs/>
                      <w:color w:val="auto"/>
                      <w:sz w:val="18"/>
                      <w:szCs w:val="18"/>
                      <w:u w:val="single"/>
                    </w:rPr>
                  </w:pPr>
                  <w:r>
                    <w:rPr>
                      <w:b/>
                      <w:bCs/>
                      <w:color w:val="auto"/>
                      <w:sz w:val="18"/>
                      <w:szCs w:val="18"/>
                      <w:u w:val="single"/>
                    </w:rPr>
                    <w:t>项目密闭管道进行原料气输送</w:t>
                  </w:r>
                </w:p>
              </w:tc>
              <w:tc>
                <w:tcPr>
                  <w:tcW w:w="618" w:type="dxa"/>
                  <w:vAlign w:val="center"/>
                </w:tcPr>
                <w:p w14:paraId="78368076">
                  <w:pPr>
                    <w:pStyle w:val="26"/>
                    <w:spacing w:line="240" w:lineRule="auto"/>
                    <w:ind w:firstLine="0" w:firstLineChars="0"/>
                    <w:jc w:val="center"/>
                    <w:rPr>
                      <w:b/>
                      <w:bCs/>
                      <w:color w:val="auto"/>
                      <w:sz w:val="18"/>
                      <w:szCs w:val="18"/>
                      <w:u w:val="single"/>
                    </w:rPr>
                  </w:pPr>
                  <w:r>
                    <w:rPr>
                      <w:b/>
                      <w:bCs/>
                      <w:color w:val="auto"/>
                      <w:sz w:val="18"/>
                      <w:szCs w:val="18"/>
                      <w:u w:val="single"/>
                    </w:rPr>
                    <w:t>符合</w:t>
                  </w:r>
                </w:p>
              </w:tc>
            </w:tr>
            <w:tr w14:paraId="0DB153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67" w:type="dxa"/>
                  <w:vMerge w:val="continue"/>
                  <w:vAlign w:val="center"/>
                </w:tcPr>
                <w:p w14:paraId="1F299D5D">
                  <w:pPr>
                    <w:pStyle w:val="26"/>
                    <w:spacing w:line="240" w:lineRule="auto"/>
                    <w:ind w:firstLine="0" w:firstLineChars="0"/>
                    <w:jc w:val="center"/>
                    <w:rPr>
                      <w:b/>
                      <w:bCs/>
                      <w:color w:val="auto"/>
                      <w:sz w:val="18"/>
                      <w:szCs w:val="18"/>
                      <w:u w:val="single"/>
                    </w:rPr>
                  </w:pPr>
                </w:p>
              </w:tc>
              <w:tc>
                <w:tcPr>
                  <w:tcW w:w="611" w:type="dxa"/>
                  <w:vAlign w:val="center"/>
                </w:tcPr>
                <w:p w14:paraId="1A86C643">
                  <w:pPr>
                    <w:pStyle w:val="26"/>
                    <w:spacing w:line="240" w:lineRule="auto"/>
                    <w:ind w:firstLine="0" w:firstLineChars="0"/>
                    <w:jc w:val="center"/>
                    <w:rPr>
                      <w:b/>
                      <w:bCs/>
                      <w:color w:val="auto"/>
                      <w:sz w:val="18"/>
                      <w:szCs w:val="18"/>
                      <w:u w:val="single"/>
                    </w:rPr>
                  </w:pPr>
                  <w:r>
                    <w:rPr>
                      <w:b/>
                      <w:bCs/>
                      <w:color w:val="auto"/>
                      <w:sz w:val="18"/>
                      <w:szCs w:val="18"/>
                      <w:u w:val="single"/>
                    </w:rPr>
                    <w:t>工艺过程</w:t>
                  </w:r>
                </w:p>
              </w:tc>
              <w:tc>
                <w:tcPr>
                  <w:tcW w:w="2755" w:type="dxa"/>
                  <w:vAlign w:val="center"/>
                </w:tcPr>
                <w:p w14:paraId="3F70CB23">
                  <w:pPr>
                    <w:pStyle w:val="26"/>
                    <w:spacing w:line="240" w:lineRule="auto"/>
                    <w:ind w:firstLine="0" w:firstLineChars="0"/>
                    <w:jc w:val="center"/>
                    <w:rPr>
                      <w:b/>
                      <w:bCs/>
                      <w:color w:val="auto"/>
                      <w:sz w:val="18"/>
                      <w:szCs w:val="18"/>
                      <w:u w:val="single"/>
                    </w:rPr>
                  </w:pPr>
                  <w:r>
                    <w:rPr>
                      <w:b/>
                      <w:bCs/>
                      <w:color w:val="auto"/>
                      <w:sz w:val="18"/>
                      <w:szCs w:val="18"/>
                      <w:u w:val="single"/>
                    </w:rPr>
                    <w:t xml:space="preserve">原辅材料调配、使用（施胶、喷涂、干燥等）、回收等过程 </w:t>
                  </w:r>
                </w:p>
                <w:p w14:paraId="652DCC8A">
                  <w:pPr>
                    <w:pStyle w:val="26"/>
                    <w:spacing w:line="240" w:lineRule="auto"/>
                    <w:ind w:firstLine="0" w:firstLineChars="0"/>
                    <w:jc w:val="center"/>
                    <w:rPr>
                      <w:b/>
                      <w:bCs/>
                      <w:color w:val="auto"/>
                      <w:sz w:val="18"/>
                      <w:szCs w:val="18"/>
                      <w:u w:val="single"/>
                    </w:rPr>
                  </w:pPr>
                  <w:r>
                    <w:rPr>
                      <w:b/>
                      <w:bCs/>
                      <w:color w:val="auto"/>
                      <w:sz w:val="18"/>
                      <w:szCs w:val="18"/>
                      <w:u w:val="single"/>
                    </w:rPr>
                    <w:t>采用密闭设备或在密闭空间内操作。涉VOCs原料装卸、储存、转移和输送、工艺过程等环节的废气全部收集引至VOCs 处理系统。</w:t>
                  </w:r>
                </w:p>
              </w:tc>
              <w:tc>
                <w:tcPr>
                  <w:tcW w:w="2335" w:type="dxa"/>
                  <w:vAlign w:val="center"/>
                </w:tcPr>
                <w:p w14:paraId="290CA745">
                  <w:pPr>
                    <w:pStyle w:val="26"/>
                    <w:spacing w:line="240" w:lineRule="auto"/>
                    <w:ind w:firstLine="0" w:firstLineChars="0"/>
                    <w:jc w:val="center"/>
                    <w:rPr>
                      <w:b/>
                      <w:bCs/>
                      <w:color w:val="auto"/>
                      <w:sz w:val="18"/>
                      <w:szCs w:val="18"/>
                      <w:u w:val="single"/>
                    </w:rPr>
                  </w:pPr>
                  <w:r>
                    <w:rPr>
                      <w:b/>
                      <w:bCs/>
                      <w:color w:val="auto"/>
                      <w:sz w:val="18"/>
                      <w:szCs w:val="18"/>
                      <w:u w:val="single"/>
                    </w:rPr>
                    <w:t>本项目原料气采用密闭管道输送</w:t>
                  </w:r>
                </w:p>
              </w:tc>
              <w:tc>
                <w:tcPr>
                  <w:tcW w:w="618" w:type="dxa"/>
                  <w:vAlign w:val="center"/>
                </w:tcPr>
                <w:p w14:paraId="6579D370">
                  <w:pPr>
                    <w:pStyle w:val="26"/>
                    <w:spacing w:line="240" w:lineRule="auto"/>
                    <w:ind w:firstLine="0" w:firstLineChars="0"/>
                    <w:jc w:val="center"/>
                    <w:rPr>
                      <w:b/>
                      <w:bCs/>
                      <w:color w:val="auto"/>
                      <w:sz w:val="18"/>
                      <w:szCs w:val="18"/>
                      <w:u w:val="single"/>
                    </w:rPr>
                  </w:pPr>
                  <w:r>
                    <w:rPr>
                      <w:b/>
                      <w:bCs/>
                      <w:color w:val="auto"/>
                      <w:sz w:val="18"/>
                      <w:szCs w:val="18"/>
                      <w:u w:val="single"/>
                    </w:rPr>
                    <w:t>符合</w:t>
                  </w:r>
                </w:p>
              </w:tc>
            </w:tr>
            <w:tr w14:paraId="1B0A13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67" w:type="dxa"/>
                  <w:vMerge w:val="restart"/>
                  <w:vAlign w:val="center"/>
                </w:tcPr>
                <w:p w14:paraId="66DFC062">
                  <w:pPr>
                    <w:pStyle w:val="26"/>
                    <w:spacing w:line="240" w:lineRule="auto"/>
                    <w:ind w:firstLine="0" w:firstLineChars="0"/>
                    <w:jc w:val="center"/>
                    <w:rPr>
                      <w:b/>
                      <w:bCs/>
                      <w:color w:val="auto"/>
                      <w:sz w:val="18"/>
                      <w:szCs w:val="18"/>
                      <w:u w:val="single"/>
                    </w:rPr>
                  </w:pPr>
                  <w:r>
                    <w:rPr>
                      <w:b/>
                      <w:bCs/>
                      <w:color w:val="auto"/>
                      <w:sz w:val="18"/>
                      <w:szCs w:val="18"/>
                      <w:u w:val="single"/>
                    </w:rPr>
                    <w:t>其他基本要求</w:t>
                  </w:r>
                </w:p>
              </w:tc>
              <w:tc>
                <w:tcPr>
                  <w:tcW w:w="611" w:type="dxa"/>
                  <w:vMerge w:val="restart"/>
                  <w:vAlign w:val="center"/>
                </w:tcPr>
                <w:p w14:paraId="30E46038">
                  <w:pPr>
                    <w:pStyle w:val="26"/>
                    <w:spacing w:line="240" w:lineRule="auto"/>
                    <w:ind w:firstLine="0" w:firstLineChars="0"/>
                    <w:jc w:val="center"/>
                    <w:rPr>
                      <w:b/>
                      <w:bCs/>
                      <w:color w:val="auto"/>
                      <w:sz w:val="18"/>
                      <w:szCs w:val="18"/>
                      <w:u w:val="single"/>
                    </w:rPr>
                  </w:pPr>
                  <w:r>
                    <w:rPr>
                      <w:b/>
                      <w:bCs/>
                      <w:color w:val="auto"/>
                      <w:sz w:val="18"/>
                      <w:szCs w:val="18"/>
                      <w:u w:val="single"/>
                    </w:rPr>
                    <w:t>运输方式及运输监管</w:t>
                  </w:r>
                </w:p>
              </w:tc>
              <w:tc>
                <w:tcPr>
                  <w:tcW w:w="2755" w:type="dxa"/>
                  <w:vAlign w:val="center"/>
                </w:tcPr>
                <w:p w14:paraId="444C1E68">
                  <w:pPr>
                    <w:pStyle w:val="26"/>
                    <w:spacing w:line="240" w:lineRule="auto"/>
                    <w:ind w:firstLine="0" w:firstLineChars="0"/>
                    <w:rPr>
                      <w:b/>
                      <w:bCs/>
                      <w:color w:val="auto"/>
                      <w:sz w:val="18"/>
                      <w:szCs w:val="18"/>
                      <w:u w:val="single"/>
                    </w:rPr>
                  </w:pPr>
                  <w:r>
                    <w:rPr>
                      <w:b/>
                      <w:bCs/>
                      <w:color w:val="auto"/>
                      <w:sz w:val="18"/>
                      <w:szCs w:val="18"/>
                      <w:u w:val="single"/>
                    </w:rPr>
                    <w:t>（1）运输方式</w:t>
                  </w:r>
                </w:p>
                <w:p w14:paraId="3737625C">
                  <w:pPr>
                    <w:pStyle w:val="26"/>
                    <w:spacing w:line="240" w:lineRule="auto"/>
                    <w:ind w:firstLine="0" w:firstLineChars="0"/>
                    <w:jc w:val="center"/>
                    <w:rPr>
                      <w:b/>
                      <w:bCs/>
                      <w:color w:val="auto"/>
                      <w:sz w:val="18"/>
                      <w:szCs w:val="18"/>
                      <w:u w:val="single"/>
                    </w:rPr>
                  </w:pPr>
                  <w:r>
                    <w:rPr>
                      <w:b/>
                      <w:bCs/>
                      <w:color w:val="auto"/>
                      <w:sz w:val="18"/>
                      <w:szCs w:val="18"/>
                      <w:u w:val="single"/>
                    </w:rPr>
                    <w:t xml:space="preserve">①公路运输。物料公路运输使用达到国五及以上排放标准重型载货车辆（含燃气）或新能源车辆比例（A级100%，B级不低于80%），其他车辆达到国四排放标准； </w:t>
                  </w:r>
                </w:p>
                <w:p w14:paraId="62C53072">
                  <w:pPr>
                    <w:pStyle w:val="26"/>
                    <w:spacing w:line="240" w:lineRule="auto"/>
                    <w:ind w:firstLine="0" w:firstLineChars="0"/>
                    <w:jc w:val="center"/>
                    <w:rPr>
                      <w:b/>
                      <w:bCs/>
                      <w:color w:val="auto"/>
                      <w:sz w:val="18"/>
                      <w:szCs w:val="18"/>
                      <w:u w:val="single"/>
                    </w:rPr>
                  </w:pPr>
                  <w:r>
                    <w:rPr>
                      <w:b/>
                      <w:bCs/>
                      <w:color w:val="auto"/>
                      <w:sz w:val="18"/>
                      <w:szCs w:val="18"/>
                      <w:u w:val="single"/>
                    </w:rPr>
                    <w:t xml:space="preserve">②厂内运输车辆。达到国五及以上排放标准（含燃气）或使用新能源车辆的比例（A级100%，B级不低于80%），其他车辆达到国四排放标准； </w:t>
                  </w:r>
                </w:p>
                <w:p w14:paraId="41E07B20">
                  <w:pPr>
                    <w:pStyle w:val="26"/>
                    <w:spacing w:line="240" w:lineRule="auto"/>
                    <w:ind w:firstLine="0" w:firstLineChars="0"/>
                    <w:jc w:val="center"/>
                    <w:rPr>
                      <w:b/>
                      <w:bCs/>
                      <w:color w:val="auto"/>
                      <w:sz w:val="18"/>
                      <w:szCs w:val="18"/>
                      <w:u w:val="single"/>
                    </w:rPr>
                  </w:pPr>
                  <w:r>
                    <w:rPr>
                      <w:b/>
                      <w:bCs/>
                      <w:color w:val="auto"/>
                      <w:sz w:val="18"/>
                      <w:szCs w:val="18"/>
                      <w:u w:val="single"/>
                    </w:rPr>
                    <w:t xml:space="preserve">③危险品及危废运输。国五及以上或新能源车辆（A级/B级100%）； </w:t>
                  </w:r>
                </w:p>
                <w:p w14:paraId="5BE0622D">
                  <w:pPr>
                    <w:pStyle w:val="26"/>
                    <w:spacing w:line="240" w:lineRule="auto"/>
                    <w:ind w:firstLine="0" w:firstLineChars="0"/>
                    <w:jc w:val="center"/>
                    <w:rPr>
                      <w:b/>
                      <w:bCs/>
                      <w:color w:val="auto"/>
                      <w:sz w:val="18"/>
                      <w:szCs w:val="18"/>
                      <w:u w:val="single"/>
                    </w:rPr>
                  </w:pPr>
                  <w:r>
                    <w:rPr>
                      <w:b/>
                      <w:bCs/>
                      <w:color w:val="auto"/>
                      <w:sz w:val="18"/>
                      <w:szCs w:val="18"/>
                      <w:u w:val="single"/>
                    </w:rPr>
                    <w:t xml:space="preserve">④厂内非道路移动机械。国三及以上排放标准或使用新能源机械（A级/B级100%）。 </w:t>
                  </w:r>
                </w:p>
              </w:tc>
              <w:tc>
                <w:tcPr>
                  <w:tcW w:w="2335" w:type="dxa"/>
                  <w:vAlign w:val="center"/>
                </w:tcPr>
                <w:p w14:paraId="4A23333C">
                  <w:pPr>
                    <w:pStyle w:val="26"/>
                    <w:spacing w:line="240" w:lineRule="auto"/>
                    <w:ind w:firstLine="0" w:firstLineChars="0"/>
                    <w:jc w:val="center"/>
                    <w:rPr>
                      <w:b/>
                      <w:bCs/>
                      <w:color w:val="auto"/>
                      <w:sz w:val="18"/>
                      <w:szCs w:val="18"/>
                      <w:u w:val="single"/>
                    </w:rPr>
                  </w:pPr>
                  <w:r>
                    <w:rPr>
                      <w:b/>
                      <w:bCs/>
                      <w:color w:val="auto"/>
                      <w:sz w:val="18"/>
                      <w:szCs w:val="18"/>
                      <w:u w:val="single"/>
                    </w:rPr>
                    <w:t>本项目公路运输使用达到国五及以上排放标准重型载货车辆（含燃气）；</w:t>
                  </w:r>
                </w:p>
                <w:p w14:paraId="43716B4D">
                  <w:pPr>
                    <w:pStyle w:val="26"/>
                    <w:spacing w:line="240" w:lineRule="auto"/>
                    <w:ind w:firstLine="0" w:firstLineChars="0"/>
                    <w:jc w:val="center"/>
                    <w:rPr>
                      <w:b/>
                      <w:bCs/>
                      <w:color w:val="auto"/>
                      <w:sz w:val="18"/>
                      <w:szCs w:val="18"/>
                      <w:u w:val="single"/>
                    </w:rPr>
                  </w:pPr>
                  <w:r>
                    <w:rPr>
                      <w:b/>
                      <w:bCs/>
                      <w:color w:val="auto"/>
                      <w:sz w:val="18"/>
                      <w:szCs w:val="18"/>
                      <w:u w:val="single"/>
                    </w:rPr>
                    <w:t>厂内运输车辆采用达到国五及以上排放标准（含燃气）或使用新能源车辆的比例；</w:t>
                  </w:r>
                </w:p>
                <w:p w14:paraId="712E2F07">
                  <w:pPr>
                    <w:pStyle w:val="26"/>
                    <w:spacing w:line="240" w:lineRule="auto"/>
                    <w:ind w:firstLine="0" w:firstLineChars="0"/>
                    <w:jc w:val="center"/>
                    <w:rPr>
                      <w:b/>
                      <w:bCs/>
                      <w:color w:val="auto"/>
                      <w:sz w:val="18"/>
                      <w:szCs w:val="18"/>
                      <w:u w:val="single"/>
                    </w:rPr>
                  </w:pPr>
                  <w:r>
                    <w:rPr>
                      <w:b/>
                      <w:bCs/>
                      <w:color w:val="auto"/>
                      <w:sz w:val="18"/>
                      <w:szCs w:val="18"/>
                      <w:u w:val="single"/>
                    </w:rPr>
                    <w:t xml:space="preserve">危险品运输全部采用国五及以上或新能源车辆；厂内非道理移动机械采用国三及以上排放标准或新能源机械 </w:t>
                  </w:r>
                </w:p>
                <w:p w14:paraId="13CF1961">
                  <w:pPr>
                    <w:rPr>
                      <w:b/>
                      <w:bCs/>
                      <w:color w:val="auto"/>
                      <w:sz w:val="18"/>
                      <w:szCs w:val="18"/>
                      <w:u w:val="single"/>
                    </w:rPr>
                  </w:pPr>
                </w:p>
              </w:tc>
              <w:tc>
                <w:tcPr>
                  <w:tcW w:w="618" w:type="dxa"/>
                  <w:vAlign w:val="center"/>
                </w:tcPr>
                <w:p w14:paraId="0B0D5F34">
                  <w:pPr>
                    <w:pStyle w:val="26"/>
                    <w:spacing w:line="240" w:lineRule="auto"/>
                    <w:ind w:firstLine="0" w:firstLineChars="0"/>
                    <w:jc w:val="center"/>
                    <w:rPr>
                      <w:b/>
                      <w:bCs/>
                      <w:color w:val="auto"/>
                      <w:sz w:val="18"/>
                      <w:szCs w:val="18"/>
                      <w:u w:val="single"/>
                    </w:rPr>
                  </w:pPr>
                  <w:r>
                    <w:rPr>
                      <w:b/>
                      <w:bCs/>
                      <w:color w:val="auto"/>
                      <w:sz w:val="18"/>
                      <w:szCs w:val="18"/>
                      <w:u w:val="single"/>
                    </w:rPr>
                    <w:t>符合</w:t>
                  </w:r>
                </w:p>
              </w:tc>
            </w:tr>
            <w:tr w14:paraId="514E24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67" w:type="dxa"/>
                  <w:vMerge w:val="continue"/>
                  <w:vAlign w:val="center"/>
                </w:tcPr>
                <w:p w14:paraId="6CA944E0">
                  <w:pPr>
                    <w:pStyle w:val="26"/>
                    <w:spacing w:line="240" w:lineRule="auto"/>
                    <w:ind w:firstLine="0" w:firstLineChars="0"/>
                    <w:jc w:val="center"/>
                    <w:rPr>
                      <w:b/>
                      <w:bCs/>
                      <w:color w:val="auto"/>
                      <w:sz w:val="18"/>
                      <w:szCs w:val="18"/>
                      <w:u w:val="single"/>
                    </w:rPr>
                  </w:pPr>
                </w:p>
              </w:tc>
              <w:tc>
                <w:tcPr>
                  <w:tcW w:w="611" w:type="dxa"/>
                  <w:vMerge w:val="continue"/>
                  <w:vAlign w:val="center"/>
                </w:tcPr>
                <w:p w14:paraId="34C430AC">
                  <w:pPr>
                    <w:pStyle w:val="26"/>
                    <w:spacing w:line="240" w:lineRule="auto"/>
                    <w:ind w:firstLine="0" w:firstLineChars="0"/>
                    <w:jc w:val="center"/>
                    <w:rPr>
                      <w:b/>
                      <w:bCs/>
                      <w:color w:val="auto"/>
                      <w:sz w:val="18"/>
                      <w:szCs w:val="18"/>
                      <w:u w:val="single"/>
                    </w:rPr>
                  </w:pPr>
                </w:p>
              </w:tc>
              <w:tc>
                <w:tcPr>
                  <w:tcW w:w="2755" w:type="dxa"/>
                  <w:vAlign w:val="center"/>
                </w:tcPr>
                <w:p w14:paraId="658C1484">
                  <w:pPr>
                    <w:pStyle w:val="26"/>
                    <w:spacing w:line="240" w:lineRule="auto"/>
                    <w:ind w:firstLine="0" w:firstLineChars="0"/>
                    <w:rPr>
                      <w:b/>
                      <w:bCs/>
                      <w:color w:val="auto"/>
                      <w:sz w:val="18"/>
                      <w:szCs w:val="18"/>
                      <w:u w:val="single"/>
                    </w:rPr>
                  </w:pPr>
                  <w:r>
                    <w:rPr>
                      <w:b/>
                      <w:bCs/>
                      <w:color w:val="auto"/>
                      <w:sz w:val="18"/>
                      <w:szCs w:val="18"/>
                      <w:u w:val="single"/>
                    </w:rPr>
                    <w:t>（2）运输监管</w:t>
                  </w:r>
                </w:p>
                <w:p w14:paraId="49FC0A95">
                  <w:pPr>
                    <w:pStyle w:val="26"/>
                    <w:spacing w:line="240" w:lineRule="auto"/>
                    <w:ind w:firstLine="0" w:firstLineChars="0"/>
                    <w:jc w:val="center"/>
                    <w:rPr>
                      <w:b/>
                      <w:bCs/>
                      <w:color w:val="auto"/>
                      <w:sz w:val="18"/>
                      <w:szCs w:val="18"/>
                      <w:u w:val="single"/>
                    </w:rPr>
                  </w:pPr>
                  <w:r>
                    <w:rPr>
                      <w:b/>
                      <w:bCs/>
                      <w:color w:val="auto"/>
                      <w:sz w:val="18"/>
                      <w:szCs w:val="18"/>
                      <w:u w:val="single"/>
                    </w:rPr>
                    <w:t xml:space="preserve">厂区货运车辆进出大门口：日均进出货物150吨（或载货车辆日进出10辆次）及以上（货物包括原料、辅料、燃料、产品和其他与生产相关物料）的企业，或纳入我省重点行业年产值1000万及以上的企业，拟申报A、B级企业时，应参照《重污染天气重点行业移动源应急管理技术指南》建立门禁视频监控系统和电子台账；其他企业建立门禁视频监控系统和台账。安装高清视频监控系统并能保留数据6个月以上。 </w:t>
                  </w:r>
                </w:p>
              </w:tc>
              <w:tc>
                <w:tcPr>
                  <w:tcW w:w="2335" w:type="dxa"/>
                  <w:vAlign w:val="center"/>
                </w:tcPr>
                <w:p w14:paraId="652ECEEB">
                  <w:pPr>
                    <w:pStyle w:val="26"/>
                    <w:spacing w:line="240" w:lineRule="auto"/>
                    <w:ind w:firstLine="0" w:firstLineChars="0"/>
                    <w:jc w:val="center"/>
                    <w:rPr>
                      <w:b/>
                      <w:bCs/>
                      <w:color w:val="auto"/>
                      <w:sz w:val="18"/>
                      <w:szCs w:val="18"/>
                      <w:u w:val="single"/>
                    </w:rPr>
                  </w:pPr>
                  <w:r>
                    <w:rPr>
                      <w:b/>
                      <w:bCs/>
                      <w:color w:val="auto"/>
                      <w:sz w:val="18"/>
                      <w:szCs w:val="18"/>
                      <w:u w:val="single"/>
                    </w:rPr>
                    <w:t>本项目按要求建立门禁视频监控系统和电子台账，并保留数据6个月以上</w:t>
                  </w:r>
                </w:p>
              </w:tc>
              <w:tc>
                <w:tcPr>
                  <w:tcW w:w="618" w:type="dxa"/>
                  <w:vAlign w:val="center"/>
                </w:tcPr>
                <w:p w14:paraId="4FC4F093">
                  <w:pPr>
                    <w:pStyle w:val="26"/>
                    <w:spacing w:line="240" w:lineRule="auto"/>
                    <w:ind w:firstLine="0" w:firstLineChars="0"/>
                    <w:jc w:val="center"/>
                    <w:rPr>
                      <w:b/>
                      <w:bCs/>
                      <w:color w:val="auto"/>
                      <w:sz w:val="18"/>
                      <w:szCs w:val="18"/>
                      <w:u w:val="single"/>
                    </w:rPr>
                  </w:pPr>
                  <w:r>
                    <w:rPr>
                      <w:b/>
                      <w:bCs/>
                      <w:color w:val="auto"/>
                      <w:sz w:val="18"/>
                      <w:szCs w:val="18"/>
                      <w:u w:val="single"/>
                    </w:rPr>
                    <w:t>符合</w:t>
                  </w:r>
                </w:p>
              </w:tc>
            </w:tr>
          </w:tbl>
          <w:p w14:paraId="3DCCA89B">
            <w:pPr>
              <w:spacing w:line="360" w:lineRule="auto"/>
              <w:ind w:firstLine="406" w:firstLineChars="200"/>
              <w:rPr>
                <w:b/>
                <w:bCs/>
                <w:color w:val="auto"/>
                <w:spacing w:val="-4"/>
                <w:u w:val="single"/>
              </w:rPr>
            </w:pPr>
            <w:r>
              <w:rPr>
                <w:rFonts w:hint="eastAsia"/>
                <w:b/>
                <w:bCs/>
                <w:color w:val="auto"/>
                <w:spacing w:val="-4"/>
                <w:u w:val="single"/>
              </w:rPr>
              <w:t>经对照，项目建设符合</w:t>
            </w:r>
            <w:r>
              <w:rPr>
                <w:rStyle w:val="33"/>
                <w:rFonts w:hint="eastAsia"/>
                <w:b/>
                <w:bCs/>
                <w:color w:val="auto"/>
                <w:kern w:val="0"/>
                <w:u w:val="single"/>
              </w:rPr>
              <w:t>《</w:t>
            </w:r>
            <w:r>
              <w:rPr>
                <w:rFonts w:hint="eastAsia"/>
                <w:b/>
                <w:bCs/>
                <w:color w:val="auto"/>
                <w:spacing w:val="-2"/>
                <w:u w:val="single"/>
              </w:rPr>
              <w:t>河南省重污染天气通用行业应急减排措施制定技术指南》通用行业基本要求。</w:t>
            </w:r>
          </w:p>
          <w:p w14:paraId="6F6D1900">
            <w:pPr>
              <w:pStyle w:val="4"/>
              <w:numPr>
                <w:ilvl w:val="1"/>
                <w:numId w:val="3"/>
              </w:numPr>
              <w:tabs>
                <w:tab w:val="left" w:pos="0"/>
              </w:tabs>
              <w:rPr>
                <w:b w:val="0"/>
                <w:bCs w:val="0"/>
                <w:u w:val="none"/>
              </w:rPr>
            </w:pPr>
            <w:r>
              <w:rPr>
                <w:b w:val="0"/>
                <w:bCs w:val="0"/>
                <w:u w:val="none"/>
              </w:rPr>
              <w:t>与饮用水水源保护区划相符性分析</w:t>
            </w:r>
          </w:p>
          <w:p w14:paraId="4764F4E8">
            <w:pPr>
              <w:pStyle w:val="5"/>
              <w:rPr>
                <w:rFonts w:hint="default"/>
                <w:b w:val="0"/>
                <w:bCs w:val="0"/>
                <w:u w:val="none"/>
              </w:rPr>
            </w:pPr>
            <w:r>
              <w:rPr>
                <w:rFonts w:hint="default"/>
                <w:b w:val="0"/>
                <w:bCs w:val="0"/>
                <w:u w:val="none"/>
              </w:rPr>
              <w:t>6.1平顶山市饮用水源地保护区划</w:t>
            </w:r>
          </w:p>
          <w:p w14:paraId="0714554E">
            <w:pPr>
              <w:pStyle w:val="5"/>
              <w:rPr>
                <w:rFonts w:hint="default"/>
                <w:b w:val="0"/>
                <w:bCs w:val="0"/>
                <w:u w:val="none"/>
              </w:rPr>
            </w:pPr>
            <w:r>
              <w:rPr>
                <w:b w:val="0"/>
                <w:bCs w:val="0"/>
                <w:u w:val="none"/>
              </w:rPr>
              <w:t>根据河南省人民政府办公厅关于印发《河南省城市集中式饮用水源保护区划》的通知（豫政办（2007）125 号）、平顶山市人民政府关于进一步明确平顶山市地表水饮用水源保护区范围请示（平政文【2009】12 号）、《河南省环境保护厅关于进一步明确昭平台水库地表水水源保护区范围的函》（豫环函【2013】57 号）及《河南省人民政府关于划定调整取消部分集中式饮用水水源保护区的通知》（豫政文〔2019〕125 号、豫政文〔2019〕162 号），对平顶山地表饮用水源地划分保护范围如下：</w:t>
            </w:r>
          </w:p>
          <w:p w14:paraId="32194FD4">
            <w:pPr>
              <w:pStyle w:val="5"/>
              <w:rPr>
                <w:rFonts w:hint="default"/>
                <w:b w:val="0"/>
                <w:bCs w:val="0"/>
                <w:u w:val="none"/>
              </w:rPr>
            </w:pPr>
            <w:r>
              <w:rPr>
                <w:b w:val="0"/>
                <w:bCs w:val="0"/>
                <w:u w:val="none"/>
              </w:rPr>
              <w:t>一级保护区范围：白龟山水库高程103.0m以下的区域；昭平台水库环库路内的区域；应河、大浪河、澎河、荡泽河、沙河、团城河、清水河等主要支流入库口上游2000m的水域及其沿岸50m的陆域，沙河干流昭平台至白龟山水库间的区域；将相河、三里河、七里河、肥河等入沙河口上游2000m的水域及其沿岸50m陆域。</w:t>
            </w:r>
          </w:p>
          <w:p w14:paraId="10183E3A">
            <w:pPr>
              <w:pStyle w:val="5"/>
              <w:rPr>
                <w:rFonts w:hint="default"/>
                <w:b w:val="0"/>
                <w:bCs w:val="0"/>
                <w:u w:val="none"/>
              </w:rPr>
            </w:pPr>
            <w:r>
              <w:rPr>
                <w:b w:val="0"/>
                <w:bCs w:val="0"/>
                <w:u w:val="none"/>
              </w:rPr>
              <w:t>二级保护区范围：白龟山水库，环湖路东起东刘村、西起西太平村以南除一级保护区外的区域，环湖其他区域为水库高程104.0m 以下除一级保护区外的区域；昭平台水库高程177.1 米内的区域；将相河、大浪河一级水体保护区外所有的水域；其他主要支流一级水体保护区外2000 米的水域及其沿岸50m 陆域。</w:t>
            </w:r>
          </w:p>
          <w:p w14:paraId="0D17F21E">
            <w:pPr>
              <w:pStyle w:val="5"/>
              <w:rPr>
                <w:rFonts w:hint="default"/>
                <w:b w:val="0"/>
                <w:bCs w:val="0"/>
                <w:u w:val="none"/>
              </w:rPr>
            </w:pPr>
            <w:r>
              <w:rPr>
                <w:b w:val="0"/>
                <w:bCs w:val="0"/>
                <w:u w:val="none"/>
              </w:rPr>
              <w:t>准保护区：入白龟山水库、昭平台水库、沙河所有二级保护区上游水域和沿岸500m陆域。</w:t>
            </w:r>
          </w:p>
          <w:p w14:paraId="6AB02178">
            <w:pPr>
              <w:pStyle w:val="5"/>
              <w:rPr>
                <w:rFonts w:hint="default"/>
                <w:b w:val="0"/>
                <w:bCs w:val="0"/>
                <w:u w:val="none"/>
              </w:rPr>
            </w:pPr>
            <w:r>
              <w:rPr>
                <w:b w:val="0"/>
                <w:bCs w:val="0"/>
                <w:u w:val="none"/>
              </w:rPr>
              <w:t>本项目选址位于平顶山尼龙新材料产业集聚区，项目选址不在平顶山市划定的一级、二级和准保护区范围内，符合平顶山市饮用水源地规划要求。</w:t>
            </w:r>
          </w:p>
          <w:p w14:paraId="0200D7C2">
            <w:pPr>
              <w:pStyle w:val="5"/>
              <w:rPr>
                <w:rFonts w:hint="default"/>
                <w:b w:val="0"/>
                <w:bCs w:val="0"/>
                <w:u w:val="none"/>
              </w:rPr>
            </w:pPr>
            <w:r>
              <w:rPr>
                <w:b w:val="0"/>
                <w:bCs w:val="0"/>
                <w:u w:val="none"/>
              </w:rPr>
              <w:t>6.2与叶县集中式饮用水源保护区划的协调性</w:t>
            </w:r>
          </w:p>
          <w:p w14:paraId="7561D4D0">
            <w:pPr>
              <w:pStyle w:val="5"/>
              <w:rPr>
                <w:rFonts w:hint="default"/>
                <w:b w:val="0"/>
                <w:bCs w:val="0"/>
                <w:u w:val="none"/>
              </w:rPr>
            </w:pPr>
            <w:r>
              <w:rPr>
                <w:b w:val="0"/>
                <w:bCs w:val="0"/>
                <w:u w:val="none"/>
              </w:rPr>
              <w:t>根据《河南省县级集中式饮用水水源保护区划》豫政办[2013]107号文，叶县地下水源保护区主要包括叶县盐都水务地下水井群、自由路地下水井群和东升洁地下水井群：</w:t>
            </w:r>
          </w:p>
          <w:p w14:paraId="452E1744">
            <w:pPr>
              <w:pStyle w:val="5"/>
              <w:rPr>
                <w:rFonts w:hint="default"/>
                <w:b w:val="0"/>
                <w:bCs w:val="0"/>
                <w:u w:val="none"/>
              </w:rPr>
            </w:pPr>
            <w:r>
              <w:rPr>
                <w:b w:val="0"/>
                <w:bCs w:val="0"/>
                <w:u w:val="none"/>
              </w:rPr>
              <w:t>（1）叶县盐都水务地下水井群（昆鲁大道以北、昆阳大道以西，共3眼井）</w:t>
            </w:r>
          </w:p>
          <w:p w14:paraId="143F653F">
            <w:pPr>
              <w:pStyle w:val="5"/>
              <w:rPr>
                <w:rFonts w:hint="default"/>
                <w:b w:val="0"/>
                <w:bCs w:val="0"/>
                <w:u w:val="none"/>
              </w:rPr>
            </w:pPr>
            <w:r>
              <w:rPr>
                <w:b w:val="0"/>
                <w:bCs w:val="0"/>
                <w:u w:val="none"/>
              </w:rPr>
              <w:t>一级保护区范围：取水井外围30米的区域。</w:t>
            </w:r>
          </w:p>
          <w:p w14:paraId="5F1BD7AF">
            <w:pPr>
              <w:pStyle w:val="5"/>
              <w:rPr>
                <w:rFonts w:hint="default"/>
                <w:b w:val="0"/>
                <w:bCs w:val="0"/>
                <w:u w:val="none"/>
              </w:rPr>
            </w:pPr>
            <w:r>
              <w:rPr>
                <w:b w:val="0"/>
                <w:bCs w:val="0"/>
                <w:u w:val="none"/>
              </w:rPr>
              <w:t>二级保护区范围：一级保护区外，1～2 号取水井外围330 米外公切线所包含的区域。</w:t>
            </w:r>
          </w:p>
          <w:p w14:paraId="4A2E3E73">
            <w:pPr>
              <w:pStyle w:val="5"/>
              <w:rPr>
                <w:rFonts w:hint="default"/>
                <w:b w:val="0"/>
                <w:bCs w:val="0"/>
                <w:u w:val="none"/>
              </w:rPr>
            </w:pPr>
            <w:r>
              <w:rPr>
                <w:b w:val="0"/>
                <w:bCs w:val="0"/>
                <w:u w:val="none"/>
              </w:rPr>
              <w:t>准保护区范围：二级保护区外，东至新建街、西至北关大街、南至文化路、北至昆鲁大道的区域。</w:t>
            </w:r>
          </w:p>
          <w:p w14:paraId="6B1E8E80">
            <w:pPr>
              <w:pStyle w:val="5"/>
              <w:rPr>
                <w:rFonts w:hint="default"/>
                <w:b w:val="0"/>
                <w:bCs w:val="0"/>
                <w:u w:val="none"/>
              </w:rPr>
            </w:pPr>
            <w:r>
              <w:rPr>
                <w:b w:val="0"/>
                <w:bCs w:val="0"/>
                <w:u w:val="none"/>
              </w:rPr>
              <w:t>（2）叶县自由路地下水井群（共2眼井）</w:t>
            </w:r>
          </w:p>
          <w:p w14:paraId="0E4DC4B5">
            <w:pPr>
              <w:pStyle w:val="5"/>
              <w:rPr>
                <w:rFonts w:hint="default"/>
                <w:b w:val="0"/>
                <w:bCs w:val="0"/>
                <w:u w:val="none"/>
              </w:rPr>
            </w:pPr>
            <w:r>
              <w:rPr>
                <w:b w:val="0"/>
                <w:bCs w:val="0"/>
                <w:u w:val="none"/>
              </w:rPr>
              <w:t>一级保护区范围：取水井外围200 米外公切线所包含的区域。</w:t>
            </w:r>
          </w:p>
          <w:p w14:paraId="587FFF23">
            <w:pPr>
              <w:pStyle w:val="5"/>
              <w:rPr>
                <w:rFonts w:hint="default"/>
                <w:b w:val="0"/>
                <w:bCs w:val="0"/>
                <w:u w:val="none"/>
              </w:rPr>
            </w:pPr>
            <w:r>
              <w:rPr>
                <w:b w:val="0"/>
                <w:bCs w:val="0"/>
                <w:u w:val="none"/>
              </w:rPr>
              <w:t>（3）叶县东升洁地下水井群（昆鲁大道以南、昆阳大道以东、中心路以北，共6 眼井）</w:t>
            </w:r>
          </w:p>
          <w:p w14:paraId="416BC213">
            <w:pPr>
              <w:pStyle w:val="5"/>
              <w:rPr>
                <w:rFonts w:hint="default"/>
                <w:b w:val="0"/>
                <w:bCs w:val="0"/>
                <w:u w:val="none"/>
              </w:rPr>
            </w:pPr>
            <w:r>
              <w:rPr>
                <w:b w:val="0"/>
                <w:bCs w:val="0"/>
                <w:u w:val="none"/>
              </w:rPr>
              <w:t>一级保护区范围：取水井外围30 米的区域。</w:t>
            </w:r>
          </w:p>
          <w:p w14:paraId="5E011D01">
            <w:pPr>
              <w:pStyle w:val="5"/>
              <w:rPr>
                <w:rFonts w:hint="default"/>
                <w:b w:val="0"/>
                <w:bCs w:val="0"/>
                <w:u w:val="none"/>
              </w:rPr>
            </w:pPr>
            <w:r>
              <w:rPr>
                <w:b w:val="0"/>
                <w:bCs w:val="0"/>
                <w:u w:val="none"/>
              </w:rPr>
              <w:t>本项目位于平顶山尼龙新材料产业集聚区，距离北侧叶县县城最近为6km，不在其划定的一级、二级保护区和准保护区范围内，符合叶县县级集中式饮用水水源保护区划要求。</w:t>
            </w:r>
          </w:p>
          <w:p w14:paraId="6BC2A1DA">
            <w:pPr>
              <w:pStyle w:val="5"/>
              <w:rPr>
                <w:rFonts w:hint="default"/>
                <w:b w:val="0"/>
                <w:bCs w:val="0"/>
                <w:u w:val="none"/>
              </w:rPr>
            </w:pPr>
            <w:r>
              <w:rPr>
                <w:b w:val="0"/>
                <w:bCs w:val="0"/>
                <w:u w:val="none"/>
              </w:rPr>
              <w:t>6.3与叶县乡镇集中式饮用水源保护区划协调性</w:t>
            </w:r>
          </w:p>
          <w:p w14:paraId="24C81704">
            <w:pPr>
              <w:pStyle w:val="5"/>
              <w:rPr>
                <w:rFonts w:hint="default"/>
                <w:b w:val="0"/>
                <w:bCs w:val="0"/>
                <w:u w:val="none"/>
              </w:rPr>
            </w:pPr>
            <w:r>
              <w:rPr>
                <w:b w:val="0"/>
                <w:bCs w:val="0"/>
                <w:u w:val="none"/>
              </w:rPr>
              <w:t>根据《河南省人民政府办公厅关于印发河南省乡镇集中式饮用水水源保护区划的通知》（豫政办【2016】23 号），叶县乡镇集中式饮用水水源保护区划如下：</w:t>
            </w:r>
          </w:p>
          <w:p w14:paraId="2B27C0CF">
            <w:pPr>
              <w:pStyle w:val="5"/>
              <w:rPr>
                <w:rFonts w:hint="default"/>
                <w:b w:val="0"/>
                <w:bCs w:val="0"/>
                <w:u w:val="none"/>
              </w:rPr>
            </w:pPr>
            <w:r>
              <w:rPr>
                <w:b w:val="0"/>
                <w:bCs w:val="0"/>
                <w:u w:val="none"/>
              </w:rPr>
              <w:t>①叶县任店镇水厂地下水井（共1 眼井）</w:t>
            </w:r>
          </w:p>
          <w:p w14:paraId="2F1C7C33">
            <w:pPr>
              <w:pStyle w:val="5"/>
              <w:rPr>
                <w:rFonts w:hint="default"/>
                <w:b w:val="0"/>
                <w:bCs w:val="0"/>
                <w:u w:val="none"/>
              </w:rPr>
            </w:pPr>
            <w:r>
              <w:rPr>
                <w:b w:val="0"/>
                <w:bCs w:val="0"/>
                <w:u w:val="none"/>
              </w:rPr>
              <w:t>一级保护区范围：水厂厂区及外围东25米、南11米、北29米的区域。</w:t>
            </w:r>
          </w:p>
          <w:p w14:paraId="72D57070">
            <w:pPr>
              <w:pStyle w:val="5"/>
              <w:rPr>
                <w:rFonts w:hint="default"/>
                <w:b w:val="0"/>
                <w:bCs w:val="0"/>
                <w:u w:val="none"/>
              </w:rPr>
            </w:pPr>
            <w:r>
              <w:rPr>
                <w:b w:val="0"/>
                <w:bCs w:val="0"/>
                <w:u w:val="none"/>
              </w:rPr>
              <w:t>②叶县廉村镇水厂地下水井（共1 眼井）</w:t>
            </w:r>
          </w:p>
          <w:p w14:paraId="01477692">
            <w:pPr>
              <w:pStyle w:val="5"/>
              <w:rPr>
                <w:rFonts w:hint="default"/>
                <w:b w:val="0"/>
                <w:bCs w:val="0"/>
                <w:u w:val="none"/>
              </w:rPr>
            </w:pPr>
            <w:r>
              <w:rPr>
                <w:b w:val="0"/>
                <w:bCs w:val="0"/>
                <w:u w:val="none"/>
              </w:rPr>
              <w:t>一级保护区范围：水厂厂区及外围东30 米、西10 米、南5 米、北30 米的区域。</w:t>
            </w:r>
          </w:p>
          <w:p w14:paraId="2D9C7883">
            <w:pPr>
              <w:pStyle w:val="5"/>
              <w:rPr>
                <w:rFonts w:hint="default"/>
                <w:b w:val="0"/>
                <w:bCs w:val="0"/>
                <w:u w:val="none"/>
              </w:rPr>
            </w:pPr>
            <w:r>
              <w:rPr>
                <w:b w:val="0"/>
                <w:bCs w:val="0"/>
                <w:u w:val="none"/>
              </w:rPr>
              <w:t>③叶县水寨乡蒋李水厂地下水井（共1 眼井）</w:t>
            </w:r>
          </w:p>
          <w:p w14:paraId="66C7F947">
            <w:pPr>
              <w:pStyle w:val="5"/>
              <w:rPr>
                <w:rFonts w:hint="default"/>
                <w:b w:val="0"/>
                <w:bCs w:val="0"/>
                <w:u w:val="none"/>
              </w:rPr>
            </w:pPr>
            <w:r>
              <w:rPr>
                <w:b w:val="0"/>
                <w:bCs w:val="0"/>
                <w:u w:val="none"/>
              </w:rPr>
              <w:t>一级保护区范围：水厂厂区及外围东10 米、西30 米、南10 米、北30 米的区域。</w:t>
            </w:r>
          </w:p>
          <w:p w14:paraId="20B30D45">
            <w:pPr>
              <w:pStyle w:val="5"/>
              <w:rPr>
                <w:rFonts w:hint="default"/>
                <w:b w:val="0"/>
                <w:bCs w:val="0"/>
                <w:u w:val="none"/>
              </w:rPr>
            </w:pPr>
            <w:r>
              <w:rPr>
                <w:b w:val="0"/>
                <w:bCs w:val="0"/>
                <w:u w:val="none"/>
              </w:rPr>
              <w:t>④叶县保安镇水厂地下水井（共1 眼井）</w:t>
            </w:r>
          </w:p>
          <w:p w14:paraId="1010E497">
            <w:pPr>
              <w:pStyle w:val="5"/>
              <w:rPr>
                <w:rFonts w:hint="default"/>
                <w:b w:val="0"/>
                <w:bCs w:val="0"/>
                <w:u w:val="none"/>
              </w:rPr>
            </w:pPr>
            <w:r>
              <w:rPr>
                <w:b w:val="0"/>
                <w:bCs w:val="0"/>
                <w:u w:val="none"/>
              </w:rPr>
              <w:t>一级保护区范围：水厂厂区及外围东10 米、西30 米、南15 米、北30 米的区域。</w:t>
            </w:r>
          </w:p>
          <w:p w14:paraId="731E2422">
            <w:pPr>
              <w:pStyle w:val="5"/>
              <w:rPr>
                <w:rFonts w:hint="default"/>
                <w:b w:val="0"/>
                <w:bCs w:val="0"/>
                <w:u w:val="none"/>
              </w:rPr>
            </w:pPr>
            <w:r>
              <w:rPr>
                <w:b w:val="0"/>
                <w:bCs w:val="0"/>
                <w:u w:val="none"/>
              </w:rPr>
              <w:t>二级保护区范围：一级保护区外围300米的区域。</w:t>
            </w:r>
          </w:p>
          <w:p w14:paraId="665D1DCA">
            <w:pPr>
              <w:pStyle w:val="5"/>
              <w:rPr>
                <w:rFonts w:hint="default"/>
                <w:b w:val="0"/>
                <w:bCs w:val="0"/>
                <w:u w:val="none"/>
              </w:rPr>
            </w:pPr>
            <w:r>
              <w:rPr>
                <w:b w:val="0"/>
                <w:bCs w:val="0"/>
                <w:u w:val="none"/>
              </w:rPr>
              <w:t>本项目选址位于平顶山尼龙新材料产业集聚区，不在上述划定水源地的乡镇范围内，距离项目区最近的乡镇级集中式饮用水水源保护区为廉村镇水厂，距离约7.4km，不在本次调查范围内，本次项目建设对该水源地影响基本可以忽略。</w:t>
            </w:r>
          </w:p>
          <w:p w14:paraId="1D4CCEE3">
            <w:pPr>
              <w:pStyle w:val="5"/>
              <w:rPr>
                <w:rFonts w:hint="default"/>
                <w:b w:val="0"/>
                <w:bCs w:val="0"/>
                <w:u w:val="none"/>
              </w:rPr>
            </w:pPr>
            <w:r>
              <w:rPr>
                <w:b w:val="0"/>
                <w:bCs w:val="0"/>
                <w:u w:val="none"/>
              </w:rPr>
              <w:t>综上所述，本项目不涉及饮用水水源保护区。</w:t>
            </w:r>
          </w:p>
          <w:p w14:paraId="26A9A1A6">
            <w:pPr>
              <w:pStyle w:val="5"/>
              <w:rPr>
                <w:rFonts w:hint="default"/>
                <w:b w:val="0"/>
                <w:bCs w:val="0"/>
                <w:u w:val="none"/>
              </w:rPr>
            </w:pPr>
          </w:p>
          <w:p w14:paraId="54AB2635">
            <w:pPr>
              <w:pStyle w:val="5"/>
              <w:rPr>
                <w:rFonts w:hint="default"/>
                <w:b w:val="0"/>
                <w:bCs w:val="0"/>
                <w:u w:val="none"/>
              </w:rPr>
            </w:pPr>
          </w:p>
          <w:p w14:paraId="44E5B557">
            <w:pPr>
              <w:pStyle w:val="5"/>
              <w:rPr>
                <w:rFonts w:hint="default"/>
                <w:b w:val="0"/>
                <w:bCs w:val="0"/>
                <w:u w:val="none"/>
              </w:rPr>
            </w:pPr>
          </w:p>
          <w:p w14:paraId="3B6AAEA3">
            <w:pPr>
              <w:pStyle w:val="5"/>
              <w:rPr>
                <w:rFonts w:hint="default"/>
                <w:b w:val="0"/>
                <w:bCs w:val="0"/>
                <w:u w:val="none"/>
              </w:rPr>
            </w:pPr>
          </w:p>
          <w:p w14:paraId="06BA6980">
            <w:pPr>
              <w:pStyle w:val="5"/>
              <w:rPr>
                <w:rFonts w:hint="default"/>
                <w:b w:val="0"/>
                <w:bCs w:val="0"/>
                <w:u w:val="none"/>
              </w:rPr>
            </w:pPr>
          </w:p>
          <w:p w14:paraId="386E1583">
            <w:pPr>
              <w:pStyle w:val="5"/>
              <w:rPr>
                <w:rFonts w:hint="default"/>
                <w:b w:val="0"/>
                <w:bCs w:val="0"/>
                <w:u w:val="none"/>
              </w:rPr>
            </w:pPr>
          </w:p>
        </w:tc>
      </w:tr>
    </w:tbl>
    <w:p w14:paraId="045050CA">
      <w:pPr>
        <w:rPr>
          <w:b w:val="0"/>
          <w:bCs w:val="0"/>
          <w:u w:val="none"/>
        </w:rPr>
        <w:sectPr>
          <w:headerReference r:id="rId3" w:type="default"/>
          <w:footerReference r:id="rId4" w:type="default"/>
          <w:pgSz w:w="11906" w:h="16838"/>
          <w:pgMar w:top="1440" w:right="1803" w:bottom="1440" w:left="1803" w:header="851" w:footer="992" w:gutter="0"/>
          <w:pgNumType w:start="1"/>
          <w:cols w:space="0" w:num="1"/>
          <w:docGrid w:type="lines" w:linePitch="332" w:charSpace="0"/>
        </w:sectPr>
      </w:pPr>
    </w:p>
    <w:p w14:paraId="5DA975E5">
      <w:pPr>
        <w:pStyle w:val="3"/>
        <w:rPr>
          <w:b w:val="0"/>
          <w:bCs w:val="0"/>
          <w:u w:val="none"/>
        </w:rPr>
      </w:pPr>
      <w:r>
        <w:rPr>
          <w:rFonts w:hint="eastAsia"/>
          <w:b w:val="0"/>
          <w:bCs w:val="0"/>
          <w:u w:val="none"/>
        </w:rPr>
        <w:t>建设项目工程分析</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82"/>
      </w:tblGrid>
      <w:tr w14:paraId="3B66A1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734" w:type="dxa"/>
            <w:tcBorders>
              <w:top w:val="single" w:color="auto" w:sz="8" w:space="0"/>
              <w:left w:val="single" w:color="auto" w:sz="8" w:space="0"/>
              <w:bottom w:val="single" w:color="auto" w:sz="4" w:space="0"/>
              <w:right w:val="single" w:color="auto" w:sz="4" w:space="0"/>
            </w:tcBorders>
            <w:vAlign w:val="center"/>
          </w:tcPr>
          <w:p w14:paraId="491CAC41">
            <w:pPr>
              <w:rPr>
                <w:b w:val="0"/>
                <w:bCs w:val="0"/>
                <w:u w:val="none"/>
              </w:rPr>
            </w:pPr>
            <w:r>
              <w:rPr>
                <w:rFonts w:hint="eastAsia"/>
                <w:b w:val="0"/>
                <w:bCs w:val="0"/>
                <w:u w:val="none"/>
              </w:rPr>
              <w:t>建设内容</w:t>
            </w:r>
          </w:p>
        </w:tc>
        <w:tc>
          <w:tcPr>
            <w:tcW w:w="7782" w:type="dxa"/>
            <w:tcBorders>
              <w:top w:val="single" w:color="auto" w:sz="8" w:space="0"/>
              <w:left w:val="single" w:color="auto" w:sz="4" w:space="0"/>
              <w:bottom w:val="single" w:color="auto" w:sz="4" w:space="0"/>
              <w:right w:val="single" w:color="auto" w:sz="8" w:space="0"/>
            </w:tcBorders>
          </w:tcPr>
          <w:p w14:paraId="6C092030">
            <w:pPr>
              <w:pStyle w:val="4"/>
              <w:numPr>
                <w:ilvl w:val="1"/>
                <w:numId w:val="4"/>
              </w:numPr>
              <w:tabs>
                <w:tab w:val="left" w:pos="0"/>
              </w:tabs>
              <w:rPr>
                <w:b w:val="0"/>
                <w:bCs w:val="0"/>
                <w:u w:val="none"/>
              </w:rPr>
            </w:pPr>
            <w:r>
              <w:rPr>
                <w:rFonts w:hint="eastAsia"/>
                <w:b w:val="0"/>
                <w:bCs w:val="0"/>
                <w:u w:val="none"/>
              </w:rPr>
              <w:t>项目概况</w:t>
            </w:r>
          </w:p>
          <w:p w14:paraId="3524C4D4">
            <w:pPr>
              <w:pStyle w:val="5"/>
              <w:rPr>
                <w:rFonts w:hint="default"/>
                <w:b w:val="0"/>
                <w:bCs w:val="0"/>
                <w:u w:val="none"/>
              </w:rPr>
            </w:pPr>
            <w:r>
              <w:rPr>
                <w:b w:val="0"/>
                <w:bCs w:val="0"/>
                <w:u w:val="none"/>
              </w:rPr>
              <w:t>河南平益气体有限公司创立于2021年7月，注册资本5000万元。专业从事各类气体（电子级氨、</w:t>
            </w:r>
            <w:r>
              <w:rPr>
                <w:rFonts w:hint="eastAsia"/>
                <w:b w:val="0"/>
                <w:bCs w:val="0"/>
                <w:u w:val="none"/>
                <w:lang w:eastAsia="zh-CN"/>
              </w:rPr>
              <w:t>二氧化碳</w:t>
            </w:r>
            <w:r>
              <w:rPr>
                <w:b w:val="0"/>
                <w:bCs w:val="0"/>
                <w:u w:val="none"/>
              </w:rPr>
              <w:t>、高纯一氧化碳、高纯氢、笑气）的提纯、储存、销售。</w:t>
            </w:r>
          </w:p>
          <w:p w14:paraId="5E9FC85D">
            <w:pPr>
              <w:pStyle w:val="5"/>
              <w:ind w:firstLine="422"/>
              <w:rPr>
                <w:rFonts w:hint="default"/>
                <w:b w:val="0"/>
                <w:bCs w:val="0"/>
                <w:u w:val="none"/>
              </w:rPr>
            </w:pPr>
            <w:r>
              <w:rPr>
                <w:b w:val="0"/>
                <w:bCs w:val="0"/>
                <w:u w:val="none"/>
              </w:rPr>
              <w:t>CO</w:t>
            </w:r>
            <w:r>
              <w:rPr>
                <w:b w:val="0"/>
                <w:bCs w:val="0"/>
                <w:u w:val="none"/>
                <w:vertAlign w:val="subscript"/>
              </w:rPr>
              <w:t>2</w:t>
            </w:r>
            <w:r>
              <w:rPr>
                <w:b w:val="0"/>
                <w:bCs w:val="0"/>
                <w:u w:val="none"/>
              </w:rPr>
              <w:t>为主要温室气体之一，随着人类社会的不断发展，化石能源无论是年消耗量还是在一次能源中所占有的比例均不断攀升，从而使大量的二氧化碳气体排放到大气中，由此对全球气候产生的影响受到世界各国的广泛关注。由于二氧化碳等温室气体的大量排放，引起了全球气候变暖，对世界各国的社会经济等各领域产生负面影响，它会造成水资源短缺、居住环境恶化、经济损失加剧、海平面上升、热浪袭击增加等现象的发生，人类健康受到严重威胁，另外还可能引起物种变化的加剧。但同时，CO</w:t>
            </w:r>
            <w:r>
              <w:rPr>
                <w:b w:val="0"/>
                <w:bCs w:val="0"/>
                <w:u w:val="none"/>
                <w:vertAlign w:val="subscript"/>
              </w:rPr>
              <w:t>2</w:t>
            </w:r>
            <w:r>
              <w:rPr>
                <w:b w:val="0"/>
                <w:bCs w:val="0"/>
                <w:u w:val="none"/>
              </w:rPr>
              <w:t>在环保、食品、医疗、农业生产等诸多领域具有巨大的应用潜力，因此回收CO</w:t>
            </w:r>
            <w:r>
              <w:rPr>
                <w:b w:val="0"/>
                <w:bCs w:val="0"/>
                <w:u w:val="none"/>
                <w:vertAlign w:val="subscript"/>
              </w:rPr>
              <w:t>2</w:t>
            </w:r>
            <w:r>
              <w:rPr>
                <w:b w:val="0"/>
                <w:bCs w:val="0"/>
                <w:u w:val="none"/>
              </w:rPr>
              <w:t>不仅可以起到减少污染物排放的作用，还能获得很好的经济效益。</w:t>
            </w:r>
          </w:p>
          <w:p w14:paraId="32D67F56">
            <w:pPr>
              <w:pStyle w:val="5"/>
              <w:ind w:firstLine="422"/>
              <w:rPr>
                <w:rFonts w:hint="default"/>
                <w:b w:val="0"/>
                <w:bCs w:val="0"/>
                <w:u w:val="none"/>
              </w:rPr>
            </w:pPr>
            <w:r>
              <w:rPr>
                <w:b w:val="0"/>
                <w:bCs w:val="0"/>
                <w:u w:val="none"/>
              </w:rPr>
              <w:t>为改善全球大气环境，降低温室气体排放，积极响应国家号召努力提升低碳发展水平，河南平益气体有限公司本着“环境友好型”的社会责任感，结合企业实际情况，综合利用化工尾气资源，在规划用地上，对河南神马氢化学有限责任公司净化装置尾气进行CO</w:t>
            </w:r>
            <w:r>
              <w:rPr>
                <w:b w:val="0"/>
                <w:bCs w:val="0"/>
                <w:u w:val="none"/>
                <w:vertAlign w:val="subscript"/>
              </w:rPr>
              <w:t>2</w:t>
            </w:r>
            <w:r>
              <w:rPr>
                <w:b w:val="0"/>
                <w:bCs w:val="0"/>
                <w:u w:val="none"/>
              </w:rPr>
              <w:t>回收利用，制取液体CO</w:t>
            </w:r>
            <w:r>
              <w:rPr>
                <w:b w:val="0"/>
                <w:bCs w:val="0"/>
                <w:u w:val="none"/>
                <w:vertAlign w:val="subscript"/>
              </w:rPr>
              <w:t>2</w:t>
            </w:r>
            <w:r>
              <w:rPr>
                <w:b w:val="0"/>
                <w:bCs w:val="0"/>
                <w:u w:val="none"/>
              </w:rPr>
              <w:t>，以减少碳排放，不但为建设单位创造新的经济价值，同时减少了区域碳排放，完善园区工业产业链。</w:t>
            </w:r>
          </w:p>
          <w:p w14:paraId="69DFE121">
            <w:pPr>
              <w:pStyle w:val="5"/>
              <w:rPr>
                <w:rFonts w:hint="default"/>
                <w:b w:val="0"/>
                <w:bCs w:val="0"/>
                <w:color w:val="FF0000"/>
                <w:highlight w:val="none"/>
                <w:u w:val="none"/>
              </w:rPr>
            </w:pPr>
            <w:r>
              <w:rPr>
                <w:b w:val="0"/>
                <w:bCs w:val="0"/>
                <w:u w:val="none"/>
              </w:rPr>
              <w:t>本项目拟</w:t>
            </w:r>
            <w:r>
              <w:rPr>
                <w:b w:val="0"/>
                <w:bCs w:val="0"/>
                <w:highlight w:val="none"/>
                <w:u w:val="none"/>
              </w:rPr>
              <w:t>建设</w:t>
            </w:r>
            <w:r>
              <w:rPr>
                <w:rFonts w:hint="eastAsia"/>
                <w:b w:val="0"/>
                <w:bCs w:val="0"/>
                <w:highlight w:val="none"/>
                <w:u w:val="none"/>
                <w:lang w:eastAsia="zh-CN"/>
              </w:rPr>
              <w:t>二氧化碳</w:t>
            </w:r>
            <w:r>
              <w:rPr>
                <w:b w:val="0"/>
                <w:bCs w:val="0"/>
                <w:highlight w:val="none"/>
                <w:u w:val="none"/>
              </w:rPr>
              <w:t>和超纯氨提纯</w:t>
            </w:r>
            <w:r>
              <w:rPr>
                <w:b w:val="0"/>
                <w:bCs w:val="0"/>
                <w:u w:val="none"/>
              </w:rPr>
              <w:t>装置，以河南神马氢化学有限责任公司净化装置尾气</w:t>
            </w:r>
            <w:r>
              <w:rPr>
                <w:b w:val="0"/>
                <w:bCs w:val="0"/>
                <w:highlight w:val="none"/>
                <w:u w:val="none"/>
              </w:rPr>
              <w:t>（</w:t>
            </w:r>
            <w:r>
              <w:rPr>
                <w:b w:val="0"/>
                <w:bCs w:val="0"/>
                <w:color w:val="FF0000"/>
                <w:highlight w:val="none"/>
                <w:u w:val="none"/>
              </w:rPr>
              <w:t>CO</w:t>
            </w:r>
            <w:r>
              <w:rPr>
                <w:b w:val="0"/>
                <w:bCs w:val="0"/>
                <w:color w:val="FF0000"/>
                <w:highlight w:val="none"/>
                <w:u w:val="none"/>
                <w:vertAlign w:val="subscript"/>
              </w:rPr>
              <w:t>2</w:t>
            </w:r>
            <w:r>
              <w:rPr>
                <w:b w:val="0"/>
                <w:bCs w:val="0"/>
                <w:color w:val="FF0000"/>
                <w:highlight w:val="none"/>
                <w:u w:val="none"/>
              </w:rPr>
              <w:t>体积分数</w:t>
            </w:r>
            <w:r>
              <w:rPr>
                <w:rFonts w:hint="eastAsia"/>
                <w:b w:val="0"/>
                <w:bCs w:val="0"/>
                <w:color w:val="FF0000"/>
                <w:highlight w:val="none"/>
                <w:u w:val="none"/>
                <w:lang w:val="en-US" w:eastAsia="zh-CN"/>
              </w:rPr>
              <w:t>98.5</w:t>
            </w:r>
            <w:r>
              <w:rPr>
                <w:b w:val="0"/>
                <w:bCs w:val="0"/>
                <w:color w:val="FF0000"/>
                <w:highlight w:val="none"/>
                <w:u w:val="none"/>
              </w:rPr>
              <w:t>%</w:t>
            </w:r>
            <w:r>
              <w:rPr>
                <w:b w:val="0"/>
                <w:bCs w:val="0"/>
                <w:highlight w:val="none"/>
                <w:u w:val="none"/>
              </w:rPr>
              <w:t>）和</w:t>
            </w:r>
            <w:r>
              <w:rPr>
                <w:rFonts w:hint="eastAsia"/>
                <w:b w:val="0"/>
                <w:bCs w:val="0"/>
                <w:color w:val="auto"/>
                <w:highlight w:val="none"/>
                <w:u w:val="none"/>
                <w:lang w:eastAsia="zh-CN"/>
              </w:rPr>
              <w:t>优等品</w:t>
            </w:r>
            <w:r>
              <w:rPr>
                <w:b w:val="0"/>
                <w:bCs w:val="0"/>
                <w:color w:val="auto"/>
                <w:highlight w:val="none"/>
                <w:u w:val="none"/>
              </w:rPr>
              <w:t>产品液氨（氨质量分数99.9%）为原料，利用DN800和DN40管道输送至厂区，</w:t>
            </w:r>
            <w:r>
              <w:rPr>
                <w:b w:val="0"/>
                <w:bCs w:val="0"/>
                <w:color w:val="FF0000"/>
                <w:highlight w:val="none"/>
                <w:u w:val="none"/>
              </w:rPr>
              <w:t>采用精馏工艺提取</w:t>
            </w:r>
            <w:r>
              <w:rPr>
                <w:rFonts w:hint="eastAsia"/>
                <w:b w:val="0"/>
                <w:bCs w:val="0"/>
                <w:color w:val="FF0000"/>
                <w:highlight w:val="none"/>
                <w:u w:val="none"/>
                <w:lang w:eastAsia="zh-CN"/>
              </w:rPr>
              <w:t>二氧化碳</w:t>
            </w:r>
            <w:r>
              <w:rPr>
                <w:b w:val="0"/>
                <w:bCs w:val="0"/>
                <w:color w:val="FF0000"/>
                <w:highlight w:val="none"/>
                <w:u w:val="none"/>
              </w:rPr>
              <w:t>（</w:t>
            </w:r>
            <w:r>
              <w:rPr>
                <w:rFonts w:hint="eastAsia"/>
                <w:b w:val="0"/>
                <w:bCs w:val="0"/>
                <w:color w:val="FF0000"/>
                <w:highlight w:val="none"/>
                <w:u w:val="none"/>
                <w:lang w:eastAsia="zh-CN"/>
              </w:rPr>
              <w:t>体积分数</w:t>
            </w:r>
            <w:r>
              <w:rPr>
                <w:b w:val="0"/>
                <w:bCs w:val="0"/>
                <w:color w:val="FF0000"/>
                <w:highlight w:val="none"/>
                <w:u w:val="none"/>
              </w:rPr>
              <w:t>≥99.5%）和超纯氨（体积分数≥99.99999%）。</w:t>
            </w:r>
          </w:p>
          <w:p w14:paraId="4CCC957D">
            <w:pPr>
              <w:pStyle w:val="5"/>
              <w:rPr>
                <w:rFonts w:hint="default"/>
                <w:b w:val="0"/>
                <w:bCs w:val="0"/>
                <w:u w:val="none"/>
              </w:rPr>
            </w:pPr>
            <w:r>
              <w:rPr>
                <w:b w:val="0"/>
                <w:bCs w:val="0"/>
                <w:u w:val="none"/>
              </w:rPr>
              <w:t>根据《中华人民共和国环境保护法》、《中华人民共和国环境影响评价法》及《建设项目环境保护管理条例》，本项目应进行环境影响评价工作。根据《建设项目环境影响评价分类管理名录》（2021年版)的相关规定，本项目属于“二十三、化学原料和化学制品制造业中26第 44 条基础化学原料制造 261”。中“单纯物理分离、物理提纯、混合、分装的（不产生废水或挥发性有机物的除外）”的项目，应编制环境影响报告表。</w:t>
            </w:r>
          </w:p>
          <w:p w14:paraId="5F8FC8D4">
            <w:pPr>
              <w:pStyle w:val="5"/>
              <w:rPr>
                <w:rFonts w:hint="default"/>
                <w:b w:val="0"/>
                <w:bCs w:val="0"/>
                <w:u w:val="none"/>
              </w:rPr>
            </w:pPr>
            <w:r>
              <w:rPr>
                <w:b w:val="0"/>
                <w:bCs w:val="0"/>
                <w:u w:val="none"/>
              </w:rPr>
              <w:t>受建设单位委托（委托书见附件1），我单位承担了平顶山尼龙产业园工业气体岛一期项目（简称“本项目”）的环境影响评价工作，在现场踏勘、资料分析等工作的基础上编制完成了本项目环境影响报告表。</w:t>
            </w:r>
          </w:p>
          <w:p w14:paraId="2A1866DA">
            <w:pPr>
              <w:pStyle w:val="4"/>
              <w:numPr>
                <w:ilvl w:val="1"/>
                <w:numId w:val="3"/>
              </w:numPr>
              <w:tabs>
                <w:tab w:val="left" w:pos="0"/>
              </w:tabs>
              <w:rPr>
                <w:b w:val="0"/>
                <w:bCs w:val="0"/>
                <w:u w:val="none"/>
              </w:rPr>
            </w:pPr>
            <w:r>
              <w:rPr>
                <w:b w:val="0"/>
                <w:bCs w:val="0"/>
                <w:u w:val="none"/>
              </w:rPr>
              <w:t>项目组成</w:t>
            </w:r>
          </w:p>
          <w:p w14:paraId="052E7A03">
            <w:pPr>
              <w:pStyle w:val="5"/>
              <w:rPr>
                <w:rFonts w:hint="default"/>
                <w:b w:val="0"/>
                <w:bCs w:val="0"/>
                <w:u w:val="none"/>
              </w:rPr>
            </w:pPr>
            <w:r>
              <w:rPr>
                <w:b w:val="0"/>
                <w:bCs w:val="0"/>
                <w:u w:val="none"/>
              </w:rPr>
              <w:t>本项目组成详见下表。</w:t>
            </w:r>
          </w:p>
          <w:p w14:paraId="630B7D22">
            <w:pPr>
              <w:pStyle w:val="44"/>
              <w:numPr>
                <w:ilvl w:val="0"/>
                <w:numId w:val="2"/>
              </w:numPr>
              <w:rPr>
                <w:rFonts w:hint="default"/>
                <w:b w:val="0"/>
                <w:bCs w:val="0"/>
                <w:u w:val="none"/>
              </w:rPr>
            </w:pPr>
            <w:r>
              <w:rPr>
                <w:b w:val="0"/>
                <w:bCs w:val="0"/>
                <w:u w:val="none"/>
              </w:rPr>
              <w:t xml:space="preserve">  本项目项目组成表</w:t>
            </w:r>
          </w:p>
          <w:tbl>
            <w:tblPr>
              <w:tblStyle w:val="27"/>
              <w:tblW w:w="4998"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78"/>
              <w:gridCol w:w="552"/>
              <w:gridCol w:w="1065"/>
              <w:gridCol w:w="5568"/>
            </w:tblGrid>
            <w:tr w14:paraId="3049FAC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19" w:type="pct"/>
                  <w:gridSpan w:val="3"/>
                  <w:tcBorders>
                    <w:tl2br w:val="nil"/>
                    <w:tr2bl w:val="nil"/>
                  </w:tcBorders>
                  <w:shd w:val="clear" w:color="auto" w:fill="auto"/>
                  <w:vAlign w:val="center"/>
                </w:tcPr>
                <w:p w14:paraId="4ACC7C75">
                  <w:pPr>
                    <w:pStyle w:val="45"/>
                    <w:rPr>
                      <w:rFonts w:hint="default"/>
                      <w:b w:val="0"/>
                      <w:bCs w:val="0"/>
                      <w:szCs w:val="18"/>
                      <w:u w:val="none"/>
                    </w:rPr>
                  </w:pPr>
                  <w:r>
                    <w:rPr>
                      <w:rFonts w:hint="default"/>
                      <w:b w:val="0"/>
                      <w:bCs w:val="0"/>
                      <w:szCs w:val="18"/>
                      <w:u w:val="none"/>
                    </w:rPr>
                    <w:t>类别</w:t>
                  </w:r>
                </w:p>
              </w:tc>
              <w:tc>
                <w:tcPr>
                  <w:tcW w:w="3680" w:type="pct"/>
                  <w:tcBorders>
                    <w:tl2br w:val="nil"/>
                    <w:tr2bl w:val="nil"/>
                  </w:tcBorders>
                  <w:shd w:val="clear" w:color="auto" w:fill="auto"/>
                  <w:vAlign w:val="center"/>
                </w:tcPr>
                <w:p w14:paraId="21CF7F0E">
                  <w:pPr>
                    <w:pStyle w:val="45"/>
                    <w:rPr>
                      <w:rFonts w:hint="default"/>
                      <w:b w:val="0"/>
                      <w:bCs w:val="0"/>
                      <w:szCs w:val="18"/>
                      <w:u w:val="none"/>
                    </w:rPr>
                  </w:pPr>
                  <w:r>
                    <w:rPr>
                      <w:rFonts w:hint="default"/>
                      <w:b w:val="0"/>
                      <w:bCs w:val="0"/>
                      <w:szCs w:val="18"/>
                      <w:u w:val="none"/>
                    </w:rPr>
                    <w:t>具体内容</w:t>
                  </w:r>
                </w:p>
              </w:tc>
            </w:tr>
            <w:tr w14:paraId="685204C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restart"/>
                  <w:tcBorders>
                    <w:tl2br w:val="nil"/>
                    <w:tr2bl w:val="nil"/>
                  </w:tcBorders>
                  <w:shd w:val="clear" w:color="auto" w:fill="auto"/>
                  <w:vAlign w:val="center"/>
                </w:tcPr>
                <w:p w14:paraId="21276596">
                  <w:pPr>
                    <w:pStyle w:val="45"/>
                    <w:rPr>
                      <w:rFonts w:hint="default"/>
                      <w:b w:val="0"/>
                      <w:bCs w:val="0"/>
                      <w:szCs w:val="18"/>
                      <w:u w:val="none"/>
                    </w:rPr>
                  </w:pPr>
                  <w:r>
                    <w:rPr>
                      <w:rFonts w:hint="default"/>
                      <w:b w:val="0"/>
                      <w:bCs w:val="0"/>
                      <w:szCs w:val="18"/>
                      <w:u w:val="none"/>
                    </w:rPr>
                    <w:t>主体工程</w:t>
                  </w:r>
                </w:p>
              </w:tc>
              <w:tc>
                <w:tcPr>
                  <w:tcW w:w="1069" w:type="pct"/>
                  <w:gridSpan w:val="2"/>
                  <w:tcBorders>
                    <w:tl2br w:val="nil"/>
                    <w:tr2bl w:val="nil"/>
                  </w:tcBorders>
                  <w:shd w:val="clear" w:color="auto" w:fill="auto"/>
                  <w:vAlign w:val="center"/>
                </w:tcPr>
                <w:p w14:paraId="7F710088">
                  <w:pPr>
                    <w:pStyle w:val="45"/>
                    <w:rPr>
                      <w:rFonts w:hint="default"/>
                      <w:b w:val="0"/>
                      <w:bCs w:val="0"/>
                      <w:szCs w:val="18"/>
                      <w:u w:val="none"/>
                    </w:rPr>
                  </w:pPr>
                  <w:r>
                    <w:rPr>
                      <w:b w:val="0"/>
                      <w:bCs w:val="0"/>
                      <w:szCs w:val="18"/>
                      <w:u w:val="none"/>
                    </w:rPr>
                    <w:t>液体</w:t>
                  </w:r>
                  <w:r>
                    <w:rPr>
                      <w:rFonts w:hint="default"/>
                      <w:b w:val="0"/>
                      <w:bCs w:val="0"/>
                      <w:szCs w:val="18"/>
                      <w:u w:val="none"/>
                    </w:rPr>
                    <w:t>CO</w:t>
                  </w:r>
                  <w:r>
                    <w:rPr>
                      <w:rFonts w:hint="default"/>
                      <w:b w:val="0"/>
                      <w:bCs w:val="0"/>
                      <w:szCs w:val="18"/>
                      <w:u w:val="none"/>
                      <w:vertAlign w:val="subscript"/>
                    </w:rPr>
                    <w:t>2</w:t>
                  </w:r>
                  <w:r>
                    <w:rPr>
                      <w:rFonts w:hint="default"/>
                      <w:b w:val="0"/>
                      <w:bCs w:val="0"/>
                      <w:szCs w:val="18"/>
                      <w:u w:val="none"/>
                    </w:rPr>
                    <w:t>生产装置区</w:t>
                  </w:r>
                </w:p>
              </w:tc>
              <w:tc>
                <w:tcPr>
                  <w:tcW w:w="3680" w:type="pct"/>
                  <w:tcBorders>
                    <w:tl2br w:val="nil"/>
                    <w:tr2bl w:val="nil"/>
                  </w:tcBorders>
                  <w:shd w:val="clear" w:color="auto" w:fill="auto"/>
                  <w:vAlign w:val="center"/>
                </w:tcPr>
                <w:p w14:paraId="2D2E67D4">
                  <w:pPr>
                    <w:pStyle w:val="45"/>
                    <w:rPr>
                      <w:rFonts w:hint="default"/>
                      <w:b w:val="0"/>
                      <w:bCs w:val="0"/>
                      <w:szCs w:val="18"/>
                      <w:u w:val="none"/>
                    </w:rPr>
                  </w:pPr>
                  <w:r>
                    <w:rPr>
                      <w:rFonts w:hint="default"/>
                      <w:b w:val="0"/>
                      <w:bCs w:val="0"/>
                      <w:szCs w:val="18"/>
                      <w:u w:val="none"/>
                    </w:rPr>
                    <w:t>1栋1层干冰厂房，建筑面积719m</w:t>
                  </w:r>
                  <w:r>
                    <w:rPr>
                      <w:rFonts w:hint="default"/>
                      <w:b w:val="0"/>
                      <w:bCs w:val="0"/>
                      <w:szCs w:val="18"/>
                      <w:u w:val="none"/>
                      <w:vertAlign w:val="superscript"/>
                    </w:rPr>
                    <w:t>2</w:t>
                  </w:r>
                  <w:r>
                    <w:rPr>
                      <w:rFonts w:hint="default"/>
                      <w:b w:val="0"/>
                      <w:bCs w:val="0"/>
                      <w:szCs w:val="18"/>
                      <w:u w:val="none"/>
                    </w:rPr>
                    <w:t>。1栋1层压缩厂房，建筑面积865.8m</w:t>
                  </w:r>
                  <w:r>
                    <w:rPr>
                      <w:rFonts w:hint="default"/>
                      <w:b w:val="0"/>
                      <w:bCs w:val="0"/>
                      <w:szCs w:val="18"/>
                      <w:u w:val="none"/>
                      <w:vertAlign w:val="superscript"/>
                    </w:rPr>
                    <w:t>2</w:t>
                  </w:r>
                  <w:r>
                    <w:rPr>
                      <w:rFonts w:hint="default"/>
                      <w:b w:val="0"/>
                      <w:bCs w:val="0"/>
                      <w:szCs w:val="18"/>
                      <w:u w:val="none"/>
                    </w:rPr>
                    <w:t>。设置1条20万吨/年</w:t>
                  </w:r>
                  <w:r>
                    <w:rPr>
                      <w:rFonts w:hint="eastAsia"/>
                      <w:b w:val="0"/>
                      <w:bCs w:val="0"/>
                      <w:szCs w:val="18"/>
                      <w:u w:val="none"/>
                      <w:lang w:eastAsia="zh-CN"/>
                    </w:rPr>
                    <w:t>二氧化碳</w:t>
                  </w:r>
                  <w:r>
                    <w:rPr>
                      <w:rFonts w:hint="default"/>
                      <w:b w:val="0"/>
                      <w:bCs w:val="0"/>
                      <w:szCs w:val="18"/>
                      <w:u w:val="none"/>
                    </w:rPr>
                    <w:t>生产线，由原料压缩机及其附属设备、脱硫塔、吸附塔、精馏塔、提纯塔等设备组成，生产装置为敞开式框架结构。</w:t>
                  </w:r>
                </w:p>
              </w:tc>
            </w:tr>
            <w:tr w14:paraId="433C233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continue"/>
                  <w:tcBorders>
                    <w:tl2br w:val="nil"/>
                    <w:tr2bl w:val="nil"/>
                  </w:tcBorders>
                  <w:shd w:val="clear" w:color="auto" w:fill="auto"/>
                  <w:vAlign w:val="center"/>
                </w:tcPr>
                <w:p w14:paraId="2D8D7107">
                  <w:pPr>
                    <w:pStyle w:val="45"/>
                    <w:rPr>
                      <w:rFonts w:hint="default"/>
                      <w:b w:val="0"/>
                      <w:bCs w:val="0"/>
                      <w:szCs w:val="18"/>
                      <w:u w:val="none"/>
                    </w:rPr>
                  </w:pPr>
                </w:p>
              </w:tc>
              <w:tc>
                <w:tcPr>
                  <w:tcW w:w="365" w:type="pct"/>
                  <w:vMerge w:val="restart"/>
                  <w:tcBorders>
                    <w:tl2br w:val="nil"/>
                    <w:tr2bl w:val="nil"/>
                  </w:tcBorders>
                  <w:shd w:val="clear" w:color="auto" w:fill="auto"/>
                  <w:vAlign w:val="center"/>
                </w:tcPr>
                <w:p w14:paraId="2635D843">
                  <w:pPr>
                    <w:pStyle w:val="45"/>
                    <w:rPr>
                      <w:rFonts w:hint="default"/>
                      <w:b w:val="0"/>
                      <w:bCs w:val="0"/>
                      <w:szCs w:val="18"/>
                      <w:u w:val="none"/>
                    </w:rPr>
                  </w:pPr>
                  <w:r>
                    <w:rPr>
                      <w:rFonts w:hint="default"/>
                      <w:b w:val="0"/>
                      <w:bCs w:val="0"/>
                      <w:szCs w:val="18"/>
                      <w:u w:val="none"/>
                    </w:rPr>
                    <w:t>超纯氨生产装置区</w:t>
                  </w:r>
                </w:p>
              </w:tc>
              <w:tc>
                <w:tcPr>
                  <w:tcW w:w="703" w:type="pct"/>
                  <w:tcBorders>
                    <w:tl2br w:val="nil"/>
                    <w:tr2bl w:val="nil"/>
                  </w:tcBorders>
                  <w:shd w:val="clear" w:color="auto" w:fill="auto"/>
                  <w:vAlign w:val="center"/>
                </w:tcPr>
                <w:p w14:paraId="7AB63716">
                  <w:pPr>
                    <w:pStyle w:val="45"/>
                    <w:rPr>
                      <w:rFonts w:hint="default"/>
                      <w:b w:val="0"/>
                      <w:bCs w:val="0"/>
                      <w:szCs w:val="18"/>
                      <w:u w:val="none"/>
                    </w:rPr>
                  </w:pPr>
                  <w:r>
                    <w:rPr>
                      <w:rFonts w:hint="default"/>
                      <w:b w:val="0"/>
                      <w:bCs w:val="0"/>
                      <w:szCs w:val="18"/>
                      <w:u w:val="none"/>
                    </w:rPr>
                    <w:t>超纯氨生产线</w:t>
                  </w:r>
                </w:p>
              </w:tc>
              <w:tc>
                <w:tcPr>
                  <w:tcW w:w="3680" w:type="pct"/>
                  <w:tcBorders>
                    <w:tl2br w:val="nil"/>
                    <w:tr2bl w:val="nil"/>
                  </w:tcBorders>
                  <w:shd w:val="clear" w:color="auto" w:fill="auto"/>
                  <w:vAlign w:val="center"/>
                </w:tcPr>
                <w:p w14:paraId="3B6C4266">
                  <w:pPr>
                    <w:pStyle w:val="45"/>
                    <w:rPr>
                      <w:rFonts w:hint="default"/>
                      <w:b w:val="0"/>
                      <w:bCs w:val="0"/>
                      <w:szCs w:val="18"/>
                      <w:u w:val="none"/>
                    </w:rPr>
                  </w:pPr>
                  <w:r>
                    <w:rPr>
                      <w:rFonts w:hint="default"/>
                      <w:b w:val="0"/>
                      <w:bCs w:val="0"/>
                      <w:szCs w:val="18"/>
                      <w:u w:val="none"/>
                    </w:rPr>
                    <w:t>设置1条6000吨/年超纯氨生产线，配套设备为1座脱轻塔（含冷凝器和再沸器）、1座脱重塔（含冷凝器和再沸器），设置4个液氨充装位。生产装置为敞开式框架结构。</w:t>
                  </w:r>
                </w:p>
              </w:tc>
            </w:tr>
            <w:tr w14:paraId="794047C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continue"/>
                  <w:tcBorders>
                    <w:tl2br w:val="nil"/>
                    <w:tr2bl w:val="nil"/>
                  </w:tcBorders>
                  <w:shd w:val="clear" w:color="auto" w:fill="auto"/>
                  <w:vAlign w:val="center"/>
                </w:tcPr>
                <w:p w14:paraId="751EC3FF">
                  <w:pPr>
                    <w:pStyle w:val="45"/>
                    <w:rPr>
                      <w:rFonts w:hint="default"/>
                      <w:b w:val="0"/>
                      <w:bCs w:val="0"/>
                      <w:szCs w:val="18"/>
                      <w:u w:val="none"/>
                    </w:rPr>
                  </w:pPr>
                </w:p>
              </w:tc>
              <w:tc>
                <w:tcPr>
                  <w:tcW w:w="365" w:type="pct"/>
                  <w:vMerge w:val="continue"/>
                  <w:tcBorders>
                    <w:tl2br w:val="nil"/>
                    <w:tr2bl w:val="nil"/>
                  </w:tcBorders>
                  <w:shd w:val="clear" w:color="auto" w:fill="auto"/>
                  <w:vAlign w:val="center"/>
                </w:tcPr>
                <w:p w14:paraId="38520C7E">
                  <w:pPr>
                    <w:pStyle w:val="45"/>
                    <w:rPr>
                      <w:rFonts w:hint="default"/>
                      <w:b w:val="0"/>
                      <w:bCs w:val="0"/>
                      <w:szCs w:val="18"/>
                      <w:u w:val="none"/>
                    </w:rPr>
                  </w:pPr>
                </w:p>
              </w:tc>
              <w:tc>
                <w:tcPr>
                  <w:tcW w:w="703" w:type="pct"/>
                  <w:tcBorders>
                    <w:tl2br w:val="nil"/>
                    <w:tr2bl w:val="nil"/>
                  </w:tcBorders>
                  <w:shd w:val="clear" w:color="auto" w:fill="auto"/>
                  <w:vAlign w:val="center"/>
                </w:tcPr>
                <w:p w14:paraId="3EB6052E">
                  <w:pPr>
                    <w:pStyle w:val="45"/>
                    <w:rPr>
                      <w:rFonts w:hint="default"/>
                      <w:b w:val="0"/>
                      <w:bCs w:val="0"/>
                      <w:szCs w:val="18"/>
                      <w:u w:val="none"/>
                    </w:rPr>
                  </w:pPr>
                  <w:r>
                    <w:rPr>
                      <w:rFonts w:hint="default"/>
                      <w:b w:val="0"/>
                      <w:bCs w:val="0"/>
                      <w:szCs w:val="18"/>
                      <w:u w:val="none"/>
                    </w:rPr>
                    <w:t>氨水生产线</w:t>
                  </w:r>
                </w:p>
              </w:tc>
              <w:tc>
                <w:tcPr>
                  <w:tcW w:w="3680" w:type="pct"/>
                  <w:tcBorders>
                    <w:tl2br w:val="nil"/>
                    <w:tr2bl w:val="nil"/>
                  </w:tcBorders>
                  <w:shd w:val="clear" w:color="auto" w:fill="auto"/>
                  <w:vAlign w:val="center"/>
                </w:tcPr>
                <w:p w14:paraId="67F19385">
                  <w:pPr>
                    <w:pStyle w:val="45"/>
                    <w:jc w:val="left"/>
                    <w:rPr>
                      <w:rFonts w:hint="default"/>
                      <w:b/>
                      <w:bCs/>
                      <w:szCs w:val="18"/>
                      <w:u w:val="single"/>
                    </w:rPr>
                  </w:pPr>
                  <w:r>
                    <w:rPr>
                      <w:rFonts w:hint="default"/>
                      <w:b/>
                      <w:bCs/>
                      <w:szCs w:val="18"/>
                      <w:u w:val="single"/>
                    </w:rPr>
                    <w:t>2套氨水（20%）生产线（超纯氨尾气吸收），每套氨水生产线由一套超级吸氨器装置和一个两级吸氨器+3级水喷淋吸收塔组成。配套设置2个300m</w:t>
                  </w:r>
                  <w:r>
                    <w:rPr>
                      <w:rFonts w:hint="default"/>
                      <w:b/>
                      <w:bCs/>
                      <w:szCs w:val="18"/>
                      <w:u w:val="single"/>
                      <w:vertAlign w:val="superscript"/>
                    </w:rPr>
                    <w:t>3</w:t>
                  </w:r>
                  <w:r>
                    <w:rPr>
                      <w:rFonts w:hint="default"/>
                      <w:b/>
                      <w:bCs/>
                      <w:szCs w:val="18"/>
                      <w:u w:val="single"/>
                    </w:rPr>
                    <w:t>氨水储罐，生产装置为撬装结构。</w:t>
                  </w:r>
                </w:p>
                <w:p w14:paraId="39B53F0A">
                  <w:pPr>
                    <w:pStyle w:val="45"/>
                    <w:jc w:val="left"/>
                    <w:rPr>
                      <w:rFonts w:hint="default"/>
                      <w:b/>
                      <w:bCs/>
                      <w:szCs w:val="18"/>
                      <w:u w:val="single"/>
                    </w:rPr>
                  </w:pPr>
                  <w:r>
                    <w:rPr>
                      <w:rFonts w:hint="default"/>
                      <w:b/>
                      <w:bCs/>
                      <w:szCs w:val="18"/>
                      <w:u w:val="single"/>
                    </w:rPr>
                    <w:t>超纯氨生产线开停车时，采用1套超级吸氨器+2级吸氨器+3级水喷淋进行氨气吸收，生产氨水；超纯氨生产线正常运行时采用回收装置2级吸氨器+3级水喷淋进行氨气吸收，生产氨水。</w:t>
                  </w:r>
                </w:p>
              </w:tc>
            </w:tr>
            <w:tr w14:paraId="70DFCF1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restart"/>
                  <w:tcBorders>
                    <w:tl2br w:val="nil"/>
                    <w:tr2bl w:val="nil"/>
                  </w:tcBorders>
                  <w:shd w:val="clear" w:color="auto" w:fill="auto"/>
                  <w:vAlign w:val="center"/>
                </w:tcPr>
                <w:p w14:paraId="320ECC1A">
                  <w:pPr>
                    <w:pStyle w:val="45"/>
                    <w:rPr>
                      <w:rFonts w:hint="default"/>
                      <w:b w:val="0"/>
                      <w:bCs w:val="0"/>
                      <w:szCs w:val="18"/>
                      <w:u w:val="none"/>
                    </w:rPr>
                  </w:pPr>
                  <w:r>
                    <w:rPr>
                      <w:rFonts w:hint="default"/>
                      <w:b w:val="0"/>
                      <w:bCs w:val="0"/>
                      <w:szCs w:val="18"/>
                      <w:u w:val="none"/>
                    </w:rPr>
                    <w:t>辅助工程</w:t>
                  </w:r>
                </w:p>
              </w:tc>
              <w:tc>
                <w:tcPr>
                  <w:tcW w:w="1069" w:type="pct"/>
                  <w:gridSpan w:val="2"/>
                  <w:tcBorders>
                    <w:tl2br w:val="nil"/>
                    <w:tr2bl w:val="nil"/>
                  </w:tcBorders>
                  <w:shd w:val="clear" w:color="auto" w:fill="auto"/>
                  <w:vAlign w:val="center"/>
                </w:tcPr>
                <w:p w14:paraId="7CB8D270">
                  <w:pPr>
                    <w:pStyle w:val="45"/>
                    <w:rPr>
                      <w:rFonts w:hint="default"/>
                      <w:b w:val="0"/>
                      <w:bCs w:val="0"/>
                      <w:szCs w:val="18"/>
                      <w:u w:val="none"/>
                    </w:rPr>
                  </w:pPr>
                  <w:r>
                    <w:rPr>
                      <w:rFonts w:hint="default"/>
                      <w:b w:val="0"/>
                      <w:bCs w:val="0"/>
                      <w:szCs w:val="18"/>
                      <w:u w:val="none"/>
                    </w:rPr>
                    <w:t>制冷系统</w:t>
                  </w:r>
                </w:p>
              </w:tc>
              <w:tc>
                <w:tcPr>
                  <w:tcW w:w="3680" w:type="pct"/>
                  <w:tcBorders>
                    <w:tl2br w:val="nil"/>
                    <w:tr2bl w:val="nil"/>
                  </w:tcBorders>
                  <w:shd w:val="clear" w:color="auto" w:fill="auto"/>
                  <w:vAlign w:val="center"/>
                </w:tcPr>
                <w:p w14:paraId="596E2073">
                  <w:pPr>
                    <w:pStyle w:val="45"/>
                    <w:rPr>
                      <w:rFonts w:hint="default"/>
                      <w:b w:val="0"/>
                      <w:bCs w:val="0"/>
                      <w:szCs w:val="18"/>
                      <w:u w:val="none"/>
                    </w:rPr>
                  </w:pPr>
                  <w:r>
                    <w:rPr>
                      <w:rFonts w:hint="default"/>
                      <w:b w:val="0"/>
                      <w:bCs w:val="0"/>
                      <w:szCs w:val="18"/>
                      <w:u w:val="none"/>
                    </w:rPr>
                    <w:t>CO</w:t>
                  </w:r>
                  <w:r>
                    <w:rPr>
                      <w:rFonts w:hint="default"/>
                      <w:b w:val="0"/>
                      <w:bCs w:val="0"/>
                      <w:szCs w:val="18"/>
                      <w:u w:val="none"/>
                      <w:vertAlign w:val="subscript"/>
                    </w:rPr>
                    <w:t>2</w:t>
                  </w:r>
                  <w:r>
                    <w:rPr>
                      <w:rFonts w:hint="default"/>
                      <w:b w:val="0"/>
                      <w:bCs w:val="0"/>
                      <w:szCs w:val="18"/>
                      <w:u w:val="none"/>
                    </w:rPr>
                    <w:t>生产线设置2台氟利昂冰机（高压）</w:t>
                  </w:r>
                  <w:r>
                    <w:rPr>
                      <w:rFonts w:hint="eastAsia"/>
                      <w:b w:val="0"/>
                      <w:bCs w:val="0"/>
                      <w:szCs w:val="18"/>
                      <w:u w:val="none"/>
                      <w:lang w:eastAsia="zh-CN"/>
                    </w:rPr>
                    <w:t>、</w:t>
                  </w:r>
                  <w:r>
                    <w:rPr>
                      <w:rFonts w:hint="default"/>
                      <w:b w:val="0"/>
                      <w:bCs w:val="0"/>
                      <w:szCs w:val="18"/>
                      <w:u w:val="none"/>
                    </w:rPr>
                    <w:t>2台氟利昂冰机（</w:t>
                  </w:r>
                  <w:r>
                    <w:rPr>
                      <w:rFonts w:hint="eastAsia"/>
                      <w:b w:val="0"/>
                      <w:bCs w:val="0"/>
                      <w:szCs w:val="18"/>
                      <w:u w:val="none"/>
                      <w:lang w:eastAsia="zh-CN"/>
                    </w:rPr>
                    <w:t>低</w:t>
                  </w:r>
                  <w:r>
                    <w:rPr>
                      <w:rFonts w:hint="default"/>
                      <w:b w:val="0"/>
                      <w:bCs w:val="0"/>
                      <w:szCs w:val="18"/>
                      <w:u w:val="none"/>
                    </w:rPr>
                    <w:t>压）、</w:t>
                  </w:r>
                  <w:r>
                    <w:rPr>
                      <w:rFonts w:hint="eastAsia"/>
                      <w:b w:val="0"/>
                      <w:bCs w:val="0"/>
                      <w:szCs w:val="18"/>
                      <w:u w:val="none"/>
                      <w:lang w:val="en-US" w:eastAsia="zh-CN"/>
                    </w:rPr>
                    <w:t>1</w:t>
                  </w:r>
                  <w:r>
                    <w:rPr>
                      <w:rFonts w:hint="default"/>
                      <w:b w:val="0"/>
                      <w:bCs w:val="0"/>
                      <w:szCs w:val="18"/>
                      <w:u w:val="none"/>
                    </w:rPr>
                    <w:t>台氨冰机（高压）</w:t>
                  </w:r>
                  <w:r>
                    <w:rPr>
                      <w:rFonts w:hint="eastAsia"/>
                      <w:b w:val="0"/>
                      <w:bCs w:val="0"/>
                      <w:szCs w:val="18"/>
                      <w:u w:val="none"/>
                      <w:lang w:eastAsia="zh-CN"/>
                    </w:rPr>
                    <w:t>、</w:t>
                  </w:r>
                  <w:r>
                    <w:rPr>
                      <w:rFonts w:hint="eastAsia"/>
                      <w:b w:val="0"/>
                      <w:bCs w:val="0"/>
                      <w:szCs w:val="18"/>
                      <w:u w:val="none"/>
                      <w:lang w:val="en-US" w:eastAsia="zh-CN"/>
                    </w:rPr>
                    <w:t>1</w:t>
                  </w:r>
                  <w:r>
                    <w:rPr>
                      <w:rFonts w:hint="default"/>
                      <w:b w:val="0"/>
                      <w:bCs w:val="0"/>
                      <w:szCs w:val="18"/>
                      <w:u w:val="none"/>
                    </w:rPr>
                    <w:t>台氨冰机（</w:t>
                  </w:r>
                  <w:r>
                    <w:rPr>
                      <w:rFonts w:hint="eastAsia"/>
                      <w:b w:val="0"/>
                      <w:bCs w:val="0"/>
                      <w:szCs w:val="18"/>
                      <w:u w:val="none"/>
                      <w:lang w:eastAsia="zh-CN"/>
                    </w:rPr>
                    <w:t>低</w:t>
                  </w:r>
                  <w:r>
                    <w:rPr>
                      <w:rFonts w:hint="default"/>
                      <w:b w:val="0"/>
                      <w:bCs w:val="0"/>
                      <w:szCs w:val="18"/>
                      <w:u w:val="none"/>
                    </w:rPr>
                    <w:t>压）提供冷量。液氨生产线设置两座冷却塔，利用循环冷却水降温。</w:t>
                  </w:r>
                </w:p>
              </w:tc>
            </w:tr>
            <w:tr w14:paraId="45F503E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continue"/>
                  <w:tcBorders>
                    <w:tl2br w:val="nil"/>
                    <w:tr2bl w:val="nil"/>
                  </w:tcBorders>
                  <w:shd w:val="clear" w:color="auto" w:fill="auto"/>
                  <w:vAlign w:val="center"/>
                </w:tcPr>
                <w:p w14:paraId="55189419">
                  <w:pPr>
                    <w:pStyle w:val="45"/>
                    <w:rPr>
                      <w:rFonts w:hint="default"/>
                      <w:b w:val="0"/>
                      <w:bCs w:val="0"/>
                      <w:szCs w:val="18"/>
                      <w:u w:val="none"/>
                    </w:rPr>
                  </w:pPr>
                </w:p>
              </w:tc>
              <w:tc>
                <w:tcPr>
                  <w:tcW w:w="1069" w:type="pct"/>
                  <w:gridSpan w:val="2"/>
                  <w:tcBorders>
                    <w:tl2br w:val="nil"/>
                    <w:tr2bl w:val="nil"/>
                  </w:tcBorders>
                  <w:shd w:val="clear" w:color="auto" w:fill="auto"/>
                  <w:vAlign w:val="center"/>
                </w:tcPr>
                <w:p w14:paraId="2AF66EE8">
                  <w:pPr>
                    <w:pStyle w:val="45"/>
                    <w:rPr>
                      <w:rFonts w:hint="default"/>
                      <w:b w:val="0"/>
                      <w:bCs w:val="0"/>
                      <w:szCs w:val="18"/>
                      <w:u w:val="none"/>
                    </w:rPr>
                  </w:pPr>
                  <w:r>
                    <w:rPr>
                      <w:rFonts w:hint="default"/>
                      <w:b w:val="0"/>
                      <w:bCs w:val="0"/>
                      <w:szCs w:val="18"/>
                      <w:u w:val="none"/>
                    </w:rPr>
                    <w:t>生产辅助用房</w:t>
                  </w:r>
                </w:p>
              </w:tc>
              <w:tc>
                <w:tcPr>
                  <w:tcW w:w="3680" w:type="pct"/>
                  <w:tcBorders>
                    <w:tl2br w:val="nil"/>
                    <w:tr2bl w:val="nil"/>
                  </w:tcBorders>
                  <w:shd w:val="clear" w:color="auto" w:fill="auto"/>
                  <w:vAlign w:val="center"/>
                </w:tcPr>
                <w:p w14:paraId="4B097C5E">
                  <w:pPr>
                    <w:pStyle w:val="45"/>
                    <w:rPr>
                      <w:rFonts w:hint="default"/>
                      <w:b w:val="0"/>
                      <w:bCs w:val="0"/>
                      <w:szCs w:val="18"/>
                      <w:u w:val="none"/>
                    </w:rPr>
                  </w:pPr>
                  <w:r>
                    <w:rPr>
                      <w:rFonts w:hint="default"/>
                      <w:b w:val="0"/>
                      <w:bCs w:val="0"/>
                      <w:szCs w:val="18"/>
                      <w:u w:val="none"/>
                    </w:rPr>
                    <w:t>1栋三层检测实验楼，占地面积719m</w:t>
                  </w:r>
                  <w:r>
                    <w:rPr>
                      <w:rFonts w:hint="default"/>
                      <w:b w:val="0"/>
                      <w:bCs w:val="0"/>
                      <w:szCs w:val="18"/>
                      <w:u w:val="none"/>
                      <w:vertAlign w:val="superscript"/>
                    </w:rPr>
                    <w:t>2</w:t>
                  </w:r>
                  <w:r>
                    <w:rPr>
                      <w:rFonts w:hint="default"/>
                      <w:b w:val="0"/>
                      <w:bCs w:val="0"/>
                      <w:szCs w:val="18"/>
                      <w:u w:val="none"/>
                    </w:rPr>
                    <w:t>，功能为产区配电、分析化验、控制室、机柜间。</w:t>
                  </w:r>
                </w:p>
              </w:tc>
            </w:tr>
            <w:tr w14:paraId="4372005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restart"/>
                  <w:tcBorders>
                    <w:tl2br w:val="nil"/>
                    <w:tr2bl w:val="nil"/>
                  </w:tcBorders>
                  <w:shd w:val="clear" w:color="auto" w:fill="auto"/>
                  <w:vAlign w:val="center"/>
                </w:tcPr>
                <w:p w14:paraId="63A49CDF">
                  <w:pPr>
                    <w:pStyle w:val="45"/>
                    <w:rPr>
                      <w:rFonts w:hint="default"/>
                      <w:b w:val="0"/>
                      <w:bCs w:val="0"/>
                      <w:szCs w:val="18"/>
                      <w:u w:val="none"/>
                    </w:rPr>
                  </w:pPr>
                  <w:r>
                    <w:rPr>
                      <w:rFonts w:hint="default"/>
                      <w:b w:val="0"/>
                      <w:bCs w:val="0"/>
                      <w:szCs w:val="18"/>
                      <w:u w:val="none"/>
                    </w:rPr>
                    <w:t>公用工程</w:t>
                  </w:r>
                </w:p>
              </w:tc>
              <w:tc>
                <w:tcPr>
                  <w:tcW w:w="1069" w:type="pct"/>
                  <w:gridSpan w:val="2"/>
                  <w:tcBorders>
                    <w:tl2br w:val="nil"/>
                    <w:tr2bl w:val="nil"/>
                  </w:tcBorders>
                  <w:shd w:val="clear" w:color="auto" w:fill="auto"/>
                  <w:vAlign w:val="center"/>
                </w:tcPr>
                <w:p w14:paraId="3D2307EE">
                  <w:pPr>
                    <w:pStyle w:val="45"/>
                    <w:rPr>
                      <w:rFonts w:hint="default"/>
                      <w:b w:val="0"/>
                      <w:bCs w:val="0"/>
                      <w:szCs w:val="18"/>
                      <w:u w:val="none"/>
                    </w:rPr>
                  </w:pPr>
                  <w:r>
                    <w:rPr>
                      <w:rFonts w:hint="default"/>
                      <w:b w:val="0"/>
                      <w:bCs w:val="0"/>
                      <w:szCs w:val="18"/>
                      <w:u w:val="none"/>
                    </w:rPr>
                    <w:t>给水</w:t>
                  </w:r>
                </w:p>
              </w:tc>
              <w:tc>
                <w:tcPr>
                  <w:tcW w:w="3680" w:type="pct"/>
                  <w:tcBorders>
                    <w:tl2br w:val="nil"/>
                    <w:tr2bl w:val="nil"/>
                  </w:tcBorders>
                  <w:shd w:val="clear" w:color="auto" w:fill="auto"/>
                  <w:vAlign w:val="center"/>
                </w:tcPr>
                <w:p w14:paraId="03F4050A">
                  <w:pPr>
                    <w:pStyle w:val="45"/>
                    <w:rPr>
                      <w:rFonts w:hint="default"/>
                      <w:b w:val="0"/>
                      <w:bCs w:val="0"/>
                      <w:szCs w:val="18"/>
                      <w:u w:val="none"/>
                    </w:rPr>
                  </w:pPr>
                  <w:r>
                    <w:rPr>
                      <w:rFonts w:hint="default"/>
                      <w:b w:val="0"/>
                      <w:bCs w:val="0"/>
                      <w:szCs w:val="18"/>
                      <w:u w:val="none"/>
                    </w:rPr>
                    <w:t>项目新鲜水由园区供水管网供给</w:t>
                  </w:r>
                </w:p>
              </w:tc>
            </w:tr>
            <w:tr w14:paraId="7626DD1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250" w:type="pct"/>
                  <w:vMerge w:val="continue"/>
                  <w:tcBorders>
                    <w:tl2br w:val="nil"/>
                    <w:tr2bl w:val="nil"/>
                  </w:tcBorders>
                  <w:shd w:val="clear" w:color="auto" w:fill="auto"/>
                  <w:vAlign w:val="center"/>
                </w:tcPr>
                <w:p w14:paraId="0784BE50">
                  <w:pPr>
                    <w:pStyle w:val="45"/>
                    <w:rPr>
                      <w:rFonts w:hint="default"/>
                      <w:b w:val="0"/>
                      <w:bCs w:val="0"/>
                      <w:szCs w:val="18"/>
                      <w:u w:val="none"/>
                    </w:rPr>
                  </w:pPr>
                </w:p>
              </w:tc>
              <w:tc>
                <w:tcPr>
                  <w:tcW w:w="1069" w:type="pct"/>
                  <w:gridSpan w:val="2"/>
                  <w:tcBorders>
                    <w:tl2br w:val="nil"/>
                    <w:tr2bl w:val="nil"/>
                  </w:tcBorders>
                  <w:shd w:val="clear" w:color="auto" w:fill="auto"/>
                  <w:vAlign w:val="center"/>
                </w:tcPr>
                <w:p w14:paraId="0A85C454">
                  <w:pPr>
                    <w:pStyle w:val="45"/>
                    <w:rPr>
                      <w:rFonts w:hint="default"/>
                      <w:b w:val="0"/>
                      <w:bCs w:val="0"/>
                      <w:szCs w:val="18"/>
                      <w:u w:val="none"/>
                    </w:rPr>
                  </w:pPr>
                  <w:r>
                    <w:rPr>
                      <w:rFonts w:hint="default"/>
                      <w:b w:val="0"/>
                      <w:bCs w:val="0"/>
                      <w:szCs w:val="18"/>
                      <w:u w:val="none"/>
                    </w:rPr>
                    <w:t>排水</w:t>
                  </w:r>
                </w:p>
              </w:tc>
              <w:tc>
                <w:tcPr>
                  <w:tcW w:w="3680" w:type="pct"/>
                  <w:tcBorders>
                    <w:tl2br w:val="nil"/>
                    <w:tr2bl w:val="nil"/>
                  </w:tcBorders>
                  <w:shd w:val="clear" w:color="auto" w:fill="auto"/>
                  <w:vAlign w:val="center"/>
                </w:tcPr>
                <w:p w14:paraId="48C98602">
                  <w:pPr>
                    <w:pStyle w:val="45"/>
                    <w:rPr>
                      <w:rFonts w:hint="default"/>
                      <w:b w:val="0"/>
                      <w:bCs w:val="0"/>
                      <w:szCs w:val="18"/>
                      <w:u w:val="none"/>
                    </w:rPr>
                  </w:pPr>
                  <w:r>
                    <w:rPr>
                      <w:rFonts w:hint="default"/>
                      <w:b w:val="0"/>
                      <w:bCs w:val="0"/>
                      <w:szCs w:val="18"/>
                      <w:u w:val="none"/>
                    </w:rPr>
                    <w:t>园区排水管网，进入</w:t>
                  </w:r>
                  <w:r>
                    <w:rPr>
                      <w:rFonts w:hint="default"/>
                      <w:b w:val="0"/>
                      <w:bCs w:val="0"/>
                      <w:szCs w:val="18"/>
                      <w:u w:val="none"/>
                      <w:lang w:val="zh-CN"/>
                    </w:rPr>
                    <w:t>平顶山首创水务有限公司（平顶山市第三污水处理厂）</w:t>
                  </w:r>
                </w:p>
              </w:tc>
            </w:tr>
            <w:tr w14:paraId="1BCE182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continue"/>
                  <w:tcBorders>
                    <w:tl2br w:val="nil"/>
                    <w:tr2bl w:val="nil"/>
                  </w:tcBorders>
                  <w:shd w:val="clear" w:color="auto" w:fill="auto"/>
                  <w:vAlign w:val="center"/>
                </w:tcPr>
                <w:p w14:paraId="4BFD419B">
                  <w:pPr>
                    <w:pStyle w:val="45"/>
                    <w:rPr>
                      <w:rFonts w:hint="default"/>
                      <w:b w:val="0"/>
                      <w:bCs w:val="0"/>
                      <w:szCs w:val="18"/>
                      <w:u w:val="none"/>
                    </w:rPr>
                  </w:pPr>
                </w:p>
              </w:tc>
              <w:tc>
                <w:tcPr>
                  <w:tcW w:w="1069" w:type="pct"/>
                  <w:gridSpan w:val="2"/>
                  <w:tcBorders>
                    <w:tl2br w:val="nil"/>
                    <w:tr2bl w:val="nil"/>
                  </w:tcBorders>
                  <w:shd w:val="clear" w:color="auto" w:fill="auto"/>
                  <w:vAlign w:val="center"/>
                </w:tcPr>
                <w:p w14:paraId="4DCAA742">
                  <w:pPr>
                    <w:pStyle w:val="45"/>
                    <w:rPr>
                      <w:rFonts w:hint="default"/>
                      <w:b w:val="0"/>
                      <w:bCs w:val="0"/>
                      <w:szCs w:val="18"/>
                      <w:u w:val="none"/>
                    </w:rPr>
                  </w:pPr>
                  <w:r>
                    <w:rPr>
                      <w:rFonts w:hint="default"/>
                      <w:b w:val="0"/>
                      <w:bCs w:val="0"/>
                      <w:szCs w:val="18"/>
                      <w:u w:val="none"/>
                    </w:rPr>
                    <w:t>供电</w:t>
                  </w:r>
                </w:p>
              </w:tc>
              <w:tc>
                <w:tcPr>
                  <w:tcW w:w="3680" w:type="pct"/>
                  <w:tcBorders>
                    <w:tl2br w:val="nil"/>
                    <w:tr2bl w:val="nil"/>
                  </w:tcBorders>
                  <w:shd w:val="clear" w:color="auto" w:fill="auto"/>
                  <w:vAlign w:val="center"/>
                </w:tcPr>
                <w:p w14:paraId="727F618B">
                  <w:pPr>
                    <w:pStyle w:val="45"/>
                    <w:rPr>
                      <w:rFonts w:hint="default"/>
                      <w:b w:val="0"/>
                      <w:bCs w:val="0"/>
                      <w:szCs w:val="18"/>
                      <w:u w:val="none"/>
                    </w:rPr>
                  </w:pPr>
                  <w:r>
                    <w:rPr>
                      <w:rFonts w:hint="default"/>
                      <w:b w:val="0"/>
                      <w:bCs w:val="0"/>
                      <w:color w:val="0000FF"/>
                      <w:szCs w:val="18"/>
                      <w:u w:val="none"/>
                    </w:rPr>
                    <w:t>由产业园区接入10KV高压</w:t>
                  </w:r>
                  <w:r>
                    <w:rPr>
                      <w:rFonts w:hint="eastAsia"/>
                      <w:b w:val="0"/>
                      <w:bCs w:val="0"/>
                      <w:color w:val="0000FF"/>
                      <w:szCs w:val="18"/>
                      <w:u w:val="none"/>
                      <w:lang w:eastAsia="zh-CN"/>
                    </w:rPr>
                    <w:t>电缆</w:t>
                  </w:r>
                  <w:r>
                    <w:rPr>
                      <w:rFonts w:hint="default"/>
                      <w:b w:val="0"/>
                      <w:bCs w:val="0"/>
                      <w:color w:val="0000FF"/>
                      <w:szCs w:val="18"/>
                      <w:u w:val="none"/>
                    </w:rPr>
                    <w:t>进入厂区变配电室。整个厂区规划设置一台变压器，容量为</w:t>
                  </w:r>
                  <w:r>
                    <w:rPr>
                      <w:rFonts w:hint="eastAsia"/>
                      <w:b w:val="0"/>
                      <w:bCs w:val="0"/>
                      <w:color w:val="0000FF"/>
                      <w:szCs w:val="18"/>
                      <w:u w:val="none"/>
                      <w:lang w:val="en-US" w:eastAsia="zh-CN"/>
                    </w:rPr>
                    <w:t>20</w:t>
                  </w:r>
                  <w:r>
                    <w:rPr>
                      <w:rFonts w:hint="default"/>
                      <w:b w:val="0"/>
                      <w:bCs w:val="0"/>
                      <w:color w:val="0000FF"/>
                      <w:szCs w:val="18"/>
                      <w:u w:val="none"/>
                    </w:rPr>
                    <w:t>00KVA，电压为</w:t>
                  </w:r>
                  <w:r>
                    <w:rPr>
                      <w:rFonts w:hint="eastAsia"/>
                      <w:b w:val="0"/>
                      <w:bCs w:val="0"/>
                      <w:color w:val="0000FF"/>
                      <w:szCs w:val="18"/>
                      <w:u w:val="none"/>
                      <w:lang w:val="en-US" w:eastAsia="zh-CN"/>
                    </w:rPr>
                    <w:t>10</w:t>
                  </w:r>
                  <w:r>
                    <w:rPr>
                      <w:rFonts w:hint="default"/>
                      <w:b w:val="0"/>
                      <w:bCs w:val="0"/>
                      <w:color w:val="0000FF"/>
                      <w:szCs w:val="18"/>
                      <w:u w:val="none"/>
                    </w:rPr>
                    <w:t>/</w:t>
                  </w:r>
                  <w:r>
                    <w:rPr>
                      <w:rFonts w:hint="eastAsia"/>
                      <w:b w:val="0"/>
                      <w:bCs w:val="0"/>
                      <w:color w:val="0000FF"/>
                      <w:szCs w:val="18"/>
                      <w:u w:val="none"/>
                      <w:lang w:val="en-US" w:eastAsia="zh-CN"/>
                    </w:rPr>
                    <w:t>0.4k</w:t>
                  </w:r>
                  <w:r>
                    <w:rPr>
                      <w:rFonts w:hint="default"/>
                      <w:b w:val="0"/>
                      <w:bCs w:val="0"/>
                      <w:color w:val="0000FF"/>
                      <w:szCs w:val="18"/>
                      <w:u w:val="none"/>
                    </w:rPr>
                    <w:t>V。备用消防电源增设</w:t>
                  </w:r>
                  <w:r>
                    <w:rPr>
                      <w:rFonts w:hint="eastAsia"/>
                      <w:b w:val="0"/>
                      <w:bCs w:val="0"/>
                      <w:color w:val="0000FF"/>
                      <w:szCs w:val="18"/>
                      <w:u w:val="none"/>
                      <w:lang w:val="en-US" w:eastAsia="zh-CN"/>
                    </w:rPr>
                    <w:t>4</w:t>
                  </w:r>
                  <w:r>
                    <w:rPr>
                      <w:rFonts w:hint="default"/>
                      <w:b w:val="0"/>
                      <w:bCs w:val="0"/>
                      <w:color w:val="0000FF"/>
                      <w:szCs w:val="18"/>
                      <w:u w:val="none"/>
                    </w:rPr>
                    <w:t>00KVA的发电机一台</w:t>
                  </w:r>
                </w:p>
              </w:tc>
            </w:tr>
            <w:tr w14:paraId="43C71D0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restart"/>
                  <w:tcBorders>
                    <w:tl2br w:val="nil"/>
                    <w:tr2bl w:val="nil"/>
                  </w:tcBorders>
                  <w:shd w:val="clear" w:color="auto" w:fill="auto"/>
                  <w:vAlign w:val="center"/>
                </w:tcPr>
                <w:p w14:paraId="4C8106A7">
                  <w:pPr>
                    <w:pStyle w:val="45"/>
                    <w:rPr>
                      <w:rFonts w:hint="default"/>
                      <w:b w:val="0"/>
                      <w:bCs w:val="0"/>
                      <w:szCs w:val="18"/>
                      <w:u w:val="none"/>
                    </w:rPr>
                  </w:pPr>
                  <w:r>
                    <w:rPr>
                      <w:rFonts w:hint="default"/>
                      <w:b w:val="0"/>
                      <w:bCs w:val="0"/>
                      <w:szCs w:val="18"/>
                      <w:u w:val="none"/>
                    </w:rPr>
                    <w:t>储运工程</w:t>
                  </w:r>
                </w:p>
              </w:tc>
              <w:tc>
                <w:tcPr>
                  <w:tcW w:w="365" w:type="pct"/>
                  <w:vMerge w:val="restart"/>
                  <w:tcBorders>
                    <w:tl2br w:val="nil"/>
                    <w:tr2bl w:val="nil"/>
                  </w:tcBorders>
                  <w:shd w:val="clear" w:color="auto" w:fill="auto"/>
                  <w:noWrap/>
                  <w:vAlign w:val="center"/>
                </w:tcPr>
                <w:p w14:paraId="0CE90BE3">
                  <w:pPr>
                    <w:pStyle w:val="45"/>
                    <w:rPr>
                      <w:rFonts w:hint="default"/>
                      <w:b w:val="0"/>
                      <w:bCs w:val="0"/>
                      <w:szCs w:val="18"/>
                      <w:u w:val="none"/>
                    </w:rPr>
                  </w:pPr>
                  <w:r>
                    <w:rPr>
                      <w:rFonts w:hint="default"/>
                      <w:b w:val="0"/>
                      <w:bCs w:val="0"/>
                      <w:szCs w:val="18"/>
                      <w:u w:val="none"/>
                    </w:rPr>
                    <w:t>储存</w:t>
                  </w:r>
                </w:p>
              </w:tc>
              <w:tc>
                <w:tcPr>
                  <w:tcW w:w="703" w:type="pct"/>
                  <w:tcBorders>
                    <w:tl2br w:val="nil"/>
                    <w:tr2bl w:val="nil"/>
                  </w:tcBorders>
                  <w:shd w:val="clear" w:color="auto" w:fill="auto"/>
                  <w:noWrap/>
                  <w:vAlign w:val="center"/>
                </w:tcPr>
                <w:p w14:paraId="6379C76C">
                  <w:pPr>
                    <w:pStyle w:val="45"/>
                    <w:rPr>
                      <w:rFonts w:hint="default"/>
                      <w:b w:val="0"/>
                      <w:bCs w:val="0"/>
                      <w:szCs w:val="18"/>
                      <w:u w:val="none"/>
                    </w:rPr>
                  </w:pPr>
                  <w:r>
                    <w:rPr>
                      <w:b w:val="0"/>
                      <w:bCs w:val="0"/>
                      <w:szCs w:val="18"/>
                      <w:u w:val="none"/>
                    </w:rPr>
                    <w:t>液体</w:t>
                  </w:r>
                  <w:r>
                    <w:rPr>
                      <w:rFonts w:hint="default"/>
                      <w:b w:val="0"/>
                      <w:bCs w:val="0"/>
                      <w:szCs w:val="18"/>
                      <w:u w:val="none"/>
                    </w:rPr>
                    <w:t>CO</w:t>
                  </w:r>
                  <w:r>
                    <w:rPr>
                      <w:rFonts w:hint="default"/>
                      <w:b w:val="0"/>
                      <w:bCs w:val="0"/>
                      <w:szCs w:val="18"/>
                      <w:u w:val="none"/>
                      <w:vertAlign w:val="subscript"/>
                    </w:rPr>
                    <w:t>2</w:t>
                  </w:r>
                  <w:r>
                    <w:rPr>
                      <w:rFonts w:hint="default"/>
                      <w:b w:val="0"/>
                      <w:bCs w:val="0"/>
                      <w:szCs w:val="18"/>
                      <w:u w:val="none"/>
                    </w:rPr>
                    <w:t>产品</w:t>
                  </w:r>
                </w:p>
              </w:tc>
              <w:tc>
                <w:tcPr>
                  <w:tcW w:w="3680" w:type="pct"/>
                  <w:tcBorders>
                    <w:tl2br w:val="nil"/>
                    <w:tr2bl w:val="nil"/>
                  </w:tcBorders>
                  <w:shd w:val="clear" w:color="auto" w:fill="auto"/>
                  <w:vAlign w:val="center"/>
                </w:tcPr>
                <w:p w14:paraId="51E470C5">
                  <w:pPr>
                    <w:pStyle w:val="45"/>
                    <w:rPr>
                      <w:rFonts w:hint="default"/>
                      <w:b w:val="0"/>
                      <w:bCs w:val="0"/>
                      <w:szCs w:val="18"/>
                      <w:u w:val="none"/>
                    </w:rPr>
                  </w:pPr>
                  <w:r>
                    <w:rPr>
                      <w:rFonts w:hint="default"/>
                      <w:b w:val="0"/>
                      <w:bCs w:val="0"/>
                      <w:szCs w:val="18"/>
                      <w:u w:val="none"/>
                    </w:rPr>
                    <w:t>1个2000m</w:t>
                  </w:r>
                  <w:r>
                    <w:rPr>
                      <w:rFonts w:hint="default"/>
                      <w:b w:val="0"/>
                      <w:bCs w:val="0"/>
                      <w:szCs w:val="18"/>
                      <w:u w:val="none"/>
                      <w:vertAlign w:val="superscript"/>
                    </w:rPr>
                    <w:t>3</w:t>
                  </w:r>
                  <w:r>
                    <w:rPr>
                      <w:rFonts w:hint="default"/>
                      <w:b w:val="0"/>
                      <w:bCs w:val="0"/>
                      <w:szCs w:val="18"/>
                      <w:u w:val="none"/>
                    </w:rPr>
                    <w:t>球罐、4个200m</w:t>
                  </w:r>
                  <w:r>
                    <w:rPr>
                      <w:rFonts w:hint="default"/>
                      <w:b w:val="0"/>
                      <w:bCs w:val="0"/>
                      <w:szCs w:val="18"/>
                      <w:u w:val="none"/>
                      <w:vertAlign w:val="superscript"/>
                    </w:rPr>
                    <w:t>2</w:t>
                  </w:r>
                  <w:r>
                    <w:rPr>
                      <w:rFonts w:hint="default"/>
                      <w:b w:val="0"/>
                      <w:bCs w:val="0"/>
                      <w:szCs w:val="18"/>
                      <w:u w:val="none"/>
                    </w:rPr>
                    <w:t>立罐</w:t>
                  </w:r>
                </w:p>
              </w:tc>
            </w:tr>
            <w:tr w14:paraId="255EE90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continue"/>
                  <w:tcBorders>
                    <w:tl2br w:val="nil"/>
                    <w:tr2bl w:val="nil"/>
                  </w:tcBorders>
                  <w:shd w:val="clear" w:color="auto" w:fill="auto"/>
                  <w:vAlign w:val="center"/>
                </w:tcPr>
                <w:p w14:paraId="48B202EA">
                  <w:pPr>
                    <w:pStyle w:val="45"/>
                    <w:rPr>
                      <w:rFonts w:hint="default"/>
                      <w:b w:val="0"/>
                      <w:bCs w:val="0"/>
                      <w:szCs w:val="18"/>
                      <w:u w:val="none"/>
                    </w:rPr>
                  </w:pPr>
                </w:p>
              </w:tc>
              <w:tc>
                <w:tcPr>
                  <w:tcW w:w="365" w:type="pct"/>
                  <w:vMerge w:val="continue"/>
                  <w:tcBorders>
                    <w:tl2br w:val="nil"/>
                    <w:tr2bl w:val="nil"/>
                  </w:tcBorders>
                  <w:shd w:val="clear" w:color="auto" w:fill="auto"/>
                  <w:noWrap/>
                  <w:vAlign w:val="center"/>
                </w:tcPr>
                <w:p w14:paraId="7026B5A1">
                  <w:pPr>
                    <w:pStyle w:val="45"/>
                    <w:rPr>
                      <w:rFonts w:hint="default"/>
                      <w:b w:val="0"/>
                      <w:bCs w:val="0"/>
                      <w:szCs w:val="18"/>
                      <w:u w:val="none"/>
                    </w:rPr>
                  </w:pPr>
                </w:p>
              </w:tc>
              <w:tc>
                <w:tcPr>
                  <w:tcW w:w="703" w:type="pct"/>
                  <w:tcBorders>
                    <w:tl2br w:val="nil"/>
                    <w:tr2bl w:val="nil"/>
                  </w:tcBorders>
                  <w:shd w:val="clear" w:color="auto" w:fill="auto"/>
                  <w:noWrap/>
                  <w:vAlign w:val="center"/>
                </w:tcPr>
                <w:p w14:paraId="1812CD8A">
                  <w:pPr>
                    <w:pStyle w:val="45"/>
                    <w:rPr>
                      <w:rFonts w:hint="default"/>
                      <w:b w:val="0"/>
                      <w:bCs w:val="0"/>
                      <w:szCs w:val="18"/>
                      <w:u w:val="none"/>
                    </w:rPr>
                  </w:pPr>
                  <w:r>
                    <w:rPr>
                      <w:rFonts w:hint="default"/>
                      <w:b w:val="0"/>
                      <w:bCs w:val="0"/>
                      <w:szCs w:val="18"/>
                      <w:u w:val="none"/>
                    </w:rPr>
                    <w:t>超纯氨产品</w:t>
                  </w:r>
                </w:p>
              </w:tc>
              <w:tc>
                <w:tcPr>
                  <w:tcW w:w="3680" w:type="pct"/>
                  <w:tcBorders>
                    <w:tl2br w:val="nil"/>
                    <w:tr2bl w:val="nil"/>
                  </w:tcBorders>
                  <w:shd w:val="clear" w:color="auto" w:fill="auto"/>
                  <w:vAlign w:val="center"/>
                </w:tcPr>
                <w:p w14:paraId="2463D7EA">
                  <w:pPr>
                    <w:pStyle w:val="45"/>
                    <w:rPr>
                      <w:rFonts w:hint="default"/>
                      <w:b w:val="0"/>
                      <w:bCs w:val="0"/>
                      <w:szCs w:val="18"/>
                      <w:u w:val="none"/>
                    </w:rPr>
                  </w:pPr>
                  <w:r>
                    <w:rPr>
                      <w:rFonts w:hint="default"/>
                      <w:b w:val="0"/>
                      <w:bCs w:val="0"/>
                      <w:szCs w:val="18"/>
                      <w:u w:val="none"/>
                    </w:rPr>
                    <w:t>2个60m</w:t>
                  </w:r>
                  <w:r>
                    <w:rPr>
                      <w:rFonts w:hint="default"/>
                      <w:b w:val="0"/>
                      <w:bCs w:val="0"/>
                      <w:szCs w:val="18"/>
                      <w:u w:val="none"/>
                      <w:vertAlign w:val="superscript"/>
                    </w:rPr>
                    <w:t>3</w:t>
                  </w:r>
                  <w:r>
                    <w:rPr>
                      <w:rFonts w:hint="default"/>
                      <w:b w:val="0"/>
                      <w:bCs w:val="0"/>
                      <w:szCs w:val="18"/>
                      <w:u w:val="none"/>
                    </w:rPr>
                    <w:t>的卧式储罐</w:t>
                  </w:r>
                  <w:r>
                    <w:rPr>
                      <w:rStyle w:val="33"/>
                      <w:rFonts w:hint="default"/>
                      <w:b w:val="0"/>
                      <w:bCs w:val="0"/>
                      <w:kern w:val="0"/>
                      <w:sz w:val="18"/>
                      <w:szCs w:val="18"/>
                      <w:u w:val="none"/>
                    </w:rPr>
                    <w:t>（互为应急罐）</w:t>
                  </w:r>
                </w:p>
              </w:tc>
            </w:tr>
            <w:tr w14:paraId="6F531BE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continue"/>
                  <w:tcBorders>
                    <w:tl2br w:val="nil"/>
                    <w:tr2bl w:val="nil"/>
                  </w:tcBorders>
                  <w:shd w:val="clear" w:color="auto" w:fill="auto"/>
                  <w:vAlign w:val="center"/>
                </w:tcPr>
                <w:p w14:paraId="451D794B">
                  <w:pPr>
                    <w:pStyle w:val="45"/>
                    <w:rPr>
                      <w:rFonts w:hint="default"/>
                      <w:b w:val="0"/>
                      <w:bCs w:val="0"/>
                      <w:szCs w:val="18"/>
                      <w:u w:val="none"/>
                    </w:rPr>
                  </w:pPr>
                </w:p>
              </w:tc>
              <w:tc>
                <w:tcPr>
                  <w:tcW w:w="365" w:type="pct"/>
                  <w:vMerge w:val="continue"/>
                  <w:tcBorders>
                    <w:tl2br w:val="nil"/>
                    <w:tr2bl w:val="nil"/>
                  </w:tcBorders>
                  <w:shd w:val="clear" w:color="auto" w:fill="auto"/>
                  <w:noWrap/>
                  <w:vAlign w:val="center"/>
                </w:tcPr>
                <w:p w14:paraId="16C3195A">
                  <w:pPr>
                    <w:pStyle w:val="45"/>
                    <w:rPr>
                      <w:rFonts w:hint="default"/>
                      <w:b w:val="0"/>
                      <w:bCs w:val="0"/>
                      <w:szCs w:val="18"/>
                      <w:u w:val="none"/>
                    </w:rPr>
                  </w:pPr>
                </w:p>
              </w:tc>
              <w:tc>
                <w:tcPr>
                  <w:tcW w:w="703" w:type="pct"/>
                  <w:tcBorders>
                    <w:tl2br w:val="nil"/>
                    <w:tr2bl w:val="nil"/>
                  </w:tcBorders>
                  <w:shd w:val="clear" w:color="auto" w:fill="auto"/>
                  <w:noWrap/>
                  <w:vAlign w:val="center"/>
                </w:tcPr>
                <w:p w14:paraId="55B042C6">
                  <w:pPr>
                    <w:pStyle w:val="45"/>
                    <w:rPr>
                      <w:rFonts w:hint="default"/>
                      <w:b w:val="0"/>
                      <w:bCs w:val="0"/>
                      <w:szCs w:val="18"/>
                      <w:u w:val="none"/>
                    </w:rPr>
                  </w:pPr>
                  <w:r>
                    <w:rPr>
                      <w:rFonts w:hint="default"/>
                      <w:b w:val="0"/>
                      <w:bCs w:val="0"/>
                      <w:szCs w:val="18"/>
                      <w:u w:val="none"/>
                    </w:rPr>
                    <w:t>氨水储罐</w:t>
                  </w:r>
                </w:p>
              </w:tc>
              <w:tc>
                <w:tcPr>
                  <w:tcW w:w="3680" w:type="pct"/>
                  <w:tcBorders>
                    <w:tl2br w:val="nil"/>
                    <w:tr2bl w:val="nil"/>
                  </w:tcBorders>
                  <w:shd w:val="clear" w:color="auto" w:fill="auto"/>
                  <w:vAlign w:val="center"/>
                </w:tcPr>
                <w:p w14:paraId="65FE7ECB">
                  <w:pPr>
                    <w:pStyle w:val="45"/>
                    <w:rPr>
                      <w:rFonts w:hint="default"/>
                      <w:b w:val="0"/>
                      <w:bCs w:val="0"/>
                      <w:szCs w:val="18"/>
                      <w:u w:val="none"/>
                    </w:rPr>
                  </w:pPr>
                  <w:r>
                    <w:rPr>
                      <w:rFonts w:hint="default"/>
                      <w:b w:val="0"/>
                      <w:bCs w:val="0"/>
                      <w:szCs w:val="18"/>
                      <w:u w:val="none"/>
                    </w:rPr>
                    <w:t>2个300m</w:t>
                  </w:r>
                  <w:r>
                    <w:rPr>
                      <w:rFonts w:hint="default"/>
                      <w:b w:val="0"/>
                      <w:bCs w:val="0"/>
                      <w:szCs w:val="18"/>
                      <w:u w:val="none"/>
                      <w:vertAlign w:val="superscript"/>
                    </w:rPr>
                    <w:t>3</w:t>
                  </w:r>
                  <w:r>
                    <w:rPr>
                      <w:rFonts w:hint="default"/>
                      <w:b w:val="0"/>
                      <w:bCs w:val="0"/>
                      <w:szCs w:val="18"/>
                      <w:u w:val="none"/>
                    </w:rPr>
                    <w:t>立式平底罐</w:t>
                  </w:r>
                </w:p>
              </w:tc>
            </w:tr>
            <w:tr w14:paraId="06C8D07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continue"/>
                  <w:tcBorders>
                    <w:tl2br w:val="nil"/>
                    <w:tr2bl w:val="nil"/>
                  </w:tcBorders>
                  <w:shd w:val="clear" w:color="auto" w:fill="auto"/>
                  <w:vAlign w:val="center"/>
                </w:tcPr>
                <w:p w14:paraId="6262EEF8">
                  <w:pPr>
                    <w:pStyle w:val="45"/>
                    <w:rPr>
                      <w:rFonts w:hint="default"/>
                      <w:b w:val="0"/>
                      <w:bCs w:val="0"/>
                      <w:szCs w:val="18"/>
                      <w:u w:val="none"/>
                    </w:rPr>
                  </w:pPr>
                </w:p>
              </w:tc>
              <w:tc>
                <w:tcPr>
                  <w:tcW w:w="365" w:type="pct"/>
                  <w:vMerge w:val="continue"/>
                  <w:tcBorders>
                    <w:tl2br w:val="nil"/>
                    <w:tr2bl w:val="nil"/>
                  </w:tcBorders>
                  <w:shd w:val="clear" w:color="auto" w:fill="auto"/>
                  <w:noWrap/>
                  <w:vAlign w:val="center"/>
                </w:tcPr>
                <w:p w14:paraId="08768FD1">
                  <w:pPr>
                    <w:pStyle w:val="45"/>
                    <w:rPr>
                      <w:rFonts w:hint="default"/>
                      <w:b w:val="0"/>
                      <w:bCs w:val="0"/>
                      <w:szCs w:val="18"/>
                      <w:u w:val="none"/>
                    </w:rPr>
                  </w:pPr>
                </w:p>
              </w:tc>
              <w:tc>
                <w:tcPr>
                  <w:tcW w:w="703" w:type="pct"/>
                  <w:tcBorders>
                    <w:tl2br w:val="nil"/>
                    <w:tr2bl w:val="nil"/>
                  </w:tcBorders>
                  <w:shd w:val="clear" w:color="auto" w:fill="auto"/>
                  <w:noWrap/>
                  <w:vAlign w:val="center"/>
                </w:tcPr>
                <w:p w14:paraId="4777F1BC">
                  <w:pPr>
                    <w:pStyle w:val="45"/>
                    <w:rPr>
                      <w:rFonts w:hint="default"/>
                      <w:b w:val="0"/>
                      <w:bCs w:val="0"/>
                      <w:szCs w:val="18"/>
                      <w:u w:val="none"/>
                    </w:rPr>
                  </w:pPr>
                  <w:r>
                    <w:rPr>
                      <w:rFonts w:hint="default"/>
                      <w:b w:val="0"/>
                      <w:bCs w:val="0"/>
                      <w:szCs w:val="18"/>
                      <w:u w:val="none"/>
                    </w:rPr>
                    <w:t>原料氨</w:t>
                  </w:r>
                </w:p>
              </w:tc>
              <w:tc>
                <w:tcPr>
                  <w:tcW w:w="3680" w:type="pct"/>
                  <w:tcBorders>
                    <w:tl2br w:val="nil"/>
                    <w:tr2bl w:val="nil"/>
                  </w:tcBorders>
                  <w:shd w:val="clear" w:color="auto" w:fill="auto"/>
                  <w:vAlign w:val="center"/>
                </w:tcPr>
                <w:p w14:paraId="5F818499">
                  <w:pPr>
                    <w:pStyle w:val="45"/>
                    <w:rPr>
                      <w:rFonts w:hint="default"/>
                      <w:b w:val="0"/>
                      <w:bCs w:val="0"/>
                      <w:szCs w:val="18"/>
                      <w:u w:val="none"/>
                    </w:rPr>
                  </w:pPr>
                  <w:r>
                    <w:rPr>
                      <w:rFonts w:hint="default"/>
                      <w:b w:val="0"/>
                      <w:bCs w:val="0"/>
                      <w:szCs w:val="18"/>
                      <w:u w:val="none"/>
                    </w:rPr>
                    <w:t>2个40m</w:t>
                  </w:r>
                  <w:r>
                    <w:rPr>
                      <w:rFonts w:hint="default"/>
                      <w:b w:val="0"/>
                      <w:bCs w:val="0"/>
                      <w:szCs w:val="18"/>
                      <w:u w:val="none"/>
                      <w:vertAlign w:val="superscript"/>
                    </w:rPr>
                    <w:t>3</w:t>
                  </w:r>
                  <w:r>
                    <w:rPr>
                      <w:rFonts w:hint="default"/>
                      <w:b w:val="0"/>
                      <w:bCs w:val="0"/>
                      <w:szCs w:val="18"/>
                      <w:u w:val="none"/>
                    </w:rPr>
                    <w:t>的卧式储罐</w:t>
                  </w:r>
                  <w:r>
                    <w:rPr>
                      <w:rStyle w:val="33"/>
                      <w:rFonts w:hint="default"/>
                      <w:b w:val="0"/>
                      <w:bCs w:val="0"/>
                      <w:kern w:val="0"/>
                      <w:sz w:val="18"/>
                      <w:szCs w:val="18"/>
                      <w:u w:val="none"/>
                    </w:rPr>
                    <w:t>（互为应急罐）</w:t>
                  </w:r>
                </w:p>
              </w:tc>
            </w:tr>
            <w:tr w14:paraId="567C38B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continue"/>
                  <w:tcBorders>
                    <w:tl2br w:val="nil"/>
                    <w:tr2bl w:val="nil"/>
                  </w:tcBorders>
                  <w:shd w:val="clear" w:color="auto" w:fill="auto"/>
                  <w:vAlign w:val="center"/>
                </w:tcPr>
                <w:p w14:paraId="60F2AB90">
                  <w:pPr>
                    <w:pStyle w:val="45"/>
                    <w:rPr>
                      <w:rFonts w:hint="default"/>
                      <w:b w:val="0"/>
                      <w:bCs w:val="0"/>
                      <w:szCs w:val="18"/>
                      <w:u w:val="none"/>
                    </w:rPr>
                  </w:pPr>
                </w:p>
              </w:tc>
              <w:tc>
                <w:tcPr>
                  <w:tcW w:w="365" w:type="pct"/>
                  <w:vMerge w:val="continue"/>
                  <w:tcBorders>
                    <w:tl2br w:val="nil"/>
                    <w:tr2bl w:val="nil"/>
                  </w:tcBorders>
                  <w:shd w:val="clear" w:color="auto" w:fill="auto"/>
                  <w:noWrap/>
                  <w:vAlign w:val="center"/>
                </w:tcPr>
                <w:p w14:paraId="58ACABF2">
                  <w:pPr>
                    <w:pStyle w:val="45"/>
                    <w:rPr>
                      <w:rFonts w:hint="default"/>
                      <w:b w:val="0"/>
                      <w:bCs w:val="0"/>
                      <w:szCs w:val="18"/>
                      <w:u w:val="none"/>
                    </w:rPr>
                  </w:pPr>
                </w:p>
              </w:tc>
              <w:tc>
                <w:tcPr>
                  <w:tcW w:w="703" w:type="pct"/>
                  <w:tcBorders>
                    <w:tl2br w:val="nil"/>
                    <w:tr2bl w:val="nil"/>
                  </w:tcBorders>
                  <w:shd w:val="clear" w:color="auto" w:fill="auto"/>
                  <w:noWrap/>
                  <w:vAlign w:val="center"/>
                </w:tcPr>
                <w:p w14:paraId="734D4DAF">
                  <w:pPr>
                    <w:pStyle w:val="45"/>
                    <w:rPr>
                      <w:rFonts w:hint="default"/>
                      <w:b w:val="0"/>
                      <w:bCs w:val="0"/>
                      <w:szCs w:val="18"/>
                      <w:u w:val="none"/>
                    </w:rPr>
                  </w:pPr>
                  <w:r>
                    <w:rPr>
                      <w:rFonts w:hint="default"/>
                      <w:b w:val="0"/>
                      <w:bCs w:val="0"/>
                      <w:szCs w:val="18"/>
                      <w:u w:val="none"/>
                    </w:rPr>
                    <w:t>氮气储罐</w:t>
                  </w:r>
                </w:p>
              </w:tc>
              <w:tc>
                <w:tcPr>
                  <w:tcW w:w="3680" w:type="pct"/>
                  <w:tcBorders>
                    <w:tl2br w:val="nil"/>
                    <w:tr2bl w:val="nil"/>
                  </w:tcBorders>
                  <w:shd w:val="clear" w:color="auto" w:fill="auto"/>
                  <w:vAlign w:val="center"/>
                </w:tcPr>
                <w:p w14:paraId="77AA2C8E">
                  <w:pPr>
                    <w:pStyle w:val="45"/>
                    <w:rPr>
                      <w:rFonts w:hint="default"/>
                      <w:b w:val="0"/>
                      <w:bCs w:val="0"/>
                      <w:szCs w:val="18"/>
                      <w:u w:val="none"/>
                    </w:rPr>
                  </w:pPr>
                  <w:r>
                    <w:rPr>
                      <w:rFonts w:hint="default"/>
                      <w:b w:val="0"/>
                      <w:bCs w:val="0"/>
                      <w:szCs w:val="18"/>
                      <w:u w:val="none"/>
                    </w:rPr>
                    <w:t>1个</w:t>
                  </w:r>
                  <w:r>
                    <w:rPr>
                      <w:b w:val="0"/>
                      <w:bCs w:val="0"/>
                      <w:szCs w:val="18"/>
                      <w:u w:val="none"/>
                    </w:rPr>
                    <w:t>2</w:t>
                  </w:r>
                  <w:r>
                    <w:rPr>
                      <w:rFonts w:hint="default"/>
                      <w:b w:val="0"/>
                      <w:bCs w:val="0"/>
                      <w:szCs w:val="18"/>
                      <w:u w:val="none"/>
                    </w:rPr>
                    <w:t>0m</w:t>
                  </w:r>
                  <w:r>
                    <w:rPr>
                      <w:rFonts w:hint="default"/>
                      <w:b w:val="0"/>
                      <w:bCs w:val="0"/>
                      <w:szCs w:val="18"/>
                      <w:u w:val="none"/>
                      <w:vertAlign w:val="superscript"/>
                    </w:rPr>
                    <w:t>3</w:t>
                  </w:r>
                  <w:r>
                    <w:rPr>
                      <w:b w:val="0"/>
                      <w:bCs w:val="0"/>
                      <w:szCs w:val="18"/>
                      <w:u w:val="none"/>
                    </w:rPr>
                    <w:t>真空绝热</w:t>
                  </w:r>
                  <w:r>
                    <w:rPr>
                      <w:rFonts w:hint="default"/>
                      <w:b w:val="0"/>
                      <w:bCs w:val="0"/>
                      <w:szCs w:val="18"/>
                      <w:u w:val="none"/>
                    </w:rPr>
                    <w:t>储罐，用于管道吹扫试压检漏以及仪表气源。</w:t>
                  </w:r>
                </w:p>
              </w:tc>
            </w:tr>
            <w:tr w14:paraId="158A0C2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250" w:type="pct"/>
                  <w:vMerge w:val="continue"/>
                  <w:tcBorders>
                    <w:tl2br w:val="nil"/>
                    <w:tr2bl w:val="nil"/>
                  </w:tcBorders>
                  <w:shd w:val="clear" w:color="auto" w:fill="auto"/>
                  <w:vAlign w:val="center"/>
                </w:tcPr>
                <w:p w14:paraId="76980144">
                  <w:pPr>
                    <w:pStyle w:val="45"/>
                    <w:rPr>
                      <w:rFonts w:hint="default"/>
                      <w:b w:val="0"/>
                      <w:bCs w:val="0"/>
                      <w:szCs w:val="18"/>
                      <w:u w:val="none"/>
                    </w:rPr>
                  </w:pPr>
                </w:p>
              </w:tc>
              <w:tc>
                <w:tcPr>
                  <w:tcW w:w="365" w:type="pct"/>
                  <w:vMerge w:val="restart"/>
                  <w:tcBorders>
                    <w:tl2br w:val="nil"/>
                    <w:tr2bl w:val="nil"/>
                  </w:tcBorders>
                  <w:shd w:val="clear" w:color="auto" w:fill="auto"/>
                  <w:noWrap/>
                  <w:vAlign w:val="center"/>
                </w:tcPr>
                <w:p w14:paraId="40759087">
                  <w:pPr>
                    <w:pStyle w:val="45"/>
                    <w:rPr>
                      <w:rFonts w:hint="default"/>
                      <w:b w:val="0"/>
                      <w:bCs w:val="0"/>
                      <w:szCs w:val="18"/>
                      <w:u w:val="none"/>
                    </w:rPr>
                  </w:pPr>
                  <w:r>
                    <w:rPr>
                      <w:rFonts w:hint="default"/>
                      <w:b w:val="0"/>
                      <w:bCs w:val="0"/>
                      <w:szCs w:val="18"/>
                      <w:u w:val="none"/>
                    </w:rPr>
                    <w:t>运输</w:t>
                  </w:r>
                </w:p>
              </w:tc>
              <w:tc>
                <w:tcPr>
                  <w:tcW w:w="703" w:type="pct"/>
                  <w:tcBorders>
                    <w:tl2br w:val="nil"/>
                    <w:tr2bl w:val="nil"/>
                  </w:tcBorders>
                  <w:shd w:val="clear" w:color="auto" w:fill="auto"/>
                  <w:noWrap/>
                  <w:vAlign w:val="center"/>
                </w:tcPr>
                <w:p w14:paraId="79366A93">
                  <w:pPr>
                    <w:pStyle w:val="45"/>
                    <w:rPr>
                      <w:rFonts w:hint="default"/>
                      <w:b w:val="0"/>
                      <w:bCs w:val="0"/>
                      <w:szCs w:val="18"/>
                      <w:u w:val="none"/>
                    </w:rPr>
                  </w:pPr>
                  <w:r>
                    <w:rPr>
                      <w:rFonts w:hint="default"/>
                      <w:b w:val="0"/>
                      <w:bCs w:val="0"/>
                      <w:szCs w:val="18"/>
                      <w:u w:val="none"/>
                    </w:rPr>
                    <w:t>厂外原料运输</w:t>
                  </w:r>
                </w:p>
              </w:tc>
              <w:tc>
                <w:tcPr>
                  <w:tcW w:w="3680" w:type="pct"/>
                  <w:tcBorders>
                    <w:tl2br w:val="nil"/>
                    <w:tr2bl w:val="nil"/>
                  </w:tcBorders>
                  <w:shd w:val="clear" w:color="auto" w:fill="auto"/>
                  <w:vAlign w:val="center"/>
                </w:tcPr>
                <w:p w14:paraId="37A379F2">
                  <w:pPr>
                    <w:pStyle w:val="45"/>
                    <w:rPr>
                      <w:rFonts w:hint="default"/>
                      <w:b/>
                      <w:bCs/>
                      <w:color w:val="auto"/>
                      <w:szCs w:val="18"/>
                      <w:u w:val="single"/>
                    </w:rPr>
                  </w:pPr>
                  <w:r>
                    <w:rPr>
                      <w:rFonts w:hint="default"/>
                      <w:b/>
                      <w:bCs/>
                      <w:color w:val="auto"/>
                      <w:szCs w:val="18"/>
                      <w:u w:val="single"/>
                    </w:rPr>
                    <w:t>本项目利用园区现有地上管廊，架设二氧化碳、液氨原料输送管线，管线由河南神马氢化学有限责任公司至本厂区，总长度为1.9km，其中</w:t>
                  </w:r>
                  <w:r>
                    <w:rPr>
                      <w:rStyle w:val="65"/>
                      <w:rFonts w:hint="default"/>
                      <w:b/>
                      <w:bCs/>
                      <w:color w:val="auto"/>
                      <w:szCs w:val="18"/>
                      <w:u w:val="single"/>
                    </w:rPr>
                    <w:t>CO</w:t>
                  </w:r>
                  <w:r>
                    <w:rPr>
                      <w:rStyle w:val="65"/>
                      <w:rFonts w:hint="default"/>
                      <w:b/>
                      <w:bCs/>
                      <w:color w:val="auto"/>
                      <w:szCs w:val="18"/>
                      <w:u w:val="single"/>
                      <w:vertAlign w:val="subscript"/>
                    </w:rPr>
                    <w:t>2</w:t>
                  </w:r>
                  <w:r>
                    <w:rPr>
                      <w:rStyle w:val="65"/>
                      <w:rFonts w:hint="default"/>
                      <w:b/>
                      <w:bCs/>
                      <w:color w:val="auto"/>
                      <w:szCs w:val="18"/>
                      <w:u w:val="single"/>
                    </w:rPr>
                    <w:t>原料气管道直径800mm，管道全长均为1.9km；液氨原料管道直径40mm，管道全长均为1.9km。本次评价仅包括厂界范围内建设内容，不涉及厂外管线建设。</w:t>
                  </w:r>
                </w:p>
              </w:tc>
            </w:tr>
            <w:tr w14:paraId="7F4277C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250" w:type="pct"/>
                  <w:vMerge w:val="continue"/>
                  <w:tcBorders>
                    <w:tl2br w:val="nil"/>
                    <w:tr2bl w:val="nil"/>
                  </w:tcBorders>
                  <w:shd w:val="clear" w:color="auto" w:fill="auto"/>
                  <w:vAlign w:val="center"/>
                </w:tcPr>
                <w:p w14:paraId="6C01532A">
                  <w:pPr>
                    <w:pStyle w:val="45"/>
                    <w:rPr>
                      <w:rFonts w:hint="default"/>
                      <w:b w:val="0"/>
                      <w:bCs w:val="0"/>
                      <w:szCs w:val="18"/>
                      <w:u w:val="none"/>
                    </w:rPr>
                  </w:pPr>
                </w:p>
              </w:tc>
              <w:tc>
                <w:tcPr>
                  <w:tcW w:w="365" w:type="pct"/>
                  <w:vMerge w:val="continue"/>
                  <w:tcBorders>
                    <w:tl2br w:val="nil"/>
                    <w:tr2bl w:val="nil"/>
                  </w:tcBorders>
                  <w:shd w:val="clear" w:color="auto" w:fill="auto"/>
                  <w:noWrap/>
                  <w:vAlign w:val="center"/>
                </w:tcPr>
                <w:p w14:paraId="09E05D09">
                  <w:pPr>
                    <w:pStyle w:val="45"/>
                    <w:rPr>
                      <w:rFonts w:hint="default"/>
                      <w:b w:val="0"/>
                      <w:bCs w:val="0"/>
                      <w:szCs w:val="18"/>
                      <w:u w:val="none"/>
                    </w:rPr>
                  </w:pPr>
                </w:p>
              </w:tc>
              <w:tc>
                <w:tcPr>
                  <w:tcW w:w="703" w:type="pct"/>
                  <w:tcBorders>
                    <w:tl2br w:val="nil"/>
                    <w:tr2bl w:val="nil"/>
                  </w:tcBorders>
                  <w:shd w:val="clear" w:color="auto" w:fill="auto"/>
                  <w:noWrap/>
                  <w:vAlign w:val="center"/>
                </w:tcPr>
                <w:p w14:paraId="7F5DCF99">
                  <w:pPr>
                    <w:pStyle w:val="45"/>
                    <w:rPr>
                      <w:rFonts w:hint="default"/>
                      <w:b w:val="0"/>
                      <w:bCs w:val="0"/>
                      <w:szCs w:val="18"/>
                      <w:u w:val="none"/>
                    </w:rPr>
                  </w:pPr>
                  <w:r>
                    <w:rPr>
                      <w:rFonts w:hint="default"/>
                      <w:b w:val="0"/>
                      <w:bCs w:val="0"/>
                      <w:szCs w:val="18"/>
                      <w:u w:val="none"/>
                    </w:rPr>
                    <w:t>厂内物料运输</w:t>
                  </w:r>
                </w:p>
              </w:tc>
              <w:tc>
                <w:tcPr>
                  <w:tcW w:w="3680" w:type="pct"/>
                  <w:tcBorders>
                    <w:tl2br w:val="nil"/>
                    <w:tr2bl w:val="nil"/>
                  </w:tcBorders>
                  <w:shd w:val="clear" w:color="auto" w:fill="auto"/>
                  <w:vAlign w:val="center"/>
                </w:tcPr>
                <w:p w14:paraId="4CF21CAA">
                  <w:pPr>
                    <w:pStyle w:val="45"/>
                    <w:rPr>
                      <w:rFonts w:hint="default"/>
                      <w:b w:val="0"/>
                      <w:bCs w:val="0"/>
                      <w:szCs w:val="18"/>
                      <w:u w:val="none"/>
                    </w:rPr>
                  </w:pPr>
                  <w:r>
                    <w:rPr>
                      <w:rStyle w:val="65"/>
                      <w:rFonts w:hint="default"/>
                      <w:b w:val="0"/>
                      <w:bCs w:val="0"/>
                      <w:szCs w:val="18"/>
                      <w:u w:val="none"/>
                    </w:rPr>
                    <w:t>厂内运输采用管道或电瓶车、叉车</w:t>
                  </w:r>
                </w:p>
              </w:tc>
            </w:tr>
            <w:tr w14:paraId="33ABE3C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250" w:type="pct"/>
                  <w:vMerge w:val="continue"/>
                  <w:tcBorders>
                    <w:tl2br w:val="nil"/>
                    <w:tr2bl w:val="nil"/>
                  </w:tcBorders>
                  <w:shd w:val="clear" w:color="auto" w:fill="auto"/>
                  <w:vAlign w:val="center"/>
                </w:tcPr>
                <w:p w14:paraId="33FAEFB4">
                  <w:pPr>
                    <w:pStyle w:val="45"/>
                    <w:rPr>
                      <w:rFonts w:hint="default"/>
                      <w:b w:val="0"/>
                      <w:bCs w:val="0"/>
                      <w:szCs w:val="18"/>
                      <w:u w:val="none"/>
                    </w:rPr>
                  </w:pPr>
                </w:p>
              </w:tc>
              <w:tc>
                <w:tcPr>
                  <w:tcW w:w="365" w:type="pct"/>
                  <w:vMerge w:val="continue"/>
                  <w:tcBorders>
                    <w:tl2br w:val="nil"/>
                    <w:tr2bl w:val="nil"/>
                  </w:tcBorders>
                  <w:shd w:val="clear" w:color="auto" w:fill="auto"/>
                  <w:noWrap/>
                  <w:vAlign w:val="center"/>
                </w:tcPr>
                <w:p w14:paraId="3CCAAC86">
                  <w:pPr>
                    <w:pStyle w:val="45"/>
                    <w:rPr>
                      <w:rFonts w:hint="default"/>
                      <w:b w:val="0"/>
                      <w:bCs w:val="0"/>
                      <w:szCs w:val="18"/>
                      <w:u w:val="none"/>
                    </w:rPr>
                  </w:pPr>
                </w:p>
              </w:tc>
              <w:tc>
                <w:tcPr>
                  <w:tcW w:w="703" w:type="pct"/>
                  <w:tcBorders>
                    <w:tl2br w:val="nil"/>
                    <w:tr2bl w:val="nil"/>
                  </w:tcBorders>
                  <w:shd w:val="clear" w:color="auto" w:fill="auto"/>
                  <w:noWrap/>
                  <w:vAlign w:val="center"/>
                </w:tcPr>
                <w:p w14:paraId="46496C3E">
                  <w:pPr>
                    <w:pStyle w:val="45"/>
                    <w:rPr>
                      <w:rFonts w:hint="default"/>
                      <w:b w:val="0"/>
                      <w:bCs w:val="0"/>
                      <w:szCs w:val="18"/>
                      <w:u w:val="none"/>
                    </w:rPr>
                  </w:pPr>
                  <w:r>
                    <w:rPr>
                      <w:rFonts w:hint="default"/>
                      <w:b w:val="0"/>
                      <w:bCs w:val="0"/>
                      <w:szCs w:val="18"/>
                      <w:u w:val="none"/>
                    </w:rPr>
                    <w:t>厂外产品运输</w:t>
                  </w:r>
                </w:p>
              </w:tc>
              <w:tc>
                <w:tcPr>
                  <w:tcW w:w="3680" w:type="pct"/>
                  <w:tcBorders>
                    <w:tl2br w:val="nil"/>
                    <w:tr2bl w:val="nil"/>
                  </w:tcBorders>
                  <w:shd w:val="clear" w:color="auto" w:fill="auto"/>
                  <w:vAlign w:val="center"/>
                </w:tcPr>
                <w:p w14:paraId="09CA5F04">
                  <w:pPr>
                    <w:pStyle w:val="45"/>
                    <w:rPr>
                      <w:rFonts w:hint="default"/>
                      <w:b w:val="0"/>
                      <w:bCs w:val="0"/>
                      <w:szCs w:val="18"/>
                      <w:u w:val="none"/>
                    </w:rPr>
                  </w:pPr>
                  <w:r>
                    <w:rPr>
                      <w:rStyle w:val="65"/>
                      <w:rFonts w:hint="default"/>
                      <w:b w:val="0"/>
                      <w:bCs w:val="0"/>
                      <w:szCs w:val="18"/>
                      <w:u w:val="none"/>
                    </w:rPr>
                    <w:t>根据销售地的不同分别以公路运输或铁路方式完</w:t>
                  </w:r>
                  <w:r>
                    <w:rPr>
                      <w:rFonts w:hint="default"/>
                      <w:b w:val="0"/>
                      <w:bCs w:val="0"/>
                      <w:szCs w:val="18"/>
                      <w:u w:val="none"/>
                    </w:rPr>
                    <w:t>成</w:t>
                  </w:r>
                </w:p>
              </w:tc>
            </w:tr>
            <w:tr w14:paraId="67AC9F6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restart"/>
                  <w:tcBorders>
                    <w:tl2br w:val="nil"/>
                    <w:tr2bl w:val="nil"/>
                  </w:tcBorders>
                  <w:shd w:val="clear" w:color="auto" w:fill="auto"/>
                  <w:vAlign w:val="center"/>
                </w:tcPr>
                <w:p w14:paraId="644E6CDC">
                  <w:pPr>
                    <w:pStyle w:val="45"/>
                    <w:rPr>
                      <w:rFonts w:hint="default"/>
                      <w:b w:val="0"/>
                      <w:bCs w:val="0"/>
                      <w:szCs w:val="18"/>
                      <w:u w:val="none"/>
                    </w:rPr>
                  </w:pPr>
                  <w:r>
                    <w:rPr>
                      <w:rFonts w:hint="default"/>
                      <w:b w:val="0"/>
                      <w:bCs w:val="0"/>
                      <w:szCs w:val="18"/>
                      <w:u w:val="none"/>
                    </w:rPr>
                    <w:t>环保工程</w:t>
                  </w:r>
                </w:p>
              </w:tc>
              <w:tc>
                <w:tcPr>
                  <w:tcW w:w="1069" w:type="pct"/>
                  <w:gridSpan w:val="2"/>
                  <w:tcBorders>
                    <w:tl2br w:val="nil"/>
                    <w:tr2bl w:val="nil"/>
                  </w:tcBorders>
                  <w:shd w:val="clear" w:color="auto" w:fill="auto"/>
                  <w:vAlign w:val="center"/>
                </w:tcPr>
                <w:p w14:paraId="2FB321C5">
                  <w:pPr>
                    <w:pStyle w:val="45"/>
                    <w:rPr>
                      <w:rFonts w:hint="default"/>
                      <w:b w:val="0"/>
                      <w:bCs w:val="0"/>
                      <w:szCs w:val="18"/>
                      <w:u w:val="none"/>
                    </w:rPr>
                  </w:pPr>
                  <w:r>
                    <w:rPr>
                      <w:rFonts w:hint="default"/>
                      <w:b w:val="0"/>
                      <w:bCs w:val="0"/>
                      <w:szCs w:val="18"/>
                      <w:u w:val="none"/>
                    </w:rPr>
                    <w:t>废气</w:t>
                  </w:r>
                </w:p>
              </w:tc>
              <w:tc>
                <w:tcPr>
                  <w:tcW w:w="3680" w:type="pct"/>
                  <w:tcBorders>
                    <w:tl2br w:val="nil"/>
                    <w:tr2bl w:val="nil"/>
                  </w:tcBorders>
                  <w:shd w:val="clear" w:color="auto" w:fill="auto"/>
                  <w:vAlign w:val="center"/>
                </w:tcPr>
                <w:p w14:paraId="062340FC">
                  <w:pPr>
                    <w:pStyle w:val="45"/>
                    <w:rPr>
                      <w:rFonts w:hint="default"/>
                      <w:b/>
                      <w:bCs/>
                      <w:szCs w:val="18"/>
                      <w:u w:val="single"/>
                    </w:rPr>
                  </w:pPr>
                  <w:r>
                    <w:rPr>
                      <w:b/>
                      <w:bCs/>
                      <w:szCs w:val="18"/>
                      <w:u w:val="single"/>
                    </w:rPr>
                    <w:t>液体</w:t>
                  </w:r>
                  <w:r>
                    <w:rPr>
                      <w:rFonts w:hint="default"/>
                      <w:b/>
                      <w:bCs/>
                      <w:szCs w:val="18"/>
                      <w:u w:val="single"/>
                    </w:rPr>
                    <w:t>CO</w:t>
                  </w:r>
                  <w:r>
                    <w:rPr>
                      <w:rFonts w:hint="default"/>
                      <w:b/>
                      <w:bCs/>
                      <w:szCs w:val="18"/>
                      <w:u w:val="single"/>
                      <w:vertAlign w:val="subscript"/>
                    </w:rPr>
                    <w:t>2</w:t>
                  </w:r>
                  <w:r>
                    <w:rPr>
                      <w:rFonts w:hint="default"/>
                      <w:b/>
                      <w:bCs/>
                      <w:szCs w:val="18"/>
                      <w:u w:val="single"/>
                    </w:rPr>
                    <w:t>生产尾气经30m排气筒排放；</w:t>
                  </w:r>
                </w:p>
                <w:p w14:paraId="1180C2CA">
                  <w:pPr>
                    <w:pStyle w:val="45"/>
                    <w:rPr>
                      <w:rFonts w:hint="default"/>
                      <w:b/>
                      <w:bCs/>
                      <w:szCs w:val="18"/>
                      <w:u w:val="single"/>
                    </w:rPr>
                  </w:pPr>
                  <w:r>
                    <w:rPr>
                      <w:rFonts w:hint="default"/>
                      <w:b/>
                      <w:bCs/>
                      <w:szCs w:val="18"/>
                      <w:u w:val="single"/>
                    </w:rPr>
                    <w:t>超纯氨生产尾气经两级超级吸氨器+三级水喷淋吸收塔处理，经塔顶15m高排气筒排放；</w:t>
                  </w:r>
                </w:p>
                <w:p w14:paraId="13BD7E8D">
                  <w:pPr>
                    <w:pStyle w:val="45"/>
                    <w:rPr>
                      <w:rFonts w:hint="default"/>
                      <w:b w:val="0"/>
                      <w:bCs w:val="0"/>
                      <w:szCs w:val="18"/>
                      <w:u w:val="none"/>
                    </w:rPr>
                  </w:pPr>
                  <w:r>
                    <w:rPr>
                      <w:rFonts w:hint="default"/>
                      <w:b/>
                      <w:bCs/>
                      <w:szCs w:val="18"/>
                      <w:u w:val="single"/>
                    </w:rPr>
                    <w:t>储罐呼吸废气经收集后引入三级水喷淋吸收塔处理后经15m高排气筒排放</w:t>
                  </w:r>
                </w:p>
              </w:tc>
            </w:tr>
            <w:tr w14:paraId="4FF1A01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continue"/>
                  <w:tcBorders>
                    <w:tl2br w:val="nil"/>
                    <w:tr2bl w:val="nil"/>
                  </w:tcBorders>
                  <w:shd w:val="clear" w:color="auto" w:fill="auto"/>
                  <w:vAlign w:val="center"/>
                </w:tcPr>
                <w:p w14:paraId="646CAE8D">
                  <w:pPr>
                    <w:pStyle w:val="45"/>
                    <w:rPr>
                      <w:rFonts w:hint="default"/>
                      <w:b w:val="0"/>
                      <w:bCs w:val="0"/>
                      <w:szCs w:val="18"/>
                      <w:u w:val="none"/>
                    </w:rPr>
                  </w:pPr>
                </w:p>
              </w:tc>
              <w:tc>
                <w:tcPr>
                  <w:tcW w:w="1069" w:type="pct"/>
                  <w:gridSpan w:val="2"/>
                  <w:tcBorders>
                    <w:tl2br w:val="nil"/>
                    <w:tr2bl w:val="nil"/>
                  </w:tcBorders>
                  <w:shd w:val="clear" w:color="auto" w:fill="auto"/>
                  <w:vAlign w:val="center"/>
                </w:tcPr>
                <w:p w14:paraId="38713988">
                  <w:pPr>
                    <w:pStyle w:val="45"/>
                    <w:rPr>
                      <w:rFonts w:hint="default"/>
                      <w:b w:val="0"/>
                      <w:bCs w:val="0"/>
                      <w:szCs w:val="18"/>
                      <w:u w:val="none"/>
                    </w:rPr>
                  </w:pPr>
                  <w:r>
                    <w:rPr>
                      <w:rFonts w:hint="default"/>
                      <w:b w:val="0"/>
                      <w:bCs w:val="0"/>
                      <w:szCs w:val="18"/>
                      <w:u w:val="none"/>
                    </w:rPr>
                    <w:t>废水</w:t>
                  </w:r>
                </w:p>
              </w:tc>
              <w:tc>
                <w:tcPr>
                  <w:tcW w:w="3680" w:type="pct"/>
                  <w:tcBorders>
                    <w:tl2br w:val="nil"/>
                    <w:tr2bl w:val="nil"/>
                  </w:tcBorders>
                  <w:shd w:val="clear" w:color="auto" w:fill="auto"/>
                  <w:vAlign w:val="center"/>
                </w:tcPr>
                <w:p w14:paraId="6AB8D5DE">
                  <w:pPr>
                    <w:pStyle w:val="45"/>
                    <w:rPr>
                      <w:rFonts w:hint="default"/>
                      <w:b w:val="0"/>
                      <w:bCs w:val="0"/>
                      <w:szCs w:val="18"/>
                      <w:u w:val="none"/>
                    </w:rPr>
                  </w:pPr>
                  <w:r>
                    <w:rPr>
                      <w:rFonts w:hint="default"/>
                      <w:b w:val="0"/>
                      <w:bCs w:val="0"/>
                      <w:szCs w:val="18"/>
                      <w:u w:val="none"/>
                    </w:rPr>
                    <w:t>生活污水经化粪池处理后</w:t>
                  </w:r>
                  <w:r>
                    <w:rPr>
                      <w:rFonts w:hint="eastAsia"/>
                      <w:b w:val="0"/>
                      <w:bCs w:val="0"/>
                      <w:szCs w:val="18"/>
                      <w:u w:val="none"/>
                      <w:lang w:eastAsia="zh-CN"/>
                    </w:rPr>
                    <w:t>经厂区西侧</w:t>
                  </w:r>
                  <w:r>
                    <w:rPr>
                      <w:rFonts w:hint="default"/>
                      <w:b w:val="0"/>
                      <w:bCs w:val="0"/>
                      <w:szCs w:val="18"/>
                      <w:u w:val="none"/>
                    </w:rPr>
                    <w:t>污水管网送至</w:t>
                  </w:r>
                  <w:r>
                    <w:rPr>
                      <w:rFonts w:hint="default"/>
                      <w:b/>
                      <w:bCs/>
                      <w:szCs w:val="18"/>
                      <w:u w:val="single"/>
                      <w:lang w:val="zh-CN"/>
                    </w:rPr>
                    <w:t>平顶山首创水务有限公司（平顶山市第三污水处理厂）</w:t>
                  </w:r>
                  <w:r>
                    <w:rPr>
                      <w:rFonts w:hint="eastAsia"/>
                      <w:b/>
                      <w:bCs/>
                      <w:szCs w:val="18"/>
                      <w:u w:val="single"/>
                      <w:lang w:val="zh-CN"/>
                    </w:rPr>
                    <w:t>；冷却循环水排水经厂区</w:t>
                  </w:r>
                  <w:r>
                    <w:rPr>
                      <w:rFonts w:hint="eastAsia"/>
                      <w:b w:val="0"/>
                      <w:bCs w:val="0"/>
                      <w:szCs w:val="18"/>
                      <w:u w:val="none"/>
                      <w:lang w:eastAsia="zh-CN"/>
                    </w:rPr>
                    <w:t>东侧</w:t>
                  </w:r>
                  <w:r>
                    <w:rPr>
                      <w:rFonts w:hint="default"/>
                      <w:b w:val="0"/>
                      <w:bCs w:val="0"/>
                      <w:szCs w:val="18"/>
                      <w:u w:val="none"/>
                    </w:rPr>
                    <w:t>污水管网送至</w:t>
                  </w:r>
                  <w:r>
                    <w:rPr>
                      <w:rFonts w:hint="default"/>
                      <w:b/>
                      <w:bCs/>
                      <w:szCs w:val="18"/>
                      <w:u w:val="single"/>
                      <w:lang w:val="zh-CN"/>
                    </w:rPr>
                    <w:t>平顶山首创水务有限公司（平顶山市第三污水处理厂）</w:t>
                  </w:r>
                  <w:r>
                    <w:rPr>
                      <w:rFonts w:hint="default"/>
                      <w:b w:val="0"/>
                      <w:bCs w:val="0"/>
                      <w:szCs w:val="18"/>
                      <w:u w:val="none"/>
                    </w:rPr>
                    <w:t>。</w:t>
                  </w:r>
                </w:p>
              </w:tc>
            </w:tr>
            <w:tr w14:paraId="3836A44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continue"/>
                  <w:tcBorders>
                    <w:tl2br w:val="nil"/>
                    <w:tr2bl w:val="nil"/>
                  </w:tcBorders>
                  <w:shd w:val="clear" w:color="auto" w:fill="auto"/>
                  <w:vAlign w:val="center"/>
                </w:tcPr>
                <w:p w14:paraId="039717D4">
                  <w:pPr>
                    <w:pStyle w:val="45"/>
                    <w:rPr>
                      <w:rFonts w:hint="default"/>
                      <w:b w:val="0"/>
                      <w:bCs w:val="0"/>
                      <w:szCs w:val="18"/>
                      <w:u w:val="none"/>
                    </w:rPr>
                  </w:pPr>
                </w:p>
              </w:tc>
              <w:tc>
                <w:tcPr>
                  <w:tcW w:w="1069" w:type="pct"/>
                  <w:gridSpan w:val="2"/>
                  <w:tcBorders>
                    <w:tl2br w:val="nil"/>
                    <w:tr2bl w:val="nil"/>
                  </w:tcBorders>
                  <w:shd w:val="clear" w:color="auto" w:fill="auto"/>
                  <w:vAlign w:val="center"/>
                </w:tcPr>
                <w:p w14:paraId="5679DD75">
                  <w:pPr>
                    <w:pStyle w:val="45"/>
                    <w:rPr>
                      <w:rFonts w:hint="default"/>
                      <w:b w:val="0"/>
                      <w:bCs w:val="0"/>
                      <w:szCs w:val="18"/>
                      <w:u w:val="none"/>
                    </w:rPr>
                  </w:pPr>
                  <w:r>
                    <w:rPr>
                      <w:rFonts w:hint="default"/>
                      <w:b w:val="0"/>
                      <w:bCs w:val="0"/>
                      <w:szCs w:val="18"/>
                      <w:u w:val="none"/>
                    </w:rPr>
                    <w:t>噪声</w:t>
                  </w:r>
                </w:p>
              </w:tc>
              <w:tc>
                <w:tcPr>
                  <w:tcW w:w="3680" w:type="pct"/>
                  <w:tcBorders>
                    <w:tl2br w:val="nil"/>
                    <w:tr2bl w:val="nil"/>
                  </w:tcBorders>
                  <w:shd w:val="clear" w:color="auto" w:fill="auto"/>
                  <w:vAlign w:val="center"/>
                </w:tcPr>
                <w:p w14:paraId="1C31A93F">
                  <w:pPr>
                    <w:pStyle w:val="45"/>
                    <w:rPr>
                      <w:rFonts w:hint="default"/>
                      <w:b w:val="0"/>
                      <w:bCs w:val="0"/>
                      <w:szCs w:val="18"/>
                      <w:u w:val="none"/>
                    </w:rPr>
                  </w:pPr>
                  <w:r>
                    <w:rPr>
                      <w:rFonts w:hint="default"/>
                      <w:b w:val="0"/>
                      <w:bCs w:val="0"/>
                      <w:szCs w:val="18"/>
                      <w:u w:val="none"/>
                    </w:rPr>
                    <w:t>采取厂房隔声、风机安装消声器等降噪措施</w:t>
                  </w:r>
                </w:p>
              </w:tc>
            </w:tr>
            <w:tr w14:paraId="76573F8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continue"/>
                  <w:tcBorders>
                    <w:tl2br w:val="nil"/>
                    <w:tr2bl w:val="nil"/>
                  </w:tcBorders>
                  <w:shd w:val="clear" w:color="auto" w:fill="auto"/>
                  <w:vAlign w:val="center"/>
                </w:tcPr>
                <w:p w14:paraId="23487808">
                  <w:pPr>
                    <w:pStyle w:val="45"/>
                    <w:rPr>
                      <w:rFonts w:hint="default"/>
                      <w:b w:val="0"/>
                      <w:bCs w:val="0"/>
                      <w:szCs w:val="18"/>
                      <w:u w:val="none"/>
                    </w:rPr>
                  </w:pPr>
                </w:p>
              </w:tc>
              <w:tc>
                <w:tcPr>
                  <w:tcW w:w="1069" w:type="pct"/>
                  <w:gridSpan w:val="2"/>
                  <w:tcBorders>
                    <w:tl2br w:val="nil"/>
                    <w:tr2bl w:val="nil"/>
                  </w:tcBorders>
                  <w:shd w:val="clear" w:color="auto" w:fill="auto"/>
                  <w:vAlign w:val="center"/>
                </w:tcPr>
                <w:p w14:paraId="2E318EA5">
                  <w:pPr>
                    <w:pStyle w:val="45"/>
                    <w:rPr>
                      <w:rFonts w:hint="default"/>
                      <w:b w:val="0"/>
                      <w:bCs w:val="0"/>
                      <w:szCs w:val="18"/>
                      <w:u w:val="none"/>
                    </w:rPr>
                  </w:pPr>
                  <w:r>
                    <w:rPr>
                      <w:rFonts w:hint="default"/>
                      <w:b w:val="0"/>
                      <w:bCs w:val="0"/>
                      <w:szCs w:val="18"/>
                      <w:u w:val="none"/>
                    </w:rPr>
                    <w:t>固体</w:t>
                  </w:r>
                </w:p>
                <w:p w14:paraId="3E3A0B36">
                  <w:pPr>
                    <w:pStyle w:val="45"/>
                    <w:rPr>
                      <w:rFonts w:hint="default"/>
                      <w:b w:val="0"/>
                      <w:bCs w:val="0"/>
                      <w:szCs w:val="18"/>
                      <w:u w:val="none"/>
                    </w:rPr>
                  </w:pPr>
                  <w:r>
                    <w:rPr>
                      <w:rFonts w:hint="default"/>
                      <w:b w:val="0"/>
                      <w:bCs w:val="0"/>
                      <w:szCs w:val="18"/>
                      <w:u w:val="none"/>
                    </w:rPr>
                    <w:t>废物</w:t>
                  </w:r>
                </w:p>
              </w:tc>
              <w:tc>
                <w:tcPr>
                  <w:tcW w:w="3680" w:type="pct"/>
                  <w:tcBorders>
                    <w:tl2br w:val="nil"/>
                    <w:tr2bl w:val="nil"/>
                  </w:tcBorders>
                  <w:shd w:val="clear" w:color="auto" w:fill="auto"/>
                  <w:vAlign w:val="center"/>
                </w:tcPr>
                <w:p w14:paraId="53CCE418">
                  <w:pPr>
                    <w:pStyle w:val="45"/>
                    <w:rPr>
                      <w:rFonts w:hint="default"/>
                      <w:b w:val="0"/>
                      <w:bCs w:val="0"/>
                      <w:szCs w:val="18"/>
                      <w:u w:val="none"/>
                    </w:rPr>
                  </w:pPr>
                  <w:r>
                    <w:rPr>
                      <w:rFonts w:hint="default"/>
                      <w:b w:val="0"/>
                      <w:bCs w:val="0"/>
                      <w:szCs w:val="18"/>
                      <w:u w:val="none"/>
                    </w:rPr>
                    <w:t>设置10m</w:t>
                  </w:r>
                  <w:r>
                    <w:rPr>
                      <w:rFonts w:hint="default"/>
                      <w:b w:val="0"/>
                      <w:bCs w:val="0"/>
                      <w:szCs w:val="18"/>
                      <w:u w:val="none"/>
                      <w:vertAlign w:val="superscript"/>
                    </w:rPr>
                    <w:t>2</w:t>
                  </w:r>
                  <w:r>
                    <w:rPr>
                      <w:rFonts w:hint="default"/>
                      <w:b w:val="0"/>
                      <w:bCs w:val="0"/>
                      <w:szCs w:val="18"/>
                      <w:u w:val="none"/>
                    </w:rPr>
                    <w:t>危废暂存间一座，10m</w:t>
                  </w:r>
                  <w:r>
                    <w:rPr>
                      <w:rFonts w:hint="default"/>
                      <w:b w:val="0"/>
                      <w:bCs w:val="0"/>
                      <w:szCs w:val="18"/>
                      <w:u w:val="none"/>
                      <w:vertAlign w:val="superscript"/>
                    </w:rPr>
                    <w:t>2</w:t>
                  </w:r>
                  <w:r>
                    <w:rPr>
                      <w:rFonts w:hint="default"/>
                      <w:b w:val="0"/>
                      <w:bCs w:val="0"/>
                      <w:szCs w:val="18"/>
                      <w:u w:val="none"/>
                    </w:rPr>
                    <w:t>一般固废暂存间一座</w:t>
                  </w:r>
                </w:p>
              </w:tc>
            </w:tr>
            <w:tr w14:paraId="329EBA4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continue"/>
                  <w:tcBorders>
                    <w:tl2br w:val="nil"/>
                    <w:tr2bl w:val="nil"/>
                  </w:tcBorders>
                  <w:shd w:val="clear" w:color="auto" w:fill="auto"/>
                  <w:vAlign w:val="center"/>
                </w:tcPr>
                <w:p w14:paraId="0C2C79C8">
                  <w:pPr>
                    <w:pStyle w:val="45"/>
                    <w:rPr>
                      <w:rFonts w:hint="default"/>
                      <w:b w:val="0"/>
                      <w:bCs w:val="0"/>
                      <w:szCs w:val="18"/>
                      <w:u w:val="none"/>
                    </w:rPr>
                  </w:pPr>
                </w:p>
              </w:tc>
              <w:tc>
                <w:tcPr>
                  <w:tcW w:w="1069" w:type="pct"/>
                  <w:gridSpan w:val="2"/>
                  <w:tcBorders>
                    <w:tl2br w:val="nil"/>
                    <w:tr2bl w:val="nil"/>
                  </w:tcBorders>
                  <w:shd w:val="clear" w:color="auto" w:fill="auto"/>
                  <w:vAlign w:val="center"/>
                </w:tcPr>
                <w:p w14:paraId="2148A46E">
                  <w:pPr>
                    <w:pStyle w:val="45"/>
                    <w:rPr>
                      <w:rFonts w:hint="default"/>
                      <w:b w:val="0"/>
                      <w:bCs w:val="0"/>
                      <w:szCs w:val="18"/>
                      <w:u w:val="none"/>
                    </w:rPr>
                  </w:pPr>
                  <w:r>
                    <w:rPr>
                      <w:rFonts w:hint="default"/>
                      <w:b w:val="0"/>
                      <w:bCs w:val="0"/>
                      <w:szCs w:val="18"/>
                      <w:u w:val="none"/>
                    </w:rPr>
                    <w:t>风险</w:t>
                  </w:r>
                </w:p>
              </w:tc>
              <w:tc>
                <w:tcPr>
                  <w:tcW w:w="3680" w:type="pct"/>
                  <w:tcBorders>
                    <w:tl2br w:val="nil"/>
                    <w:tr2bl w:val="nil"/>
                  </w:tcBorders>
                  <w:shd w:val="clear" w:color="auto" w:fill="auto"/>
                  <w:vAlign w:val="center"/>
                </w:tcPr>
                <w:p w14:paraId="7AD8E154">
                  <w:pPr>
                    <w:pStyle w:val="45"/>
                    <w:rPr>
                      <w:rFonts w:hint="default"/>
                      <w:b w:val="0"/>
                      <w:bCs w:val="0"/>
                      <w:szCs w:val="18"/>
                      <w:u w:val="none"/>
                    </w:rPr>
                  </w:pPr>
                  <w:r>
                    <w:rPr>
                      <w:rFonts w:hint="default"/>
                      <w:b w:val="0"/>
                      <w:bCs w:val="0"/>
                      <w:szCs w:val="18"/>
                      <w:u w:val="none"/>
                    </w:rPr>
                    <w:t>本项目氨水及液氨罐区设置围堰、高低液位报警系统及罐区氨水泄漏报警装置；</w:t>
                  </w:r>
                </w:p>
                <w:p w14:paraId="6D495DC2">
                  <w:pPr>
                    <w:pStyle w:val="45"/>
                    <w:rPr>
                      <w:rFonts w:hint="default"/>
                      <w:b w:val="0"/>
                      <w:bCs w:val="0"/>
                      <w:szCs w:val="18"/>
                      <w:u w:val="none"/>
                    </w:rPr>
                  </w:pPr>
                  <w:r>
                    <w:rPr>
                      <w:rFonts w:hint="default"/>
                      <w:b w:val="0"/>
                      <w:bCs w:val="0"/>
                      <w:szCs w:val="18"/>
                      <w:u w:val="none"/>
                    </w:rPr>
                    <w:t>厂区内设置1437m</w:t>
                  </w:r>
                  <w:r>
                    <w:rPr>
                      <w:rFonts w:hint="default"/>
                      <w:b w:val="0"/>
                      <w:bCs w:val="0"/>
                      <w:szCs w:val="18"/>
                      <w:u w:val="none"/>
                      <w:vertAlign w:val="superscript"/>
                    </w:rPr>
                    <w:t>3</w:t>
                  </w:r>
                  <w:r>
                    <w:rPr>
                      <w:rFonts w:hint="default"/>
                      <w:b w:val="0"/>
                      <w:bCs w:val="0"/>
                      <w:szCs w:val="18"/>
                      <w:u w:val="none"/>
                    </w:rPr>
                    <w:t>事故水池一座、1080m</w:t>
                  </w:r>
                  <w:r>
                    <w:rPr>
                      <w:rFonts w:hint="default"/>
                      <w:b w:val="0"/>
                      <w:bCs w:val="0"/>
                      <w:szCs w:val="18"/>
                      <w:u w:val="none"/>
                      <w:vertAlign w:val="superscript"/>
                    </w:rPr>
                    <w:t>3</w:t>
                  </w:r>
                  <w:r>
                    <w:rPr>
                      <w:rFonts w:hint="default"/>
                      <w:b w:val="0"/>
                      <w:bCs w:val="0"/>
                      <w:szCs w:val="18"/>
                      <w:u w:val="none"/>
                    </w:rPr>
                    <w:t>消防水池一座及800m</w:t>
                  </w:r>
                  <w:r>
                    <w:rPr>
                      <w:rFonts w:hint="default"/>
                      <w:b w:val="0"/>
                      <w:bCs w:val="0"/>
                      <w:szCs w:val="18"/>
                      <w:u w:val="none"/>
                      <w:vertAlign w:val="superscript"/>
                    </w:rPr>
                    <w:t>3</w:t>
                  </w:r>
                  <w:r>
                    <w:rPr>
                      <w:rFonts w:hint="default"/>
                      <w:b w:val="0"/>
                      <w:bCs w:val="0"/>
                      <w:szCs w:val="18"/>
                      <w:u w:val="none"/>
                    </w:rPr>
                    <w:t>初期雨水池一座。</w:t>
                  </w:r>
                </w:p>
              </w:tc>
            </w:tr>
            <w:tr w14:paraId="53795A5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0" w:type="pct"/>
                  <w:vMerge w:val="continue"/>
                  <w:tcBorders>
                    <w:tl2br w:val="nil"/>
                    <w:tr2bl w:val="nil"/>
                  </w:tcBorders>
                  <w:shd w:val="clear" w:color="auto" w:fill="auto"/>
                  <w:vAlign w:val="center"/>
                </w:tcPr>
                <w:p w14:paraId="0E5C6DA4">
                  <w:pPr>
                    <w:pStyle w:val="45"/>
                    <w:rPr>
                      <w:rFonts w:hint="default"/>
                      <w:b w:val="0"/>
                      <w:bCs w:val="0"/>
                      <w:szCs w:val="18"/>
                      <w:u w:val="none"/>
                    </w:rPr>
                  </w:pPr>
                </w:p>
              </w:tc>
              <w:tc>
                <w:tcPr>
                  <w:tcW w:w="1069" w:type="pct"/>
                  <w:gridSpan w:val="2"/>
                  <w:tcBorders>
                    <w:tl2br w:val="nil"/>
                    <w:tr2bl w:val="nil"/>
                  </w:tcBorders>
                  <w:shd w:val="clear" w:color="auto" w:fill="auto"/>
                  <w:vAlign w:val="center"/>
                </w:tcPr>
                <w:p w14:paraId="0AE6E321">
                  <w:pPr>
                    <w:pStyle w:val="45"/>
                    <w:rPr>
                      <w:rFonts w:hint="default"/>
                      <w:b w:val="0"/>
                      <w:bCs w:val="0"/>
                      <w:szCs w:val="18"/>
                      <w:u w:val="none"/>
                    </w:rPr>
                  </w:pPr>
                  <w:r>
                    <w:rPr>
                      <w:rFonts w:hint="default"/>
                      <w:b w:val="0"/>
                      <w:bCs w:val="0"/>
                      <w:szCs w:val="18"/>
                      <w:u w:val="none"/>
                    </w:rPr>
                    <w:t>防渗</w:t>
                  </w:r>
                </w:p>
              </w:tc>
              <w:tc>
                <w:tcPr>
                  <w:tcW w:w="3680" w:type="pct"/>
                  <w:tcBorders>
                    <w:tl2br w:val="nil"/>
                    <w:tr2bl w:val="nil"/>
                  </w:tcBorders>
                  <w:shd w:val="clear" w:color="auto" w:fill="auto"/>
                  <w:vAlign w:val="center"/>
                </w:tcPr>
                <w:p w14:paraId="56A42574">
                  <w:pPr>
                    <w:pStyle w:val="45"/>
                    <w:jc w:val="both"/>
                    <w:rPr>
                      <w:rFonts w:hint="default"/>
                      <w:b w:val="0"/>
                      <w:bCs w:val="0"/>
                      <w:szCs w:val="18"/>
                      <w:u w:val="none"/>
                    </w:rPr>
                  </w:pPr>
                  <w:r>
                    <w:rPr>
                      <w:rFonts w:hint="default"/>
                      <w:b w:val="0"/>
                      <w:bCs w:val="0"/>
                      <w:szCs w:val="18"/>
                      <w:u w:val="none"/>
                    </w:rPr>
                    <w:t>重点防渗区：危废暂存间、液氨和氨水储罐区、液氨及氨水生产装置区，在原有水泥地面+2 mm 厚高密度聚乙烯膜，膜上水泥砂浆敷面，确保渗透系数≤10</w:t>
                  </w:r>
                  <w:r>
                    <w:rPr>
                      <w:rFonts w:hint="default"/>
                      <w:b w:val="0"/>
                      <w:bCs w:val="0"/>
                      <w:szCs w:val="18"/>
                      <w:u w:val="none"/>
                      <w:vertAlign w:val="superscript"/>
                    </w:rPr>
                    <w:t>-10</w:t>
                  </w:r>
                  <w:r>
                    <w:rPr>
                      <w:rFonts w:hint="default"/>
                      <w:b w:val="0"/>
                      <w:bCs w:val="0"/>
                      <w:szCs w:val="18"/>
                      <w:u w:val="none"/>
                    </w:rPr>
                    <w:t>cm/s。</w:t>
                  </w:r>
                </w:p>
                <w:p w14:paraId="723DC361">
                  <w:pPr>
                    <w:pStyle w:val="45"/>
                    <w:jc w:val="both"/>
                    <w:rPr>
                      <w:rFonts w:hint="default"/>
                      <w:b w:val="0"/>
                      <w:bCs w:val="0"/>
                      <w:szCs w:val="18"/>
                      <w:u w:val="none"/>
                    </w:rPr>
                  </w:pPr>
                  <w:r>
                    <w:rPr>
                      <w:rFonts w:hint="default"/>
                      <w:b w:val="0"/>
                      <w:bCs w:val="0"/>
                      <w:szCs w:val="18"/>
                      <w:u w:val="none"/>
                    </w:rPr>
                    <w:t>一般防渗区：一般工业固废暂存库等，防渗要求：采用20cm防渗混凝土进行防渗 0.75 m，确保防渗层达到等效黏土防渗层Mb≥1.5m、渗透系数K≤1.0×10</w:t>
                  </w:r>
                  <w:r>
                    <w:rPr>
                      <w:rFonts w:hint="default"/>
                      <w:b w:val="0"/>
                      <w:bCs w:val="0"/>
                      <w:szCs w:val="18"/>
                      <w:u w:val="none"/>
                      <w:vertAlign w:val="superscript"/>
                    </w:rPr>
                    <w:t>-7</w:t>
                  </w:r>
                  <w:r>
                    <w:rPr>
                      <w:rFonts w:hint="default"/>
                      <w:b w:val="0"/>
                      <w:bCs w:val="0"/>
                      <w:szCs w:val="18"/>
                      <w:u w:val="none"/>
                    </w:rPr>
                    <w:t>cm/s 的要求。</w:t>
                  </w:r>
                </w:p>
                <w:p w14:paraId="467D6430">
                  <w:pPr>
                    <w:pStyle w:val="45"/>
                    <w:jc w:val="both"/>
                    <w:rPr>
                      <w:rFonts w:hint="default"/>
                      <w:b w:val="0"/>
                      <w:bCs w:val="0"/>
                      <w:szCs w:val="18"/>
                      <w:u w:val="none"/>
                    </w:rPr>
                  </w:pPr>
                  <w:r>
                    <w:rPr>
                      <w:rFonts w:hint="default"/>
                      <w:b w:val="0"/>
                      <w:bCs w:val="0"/>
                      <w:szCs w:val="18"/>
                      <w:u w:val="none"/>
                    </w:rPr>
                    <w:t>简单防渗区：除重点防渗区和一般防渗区外的区域，采取一般混凝土地面硬化。</w:t>
                  </w:r>
                </w:p>
              </w:tc>
            </w:tr>
          </w:tbl>
          <w:p w14:paraId="718B40FF">
            <w:pPr>
              <w:pStyle w:val="4"/>
              <w:numPr>
                <w:ilvl w:val="1"/>
                <w:numId w:val="3"/>
              </w:numPr>
              <w:tabs>
                <w:tab w:val="left" w:pos="0"/>
              </w:tabs>
              <w:rPr>
                <w:b w:val="0"/>
                <w:bCs w:val="0"/>
                <w:u w:val="none"/>
              </w:rPr>
            </w:pPr>
            <w:r>
              <w:rPr>
                <w:b w:val="0"/>
                <w:bCs w:val="0"/>
                <w:u w:val="none"/>
              </w:rPr>
              <w:t>产品及产能</w:t>
            </w:r>
          </w:p>
          <w:p w14:paraId="064979D7">
            <w:pPr>
              <w:pStyle w:val="5"/>
              <w:rPr>
                <w:rFonts w:hint="default"/>
                <w:b w:val="0"/>
                <w:bCs w:val="0"/>
                <w:u w:val="none"/>
              </w:rPr>
            </w:pPr>
            <w:r>
              <w:rPr>
                <w:rFonts w:hint="default"/>
                <w:b w:val="0"/>
                <w:bCs w:val="0"/>
                <w:u w:val="none"/>
              </w:rPr>
              <w:t>本项目</w:t>
            </w:r>
            <w:r>
              <w:rPr>
                <w:b w:val="0"/>
                <w:bCs w:val="0"/>
                <w:u w:val="none"/>
              </w:rPr>
              <w:t>主产品为液体CO</w:t>
            </w:r>
            <w:r>
              <w:rPr>
                <w:b w:val="0"/>
                <w:bCs w:val="0"/>
                <w:u w:val="none"/>
                <w:vertAlign w:val="subscript"/>
              </w:rPr>
              <w:t>2</w:t>
            </w:r>
            <w:r>
              <w:rPr>
                <w:b w:val="0"/>
                <w:bCs w:val="0"/>
                <w:u w:val="none"/>
              </w:rPr>
              <w:t>和</w:t>
            </w:r>
            <w:r>
              <w:rPr>
                <w:rFonts w:hint="eastAsia"/>
                <w:b w:val="0"/>
                <w:bCs w:val="0"/>
                <w:u w:val="none"/>
                <w:lang w:eastAsia="zh-CN"/>
              </w:rPr>
              <w:t>超纯氨</w:t>
            </w:r>
            <w:r>
              <w:rPr>
                <w:b w:val="0"/>
                <w:bCs w:val="0"/>
                <w:u w:val="none"/>
              </w:rPr>
              <w:t>，副产品为氨水（20%）。其中，液体CO</w:t>
            </w:r>
            <w:r>
              <w:rPr>
                <w:b w:val="0"/>
                <w:bCs w:val="0"/>
                <w:u w:val="none"/>
                <w:vertAlign w:val="subscript"/>
              </w:rPr>
              <w:t>2</w:t>
            </w:r>
            <w:r>
              <w:rPr>
                <w:b w:val="0"/>
                <w:bCs w:val="0"/>
                <w:u w:val="none"/>
              </w:rPr>
              <w:t>又分为工业级CO</w:t>
            </w:r>
            <w:r>
              <w:rPr>
                <w:b w:val="0"/>
                <w:bCs w:val="0"/>
                <w:u w:val="none"/>
                <w:vertAlign w:val="subscript"/>
              </w:rPr>
              <w:t>2</w:t>
            </w:r>
            <w:r>
              <w:rPr>
                <w:b w:val="0"/>
                <w:bCs w:val="0"/>
                <w:u w:val="none"/>
              </w:rPr>
              <w:t>、食品级CO</w:t>
            </w:r>
            <w:r>
              <w:rPr>
                <w:b w:val="0"/>
                <w:bCs w:val="0"/>
                <w:u w:val="none"/>
                <w:vertAlign w:val="subscript"/>
              </w:rPr>
              <w:t>2</w:t>
            </w:r>
            <w:r>
              <w:rPr>
                <w:b w:val="0"/>
                <w:bCs w:val="0"/>
                <w:u w:val="none"/>
              </w:rPr>
              <w:t>及干冰。具体</w:t>
            </w:r>
            <w:r>
              <w:rPr>
                <w:rFonts w:hint="default"/>
                <w:b w:val="0"/>
                <w:bCs w:val="0"/>
                <w:u w:val="none"/>
              </w:rPr>
              <w:t>产品方案见下表。</w:t>
            </w:r>
          </w:p>
          <w:p w14:paraId="4BD3E2AE">
            <w:pPr>
              <w:pStyle w:val="44"/>
              <w:numPr>
                <w:ilvl w:val="0"/>
                <w:numId w:val="2"/>
              </w:numPr>
              <w:rPr>
                <w:rFonts w:hint="default"/>
                <w:b w:val="0"/>
                <w:bCs w:val="0"/>
                <w:u w:val="none"/>
              </w:rPr>
            </w:pPr>
            <w:r>
              <w:rPr>
                <w:b w:val="0"/>
                <w:bCs w:val="0"/>
                <w:u w:val="none"/>
              </w:rPr>
              <w:t xml:space="preserve">  </w:t>
            </w:r>
            <w:r>
              <w:rPr>
                <w:rFonts w:hint="default"/>
                <w:b w:val="0"/>
                <w:bCs w:val="0"/>
                <w:u w:val="none"/>
              </w:rPr>
              <w:t>本项目产品方案一览表</w:t>
            </w:r>
          </w:p>
          <w:tbl>
            <w:tblPr>
              <w:tblStyle w:val="27"/>
              <w:tblW w:w="7879"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764"/>
              <w:gridCol w:w="1301"/>
              <w:gridCol w:w="1275"/>
              <w:gridCol w:w="837"/>
              <w:gridCol w:w="1183"/>
              <w:gridCol w:w="1859"/>
            </w:tblGrid>
            <w:tr w14:paraId="51D67E7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18" w:type="pct"/>
                  <w:tcBorders>
                    <w:tl2br w:val="nil"/>
                    <w:tr2bl w:val="nil"/>
                  </w:tcBorders>
                  <w:shd w:val="clear" w:color="auto" w:fill="auto"/>
                  <w:vAlign w:val="center"/>
                </w:tcPr>
                <w:p w14:paraId="1AAC022F">
                  <w:pPr>
                    <w:pStyle w:val="45"/>
                    <w:rPr>
                      <w:rFonts w:hint="default"/>
                      <w:b w:val="0"/>
                      <w:bCs w:val="0"/>
                      <w:u w:val="none"/>
                    </w:rPr>
                  </w:pPr>
                  <w:r>
                    <w:rPr>
                      <w:b w:val="0"/>
                      <w:bCs w:val="0"/>
                      <w:u w:val="none"/>
                    </w:rPr>
                    <w:t>序号</w:t>
                  </w:r>
                </w:p>
              </w:tc>
              <w:tc>
                <w:tcPr>
                  <w:tcW w:w="1309" w:type="pct"/>
                  <w:gridSpan w:val="2"/>
                  <w:tcBorders>
                    <w:tl2br w:val="nil"/>
                    <w:tr2bl w:val="nil"/>
                  </w:tcBorders>
                  <w:shd w:val="clear" w:color="auto" w:fill="auto"/>
                  <w:vAlign w:val="center"/>
                </w:tcPr>
                <w:p w14:paraId="53DC77CD">
                  <w:pPr>
                    <w:pStyle w:val="45"/>
                    <w:rPr>
                      <w:rFonts w:hint="default"/>
                      <w:b w:val="0"/>
                      <w:bCs w:val="0"/>
                      <w:u w:val="none"/>
                    </w:rPr>
                  </w:pPr>
                  <w:r>
                    <w:rPr>
                      <w:b w:val="0"/>
                      <w:bCs w:val="0"/>
                      <w:u w:val="none"/>
                    </w:rPr>
                    <w:t>产品名称</w:t>
                  </w:r>
                </w:p>
              </w:tc>
              <w:tc>
                <w:tcPr>
                  <w:tcW w:w="809" w:type="pct"/>
                  <w:tcBorders>
                    <w:tl2br w:val="nil"/>
                    <w:tr2bl w:val="nil"/>
                  </w:tcBorders>
                  <w:shd w:val="clear" w:color="auto" w:fill="auto"/>
                  <w:vAlign w:val="center"/>
                </w:tcPr>
                <w:p w14:paraId="4BECCC30">
                  <w:pPr>
                    <w:pStyle w:val="45"/>
                    <w:rPr>
                      <w:rFonts w:hint="default"/>
                      <w:b w:val="0"/>
                      <w:bCs w:val="0"/>
                      <w:u w:val="none"/>
                    </w:rPr>
                  </w:pPr>
                  <w:r>
                    <w:rPr>
                      <w:b w:val="0"/>
                      <w:bCs w:val="0"/>
                      <w:u w:val="none"/>
                    </w:rPr>
                    <w:t>产量（万t/a)</w:t>
                  </w:r>
                </w:p>
              </w:tc>
              <w:tc>
                <w:tcPr>
                  <w:tcW w:w="531" w:type="pct"/>
                  <w:tcBorders>
                    <w:tl2br w:val="nil"/>
                    <w:tr2bl w:val="nil"/>
                  </w:tcBorders>
                  <w:shd w:val="clear" w:color="auto" w:fill="auto"/>
                  <w:vAlign w:val="center"/>
                </w:tcPr>
                <w:p w14:paraId="566229AC">
                  <w:pPr>
                    <w:pStyle w:val="45"/>
                    <w:rPr>
                      <w:rFonts w:hint="default"/>
                      <w:b w:val="0"/>
                      <w:bCs w:val="0"/>
                      <w:u w:val="none"/>
                    </w:rPr>
                  </w:pPr>
                  <w:r>
                    <w:rPr>
                      <w:b w:val="0"/>
                      <w:bCs w:val="0"/>
                      <w:u w:val="none"/>
                    </w:rPr>
                    <w:t>形态</w:t>
                  </w:r>
                </w:p>
              </w:tc>
              <w:tc>
                <w:tcPr>
                  <w:tcW w:w="751" w:type="pct"/>
                  <w:tcBorders>
                    <w:tl2br w:val="nil"/>
                    <w:tr2bl w:val="nil"/>
                  </w:tcBorders>
                  <w:shd w:val="clear" w:color="auto" w:fill="auto"/>
                  <w:vAlign w:val="center"/>
                </w:tcPr>
                <w:p w14:paraId="0EE59C54">
                  <w:pPr>
                    <w:pStyle w:val="45"/>
                    <w:rPr>
                      <w:rFonts w:hint="default"/>
                      <w:b w:val="0"/>
                      <w:bCs w:val="0"/>
                      <w:u w:val="none"/>
                    </w:rPr>
                  </w:pPr>
                  <w:r>
                    <w:rPr>
                      <w:b w:val="0"/>
                      <w:bCs w:val="0"/>
                      <w:u w:val="none"/>
                    </w:rPr>
                    <w:t>储存方式</w:t>
                  </w:r>
                </w:p>
              </w:tc>
              <w:tc>
                <w:tcPr>
                  <w:tcW w:w="1179" w:type="pct"/>
                  <w:tcBorders>
                    <w:tl2br w:val="nil"/>
                    <w:tr2bl w:val="nil"/>
                  </w:tcBorders>
                  <w:shd w:val="clear" w:color="auto" w:fill="auto"/>
                  <w:vAlign w:val="center"/>
                </w:tcPr>
                <w:p w14:paraId="19AB0B20">
                  <w:pPr>
                    <w:pStyle w:val="45"/>
                    <w:rPr>
                      <w:rFonts w:hint="default"/>
                      <w:b w:val="0"/>
                      <w:bCs w:val="0"/>
                      <w:u w:val="none"/>
                    </w:rPr>
                  </w:pPr>
                  <w:r>
                    <w:rPr>
                      <w:b w:val="0"/>
                      <w:bCs w:val="0"/>
                      <w:u w:val="none"/>
                    </w:rPr>
                    <w:t>产品用途</w:t>
                  </w:r>
                </w:p>
              </w:tc>
            </w:tr>
            <w:tr w14:paraId="57307FC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18" w:type="pct"/>
                  <w:tcBorders>
                    <w:tl2br w:val="nil"/>
                    <w:tr2bl w:val="nil"/>
                  </w:tcBorders>
                  <w:shd w:val="clear" w:color="auto" w:fill="auto"/>
                  <w:vAlign w:val="center"/>
                </w:tcPr>
                <w:p w14:paraId="2CBEDC79">
                  <w:pPr>
                    <w:pStyle w:val="45"/>
                    <w:rPr>
                      <w:rFonts w:hint="default"/>
                      <w:b w:val="0"/>
                      <w:bCs w:val="0"/>
                      <w:u w:val="none"/>
                    </w:rPr>
                  </w:pPr>
                  <w:r>
                    <w:rPr>
                      <w:rFonts w:hint="default"/>
                      <w:b w:val="0"/>
                      <w:bCs w:val="0"/>
                      <w:u w:val="none"/>
                    </w:rPr>
                    <w:t>1</w:t>
                  </w:r>
                </w:p>
              </w:tc>
              <w:tc>
                <w:tcPr>
                  <w:tcW w:w="484" w:type="pct"/>
                  <w:vMerge w:val="restart"/>
                  <w:tcBorders>
                    <w:tl2br w:val="nil"/>
                    <w:tr2bl w:val="nil"/>
                  </w:tcBorders>
                  <w:shd w:val="clear" w:color="auto" w:fill="auto"/>
                  <w:vAlign w:val="center"/>
                </w:tcPr>
                <w:p w14:paraId="311CD2BE">
                  <w:pPr>
                    <w:pStyle w:val="45"/>
                    <w:rPr>
                      <w:rFonts w:hint="default"/>
                      <w:b w:val="0"/>
                      <w:bCs w:val="0"/>
                      <w:u w:val="none"/>
                    </w:rPr>
                  </w:pPr>
                  <w:r>
                    <w:rPr>
                      <w:b w:val="0"/>
                      <w:bCs w:val="0"/>
                      <w:u w:val="none"/>
                    </w:rPr>
                    <w:t>主产品</w:t>
                  </w:r>
                </w:p>
              </w:tc>
              <w:tc>
                <w:tcPr>
                  <w:tcW w:w="825" w:type="pct"/>
                  <w:tcBorders>
                    <w:tl2br w:val="nil"/>
                    <w:tr2bl w:val="nil"/>
                  </w:tcBorders>
                  <w:shd w:val="clear" w:color="auto" w:fill="auto"/>
                  <w:vAlign w:val="center"/>
                </w:tcPr>
                <w:p w14:paraId="39CD931F">
                  <w:pPr>
                    <w:pStyle w:val="45"/>
                    <w:rPr>
                      <w:rFonts w:hint="default"/>
                      <w:b w:val="0"/>
                      <w:bCs w:val="0"/>
                      <w:u w:val="none"/>
                    </w:rPr>
                  </w:pPr>
                  <w:r>
                    <w:rPr>
                      <w:b w:val="0"/>
                      <w:bCs w:val="0"/>
                      <w:u w:val="none"/>
                    </w:rPr>
                    <w:t>工业级CO</w:t>
                  </w:r>
                  <w:r>
                    <w:rPr>
                      <w:b w:val="0"/>
                      <w:bCs w:val="0"/>
                      <w:u w:val="none"/>
                      <w:vertAlign w:val="subscript"/>
                    </w:rPr>
                    <w:t>2</w:t>
                  </w:r>
                </w:p>
              </w:tc>
              <w:tc>
                <w:tcPr>
                  <w:tcW w:w="809" w:type="pct"/>
                  <w:tcBorders>
                    <w:tl2br w:val="nil"/>
                    <w:tr2bl w:val="nil"/>
                  </w:tcBorders>
                  <w:shd w:val="clear" w:color="auto" w:fill="auto"/>
                  <w:vAlign w:val="center"/>
                </w:tcPr>
                <w:p w14:paraId="1E91ECC6">
                  <w:pPr>
                    <w:pStyle w:val="45"/>
                    <w:rPr>
                      <w:rFonts w:hint="default"/>
                      <w:b w:val="0"/>
                      <w:bCs w:val="0"/>
                      <w:u w:val="none"/>
                    </w:rPr>
                  </w:pPr>
                  <w:r>
                    <w:rPr>
                      <w:rFonts w:hint="default"/>
                      <w:b w:val="0"/>
                      <w:bCs w:val="0"/>
                      <w:u w:val="none"/>
                    </w:rPr>
                    <w:t>10</w:t>
                  </w:r>
                </w:p>
              </w:tc>
              <w:tc>
                <w:tcPr>
                  <w:tcW w:w="531" w:type="pct"/>
                  <w:tcBorders>
                    <w:tl2br w:val="nil"/>
                    <w:tr2bl w:val="nil"/>
                  </w:tcBorders>
                  <w:shd w:val="clear" w:color="auto" w:fill="auto"/>
                  <w:vAlign w:val="center"/>
                </w:tcPr>
                <w:p w14:paraId="5F35199B">
                  <w:pPr>
                    <w:pStyle w:val="45"/>
                    <w:rPr>
                      <w:rFonts w:hint="default"/>
                      <w:b w:val="0"/>
                      <w:bCs w:val="0"/>
                      <w:u w:val="none"/>
                    </w:rPr>
                  </w:pPr>
                  <w:r>
                    <w:rPr>
                      <w:b w:val="0"/>
                      <w:bCs w:val="0"/>
                      <w:u w:val="none"/>
                    </w:rPr>
                    <w:t>液态</w:t>
                  </w:r>
                </w:p>
              </w:tc>
              <w:tc>
                <w:tcPr>
                  <w:tcW w:w="751" w:type="pct"/>
                  <w:tcBorders>
                    <w:tl2br w:val="nil"/>
                    <w:tr2bl w:val="nil"/>
                  </w:tcBorders>
                  <w:shd w:val="clear" w:color="auto" w:fill="auto"/>
                  <w:vAlign w:val="center"/>
                </w:tcPr>
                <w:p w14:paraId="1324398F">
                  <w:pPr>
                    <w:pStyle w:val="45"/>
                    <w:rPr>
                      <w:rFonts w:hint="default"/>
                      <w:b w:val="0"/>
                      <w:bCs w:val="0"/>
                      <w:u w:val="none"/>
                    </w:rPr>
                  </w:pPr>
                  <w:r>
                    <w:rPr>
                      <w:b w:val="0"/>
                      <w:bCs w:val="0"/>
                      <w:u w:val="none"/>
                    </w:rPr>
                    <w:t>储罐</w:t>
                  </w:r>
                </w:p>
              </w:tc>
              <w:tc>
                <w:tcPr>
                  <w:tcW w:w="1179" w:type="pct"/>
                  <w:tcBorders>
                    <w:tl2br w:val="nil"/>
                    <w:tr2bl w:val="nil"/>
                  </w:tcBorders>
                  <w:shd w:val="clear" w:color="auto" w:fill="auto"/>
                  <w:vAlign w:val="center"/>
                </w:tcPr>
                <w:p w14:paraId="6FC0EC27">
                  <w:pPr>
                    <w:pStyle w:val="45"/>
                    <w:rPr>
                      <w:rFonts w:hint="default"/>
                      <w:b w:val="0"/>
                      <w:bCs w:val="0"/>
                      <w:u w:val="none"/>
                    </w:rPr>
                  </w:pPr>
                  <w:r>
                    <w:rPr>
                      <w:rFonts w:hint="default"/>
                      <w:b w:val="0"/>
                      <w:bCs w:val="0"/>
                      <w:u w:val="none"/>
                    </w:rPr>
                    <w:t>用于焊接、金属加工、油田驱油、灭火等</w:t>
                  </w:r>
                </w:p>
              </w:tc>
            </w:tr>
            <w:tr w14:paraId="3BD0E79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97" w:hRule="atLeast"/>
                <w:jc w:val="center"/>
              </w:trPr>
              <w:tc>
                <w:tcPr>
                  <w:tcW w:w="418" w:type="pct"/>
                  <w:tcBorders>
                    <w:tl2br w:val="nil"/>
                    <w:tr2bl w:val="nil"/>
                  </w:tcBorders>
                  <w:shd w:val="clear" w:color="auto" w:fill="auto"/>
                  <w:vAlign w:val="center"/>
                </w:tcPr>
                <w:p w14:paraId="7AA255BF">
                  <w:pPr>
                    <w:pStyle w:val="45"/>
                    <w:rPr>
                      <w:rFonts w:hint="default"/>
                      <w:b w:val="0"/>
                      <w:bCs w:val="0"/>
                      <w:u w:val="none"/>
                    </w:rPr>
                  </w:pPr>
                  <w:r>
                    <w:rPr>
                      <w:rFonts w:hint="default"/>
                      <w:b w:val="0"/>
                      <w:bCs w:val="0"/>
                      <w:u w:val="none"/>
                    </w:rPr>
                    <w:t>2</w:t>
                  </w:r>
                </w:p>
              </w:tc>
              <w:tc>
                <w:tcPr>
                  <w:tcW w:w="484" w:type="pct"/>
                  <w:vMerge w:val="continue"/>
                  <w:tcBorders>
                    <w:tl2br w:val="nil"/>
                    <w:tr2bl w:val="nil"/>
                  </w:tcBorders>
                  <w:shd w:val="clear" w:color="auto" w:fill="auto"/>
                  <w:vAlign w:val="center"/>
                </w:tcPr>
                <w:p w14:paraId="40C06E88">
                  <w:pPr>
                    <w:pStyle w:val="45"/>
                    <w:rPr>
                      <w:rFonts w:hint="default"/>
                      <w:b w:val="0"/>
                      <w:bCs w:val="0"/>
                      <w:u w:val="none"/>
                    </w:rPr>
                  </w:pPr>
                </w:p>
              </w:tc>
              <w:tc>
                <w:tcPr>
                  <w:tcW w:w="825" w:type="pct"/>
                  <w:tcBorders>
                    <w:tl2br w:val="nil"/>
                    <w:tr2bl w:val="nil"/>
                  </w:tcBorders>
                  <w:shd w:val="clear" w:color="auto" w:fill="auto"/>
                  <w:vAlign w:val="center"/>
                </w:tcPr>
                <w:p w14:paraId="315D31D9">
                  <w:pPr>
                    <w:pStyle w:val="45"/>
                    <w:rPr>
                      <w:rFonts w:hint="default"/>
                      <w:b w:val="0"/>
                      <w:bCs w:val="0"/>
                      <w:u w:val="none"/>
                    </w:rPr>
                  </w:pPr>
                  <w:r>
                    <w:rPr>
                      <w:b w:val="0"/>
                      <w:bCs w:val="0"/>
                      <w:u w:val="none"/>
                    </w:rPr>
                    <w:t>食品级CO</w:t>
                  </w:r>
                  <w:r>
                    <w:rPr>
                      <w:b w:val="0"/>
                      <w:bCs w:val="0"/>
                      <w:u w:val="none"/>
                      <w:vertAlign w:val="subscript"/>
                    </w:rPr>
                    <w:t>2</w:t>
                  </w:r>
                </w:p>
              </w:tc>
              <w:tc>
                <w:tcPr>
                  <w:tcW w:w="809" w:type="pct"/>
                  <w:tcBorders>
                    <w:tl2br w:val="nil"/>
                    <w:tr2bl w:val="nil"/>
                  </w:tcBorders>
                  <w:shd w:val="clear" w:color="auto" w:fill="auto"/>
                  <w:vAlign w:val="center"/>
                </w:tcPr>
                <w:p w14:paraId="5F4E0E86">
                  <w:pPr>
                    <w:pStyle w:val="45"/>
                    <w:rPr>
                      <w:rFonts w:hint="default"/>
                      <w:b w:val="0"/>
                      <w:bCs w:val="0"/>
                      <w:u w:val="none"/>
                    </w:rPr>
                  </w:pPr>
                  <w:r>
                    <w:rPr>
                      <w:b w:val="0"/>
                      <w:bCs w:val="0"/>
                      <w:u w:val="none"/>
                    </w:rPr>
                    <w:t>10</w:t>
                  </w:r>
                </w:p>
              </w:tc>
              <w:tc>
                <w:tcPr>
                  <w:tcW w:w="531" w:type="pct"/>
                  <w:tcBorders>
                    <w:tl2br w:val="nil"/>
                    <w:tr2bl w:val="nil"/>
                  </w:tcBorders>
                  <w:shd w:val="clear" w:color="auto" w:fill="auto"/>
                  <w:vAlign w:val="center"/>
                </w:tcPr>
                <w:p w14:paraId="50900977">
                  <w:pPr>
                    <w:pStyle w:val="45"/>
                    <w:rPr>
                      <w:rFonts w:hint="default"/>
                      <w:b w:val="0"/>
                      <w:bCs w:val="0"/>
                      <w:u w:val="none"/>
                    </w:rPr>
                  </w:pPr>
                  <w:r>
                    <w:rPr>
                      <w:b w:val="0"/>
                      <w:bCs w:val="0"/>
                      <w:u w:val="none"/>
                    </w:rPr>
                    <w:t>液态</w:t>
                  </w:r>
                </w:p>
              </w:tc>
              <w:tc>
                <w:tcPr>
                  <w:tcW w:w="751" w:type="pct"/>
                  <w:tcBorders>
                    <w:tl2br w:val="nil"/>
                    <w:tr2bl w:val="nil"/>
                  </w:tcBorders>
                  <w:shd w:val="clear" w:color="auto" w:fill="auto"/>
                  <w:vAlign w:val="center"/>
                </w:tcPr>
                <w:p w14:paraId="40C7EB74">
                  <w:pPr>
                    <w:pStyle w:val="45"/>
                    <w:rPr>
                      <w:rFonts w:hint="default"/>
                      <w:b w:val="0"/>
                      <w:bCs w:val="0"/>
                      <w:u w:val="none"/>
                    </w:rPr>
                  </w:pPr>
                  <w:r>
                    <w:rPr>
                      <w:b w:val="0"/>
                      <w:bCs w:val="0"/>
                      <w:u w:val="none"/>
                    </w:rPr>
                    <w:t>储罐</w:t>
                  </w:r>
                </w:p>
              </w:tc>
              <w:tc>
                <w:tcPr>
                  <w:tcW w:w="1179" w:type="pct"/>
                  <w:tcBorders>
                    <w:tl2br w:val="nil"/>
                    <w:tr2bl w:val="nil"/>
                  </w:tcBorders>
                  <w:shd w:val="clear" w:color="auto" w:fill="auto"/>
                  <w:vAlign w:val="center"/>
                </w:tcPr>
                <w:p w14:paraId="50A09715">
                  <w:pPr>
                    <w:pStyle w:val="45"/>
                    <w:rPr>
                      <w:rFonts w:hint="default"/>
                      <w:b w:val="0"/>
                      <w:bCs w:val="0"/>
                      <w:u w:val="none"/>
                    </w:rPr>
                  </w:pPr>
                  <w:r>
                    <w:rPr>
                      <w:rFonts w:hint="default"/>
                      <w:b w:val="0"/>
                      <w:bCs w:val="0"/>
                      <w:u w:val="none"/>
                    </w:rPr>
                    <w:t>用于食品添加剂、消毒剂、抑菌剂</w:t>
                  </w:r>
                  <w:r>
                    <w:rPr>
                      <w:b w:val="0"/>
                      <w:bCs w:val="0"/>
                      <w:u w:val="none"/>
                    </w:rPr>
                    <w:t>等</w:t>
                  </w:r>
                </w:p>
              </w:tc>
            </w:tr>
            <w:tr w14:paraId="67F2809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97" w:hRule="atLeast"/>
                <w:jc w:val="center"/>
              </w:trPr>
              <w:tc>
                <w:tcPr>
                  <w:tcW w:w="418" w:type="pct"/>
                  <w:tcBorders>
                    <w:tl2br w:val="nil"/>
                    <w:tr2bl w:val="nil"/>
                  </w:tcBorders>
                  <w:shd w:val="clear" w:color="auto" w:fill="auto"/>
                  <w:vAlign w:val="center"/>
                </w:tcPr>
                <w:p w14:paraId="585108A2">
                  <w:pPr>
                    <w:pStyle w:val="45"/>
                    <w:rPr>
                      <w:rFonts w:hint="default"/>
                      <w:b w:val="0"/>
                      <w:bCs w:val="0"/>
                      <w:u w:val="none"/>
                    </w:rPr>
                  </w:pPr>
                  <w:r>
                    <w:rPr>
                      <w:rFonts w:hint="default"/>
                      <w:b w:val="0"/>
                      <w:bCs w:val="0"/>
                      <w:u w:val="none"/>
                    </w:rPr>
                    <w:t>3</w:t>
                  </w:r>
                </w:p>
              </w:tc>
              <w:tc>
                <w:tcPr>
                  <w:tcW w:w="484" w:type="pct"/>
                  <w:vMerge w:val="continue"/>
                  <w:tcBorders>
                    <w:tl2br w:val="nil"/>
                    <w:tr2bl w:val="nil"/>
                  </w:tcBorders>
                  <w:shd w:val="clear" w:color="auto" w:fill="auto"/>
                  <w:vAlign w:val="center"/>
                </w:tcPr>
                <w:p w14:paraId="37C50FF6">
                  <w:pPr>
                    <w:pStyle w:val="45"/>
                    <w:rPr>
                      <w:rFonts w:hint="default"/>
                      <w:b w:val="0"/>
                      <w:bCs w:val="0"/>
                      <w:u w:val="none"/>
                    </w:rPr>
                  </w:pPr>
                </w:p>
              </w:tc>
              <w:tc>
                <w:tcPr>
                  <w:tcW w:w="825" w:type="pct"/>
                  <w:tcBorders>
                    <w:tl2br w:val="nil"/>
                    <w:tr2bl w:val="nil"/>
                  </w:tcBorders>
                  <w:shd w:val="clear" w:color="auto" w:fill="auto"/>
                  <w:vAlign w:val="center"/>
                </w:tcPr>
                <w:p w14:paraId="1E02136E">
                  <w:pPr>
                    <w:pStyle w:val="45"/>
                    <w:rPr>
                      <w:rFonts w:hint="default"/>
                      <w:b w:val="0"/>
                      <w:bCs w:val="0"/>
                      <w:u w:val="none"/>
                    </w:rPr>
                  </w:pPr>
                  <w:r>
                    <w:rPr>
                      <w:b w:val="0"/>
                      <w:bCs w:val="0"/>
                      <w:u w:val="none"/>
                    </w:rPr>
                    <w:t>干冰</w:t>
                  </w:r>
                </w:p>
              </w:tc>
              <w:tc>
                <w:tcPr>
                  <w:tcW w:w="809" w:type="pct"/>
                  <w:tcBorders>
                    <w:tl2br w:val="nil"/>
                    <w:tr2bl w:val="nil"/>
                  </w:tcBorders>
                  <w:shd w:val="clear" w:color="auto" w:fill="auto"/>
                  <w:vAlign w:val="center"/>
                </w:tcPr>
                <w:p w14:paraId="50B02C3D">
                  <w:pPr>
                    <w:pStyle w:val="45"/>
                    <w:rPr>
                      <w:rFonts w:hint="default"/>
                      <w:b w:val="0"/>
                      <w:bCs w:val="0"/>
                      <w:u w:val="none"/>
                    </w:rPr>
                  </w:pPr>
                  <w:r>
                    <w:rPr>
                      <w:rFonts w:hint="default"/>
                      <w:b w:val="0"/>
                      <w:bCs w:val="0"/>
                      <w:u w:val="none"/>
                    </w:rPr>
                    <w:t>6.4</w:t>
                  </w:r>
                </w:p>
              </w:tc>
              <w:tc>
                <w:tcPr>
                  <w:tcW w:w="531" w:type="pct"/>
                  <w:tcBorders>
                    <w:tl2br w:val="nil"/>
                    <w:tr2bl w:val="nil"/>
                  </w:tcBorders>
                  <w:shd w:val="clear" w:color="auto" w:fill="auto"/>
                  <w:vAlign w:val="center"/>
                </w:tcPr>
                <w:p w14:paraId="119E12BB">
                  <w:pPr>
                    <w:pStyle w:val="45"/>
                    <w:rPr>
                      <w:rFonts w:hint="default"/>
                      <w:b w:val="0"/>
                      <w:bCs w:val="0"/>
                      <w:u w:val="none"/>
                    </w:rPr>
                  </w:pPr>
                  <w:r>
                    <w:rPr>
                      <w:b w:val="0"/>
                      <w:bCs w:val="0"/>
                      <w:u w:val="none"/>
                    </w:rPr>
                    <w:t>固态</w:t>
                  </w:r>
                </w:p>
              </w:tc>
              <w:tc>
                <w:tcPr>
                  <w:tcW w:w="751" w:type="pct"/>
                  <w:tcBorders>
                    <w:tl2br w:val="nil"/>
                    <w:tr2bl w:val="nil"/>
                  </w:tcBorders>
                  <w:shd w:val="clear" w:color="auto" w:fill="auto"/>
                  <w:vAlign w:val="center"/>
                </w:tcPr>
                <w:p w14:paraId="784138FE">
                  <w:pPr>
                    <w:pStyle w:val="45"/>
                    <w:rPr>
                      <w:rFonts w:hint="default"/>
                      <w:b w:val="0"/>
                      <w:bCs w:val="0"/>
                      <w:u w:val="none"/>
                    </w:rPr>
                  </w:pPr>
                  <w:r>
                    <w:rPr>
                      <w:b w:val="0"/>
                      <w:bCs w:val="0"/>
                      <w:u w:val="none"/>
                    </w:rPr>
                    <w:t>500g/袋，储存于干冰保温箱</w:t>
                  </w:r>
                </w:p>
              </w:tc>
              <w:tc>
                <w:tcPr>
                  <w:tcW w:w="1179" w:type="pct"/>
                  <w:tcBorders>
                    <w:tl2br w:val="nil"/>
                    <w:tr2bl w:val="nil"/>
                  </w:tcBorders>
                  <w:shd w:val="clear" w:color="auto" w:fill="auto"/>
                  <w:vAlign w:val="center"/>
                </w:tcPr>
                <w:p w14:paraId="793456CA">
                  <w:pPr>
                    <w:pStyle w:val="45"/>
                    <w:rPr>
                      <w:rFonts w:hint="default"/>
                      <w:b w:val="0"/>
                      <w:bCs w:val="0"/>
                      <w:u w:val="none"/>
                    </w:rPr>
                  </w:pPr>
                  <w:r>
                    <w:rPr>
                      <w:b w:val="0"/>
                      <w:bCs w:val="0"/>
                      <w:u w:val="none"/>
                    </w:rPr>
                    <w:t>食品保鲜等</w:t>
                  </w:r>
                </w:p>
              </w:tc>
            </w:tr>
            <w:tr w14:paraId="524D9A8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18" w:type="pct"/>
                  <w:tcBorders>
                    <w:tl2br w:val="nil"/>
                    <w:tr2bl w:val="nil"/>
                  </w:tcBorders>
                  <w:shd w:val="clear" w:color="auto" w:fill="auto"/>
                  <w:vAlign w:val="center"/>
                </w:tcPr>
                <w:p w14:paraId="5D3BE869">
                  <w:pPr>
                    <w:pStyle w:val="45"/>
                    <w:rPr>
                      <w:rFonts w:hint="default"/>
                      <w:b w:val="0"/>
                      <w:bCs w:val="0"/>
                      <w:u w:val="none"/>
                    </w:rPr>
                  </w:pPr>
                  <w:r>
                    <w:rPr>
                      <w:rFonts w:hint="default"/>
                      <w:b w:val="0"/>
                      <w:bCs w:val="0"/>
                      <w:u w:val="none"/>
                    </w:rPr>
                    <w:t>4</w:t>
                  </w:r>
                </w:p>
              </w:tc>
              <w:tc>
                <w:tcPr>
                  <w:tcW w:w="484" w:type="pct"/>
                  <w:vMerge w:val="continue"/>
                  <w:tcBorders>
                    <w:tl2br w:val="nil"/>
                    <w:tr2bl w:val="nil"/>
                  </w:tcBorders>
                  <w:shd w:val="clear" w:color="auto" w:fill="auto"/>
                  <w:vAlign w:val="center"/>
                </w:tcPr>
                <w:p w14:paraId="5E4FEFE4">
                  <w:pPr>
                    <w:pStyle w:val="45"/>
                    <w:rPr>
                      <w:rFonts w:hint="default"/>
                      <w:b w:val="0"/>
                      <w:bCs w:val="0"/>
                      <w:u w:val="none"/>
                    </w:rPr>
                  </w:pPr>
                </w:p>
              </w:tc>
              <w:tc>
                <w:tcPr>
                  <w:tcW w:w="825" w:type="pct"/>
                  <w:tcBorders>
                    <w:tl2br w:val="nil"/>
                    <w:tr2bl w:val="nil"/>
                  </w:tcBorders>
                  <w:shd w:val="clear" w:color="auto" w:fill="auto"/>
                  <w:vAlign w:val="center"/>
                </w:tcPr>
                <w:p w14:paraId="3BB2DF4F">
                  <w:pPr>
                    <w:pStyle w:val="45"/>
                    <w:rPr>
                      <w:rFonts w:hint="default"/>
                      <w:b w:val="0"/>
                      <w:bCs w:val="0"/>
                      <w:u w:val="none"/>
                    </w:rPr>
                  </w:pPr>
                  <w:r>
                    <w:rPr>
                      <w:b w:val="0"/>
                      <w:bCs w:val="0"/>
                      <w:u w:val="none"/>
                    </w:rPr>
                    <w:t>超纯氨</w:t>
                  </w:r>
                </w:p>
              </w:tc>
              <w:tc>
                <w:tcPr>
                  <w:tcW w:w="809" w:type="pct"/>
                  <w:tcBorders>
                    <w:tl2br w:val="nil"/>
                    <w:tr2bl w:val="nil"/>
                  </w:tcBorders>
                  <w:shd w:val="clear" w:color="auto" w:fill="auto"/>
                  <w:vAlign w:val="center"/>
                </w:tcPr>
                <w:p w14:paraId="582DBF9A">
                  <w:pPr>
                    <w:pStyle w:val="45"/>
                    <w:rPr>
                      <w:rFonts w:hint="default"/>
                      <w:b w:val="0"/>
                      <w:bCs w:val="0"/>
                      <w:u w:val="none"/>
                    </w:rPr>
                  </w:pPr>
                  <w:r>
                    <w:rPr>
                      <w:rFonts w:hint="default"/>
                      <w:b w:val="0"/>
                      <w:bCs w:val="0"/>
                      <w:u w:val="none"/>
                    </w:rPr>
                    <w:t>0.6</w:t>
                  </w:r>
                </w:p>
              </w:tc>
              <w:tc>
                <w:tcPr>
                  <w:tcW w:w="531" w:type="pct"/>
                  <w:tcBorders>
                    <w:tl2br w:val="nil"/>
                    <w:tr2bl w:val="nil"/>
                  </w:tcBorders>
                  <w:shd w:val="clear" w:color="auto" w:fill="auto"/>
                  <w:vAlign w:val="center"/>
                </w:tcPr>
                <w:p w14:paraId="6E1C51FB">
                  <w:pPr>
                    <w:pStyle w:val="45"/>
                    <w:rPr>
                      <w:rFonts w:hint="default"/>
                      <w:b w:val="0"/>
                      <w:bCs w:val="0"/>
                      <w:u w:val="none"/>
                    </w:rPr>
                  </w:pPr>
                  <w:r>
                    <w:rPr>
                      <w:b w:val="0"/>
                      <w:bCs w:val="0"/>
                      <w:u w:val="none"/>
                    </w:rPr>
                    <w:t>液态</w:t>
                  </w:r>
                </w:p>
              </w:tc>
              <w:tc>
                <w:tcPr>
                  <w:tcW w:w="751" w:type="pct"/>
                  <w:tcBorders>
                    <w:tl2br w:val="nil"/>
                    <w:tr2bl w:val="nil"/>
                  </w:tcBorders>
                  <w:shd w:val="clear" w:color="auto" w:fill="auto"/>
                  <w:vAlign w:val="center"/>
                </w:tcPr>
                <w:p w14:paraId="4F81FE9F">
                  <w:pPr>
                    <w:pStyle w:val="45"/>
                    <w:rPr>
                      <w:rFonts w:hint="default"/>
                      <w:b w:val="0"/>
                      <w:bCs w:val="0"/>
                      <w:u w:val="none"/>
                    </w:rPr>
                  </w:pPr>
                  <w:r>
                    <w:rPr>
                      <w:b w:val="0"/>
                      <w:bCs w:val="0"/>
                      <w:u w:val="none"/>
                    </w:rPr>
                    <w:t>储罐</w:t>
                  </w:r>
                </w:p>
              </w:tc>
              <w:tc>
                <w:tcPr>
                  <w:tcW w:w="1179" w:type="pct"/>
                  <w:tcBorders>
                    <w:tl2br w:val="nil"/>
                    <w:tr2bl w:val="nil"/>
                  </w:tcBorders>
                  <w:shd w:val="clear" w:color="auto" w:fill="auto"/>
                  <w:vAlign w:val="center"/>
                </w:tcPr>
                <w:p w14:paraId="4911FE17">
                  <w:pPr>
                    <w:pStyle w:val="45"/>
                    <w:rPr>
                      <w:rFonts w:hint="default"/>
                      <w:b w:val="0"/>
                      <w:bCs w:val="0"/>
                      <w:u w:val="none"/>
                    </w:rPr>
                  </w:pPr>
                  <w:r>
                    <w:rPr>
                      <w:b w:val="0"/>
                      <w:bCs w:val="0"/>
                      <w:u w:val="none"/>
                    </w:rPr>
                    <w:t>用于半导体、面板、光伏电池等产业中的晶圆清洗、蚀刻等工序</w:t>
                  </w:r>
                </w:p>
              </w:tc>
            </w:tr>
            <w:tr w14:paraId="0420D33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418" w:type="pct"/>
                  <w:tcBorders>
                    <w:tl2br w:val="nil"/>
                    <w:tr2bl w:val="nil"/>
                  </w:tcBorders>
                  <w:shd w:val="clear" w:color="auto" w:fill="auto"/>
                  <w:vAlign w:val="center"/>
                </w:tcPr>
                <w:p w14:paraId="062D6B7C">
                  <w:pPr>
                    <w:pStyle w:val="45"/>
                    <w:rPr>
                      <w:rFonts w:hint="default"/>
                      <w:b w:val="0"/>
                      <w:bCs w:val="0"/>
                      <w:u w:val="none"/>
                    </w:rPr>
                  </w:pPr>
                  <w:r>
                    <w:rPr>
                      <w:b w:val="0"/>
                      <w:bCs w:val="0"/>
                      <w:u w:val="none"/>
                    </w:rPr>
                    <w:t>5</w:t>
                  </w:r>
                </w:p>
              </w:tc>
              <w:tc>
                <w:tcPr>
                  <w:tcW w:w="484" w:type="pct"/>
                  <w:tcBorders>
                    <w:tl2br w:val="nil"/>
                    <w:tr2bl w:val="nil"/>
                  </w:tcBorders>
                  <w:shd w:val="clear" w:color="auto" w:fill="auto"/>
                  <w:vAlign w:val="center"/>
                </w:tcPr>
                <w:p w14:paraId="178129FF">
                  <w:pPr>
                    <w:pStyle w:val="45"/>
                    <w:rPr>
                      <w:rFonts w:hint="default"/>
                      <w:b/>
                      <w:bCs/>
                      <w:u w:val="single"/>
                    </w:rPr>
                  </w:pPr>
                  <w:r>
                    <w:rPr>
                      <w:b/>
                      <w:bCs/>
                      <w:u w:val="single"/>
                    </w:rPr>
                    <w:t>副产品</w:t>
                  </w:r>
                </w:p>
              </w:tc>
              <w:tc>
                <w:tcPr>
                  <w:tcW w:w="825" w:type="pct"/>
                  <w:tcBorders>
                    <w:tl2br w:val="nil"/>
                    <w:tr2bl w:val="nil"/>
                  </w:tcBorders>
                  <w:shd w:val="clear" w:color="auto" w:fill="auto"/>
                  <w:vAlign w:val="center"/>
                </w:tcPr>
                <w:p w14:paraId="5134ED15">
                  <w:pPr>
                    <w:pStyle w:val="45"/>
                    <w:rPr>
                      <w:rFonts w:hint="default"/>
                      <w:b/>
                      <w:bCs/>
                      <w:u w:val="single"/>
                    </w:rPr>
                  </w:pPr>
                  <w:r>
                    <w:rPr>
                      <w:b/>
                      <w:bCs/>
                      <w:u w:val="single"/>
                    </w:rPr>
                    <w:t>氨水（20%)</w:t>
                  </w:r>
                </w:p>
              </w:tc>
              <w:tc>
                <w:tcPr>
                  <w:tcW w:w="809" w:type="pct"/>
                  <w:tcBorders>
                    <w:tl2br w:val="nil"/>
                    <w:tr2bl w:val="nil"/>
                  </w:tcBorders>
                  <w:shd w:val="clear" w:color="auto" w:fill="auto"/>
                  <w:vAlign w:val="center"/>
                </w:tcPr>
                <w:p w14:paraId="76782979">
                  <w:pPr>
                    <w:pStyle w:val="45"/>
                    <w:rPr>
                      <w:rFonts w:hint="default" w:eastAsia="宋体"/>
                      <w:b/>
                      <w:bCs/>
                      <w:u w:val="single"/>
                      <w:lang w:val="en-US" w:eastAsia="zh-CN"/>
                    </w:rPr>
                  </w:pPr>
                  <w:r>
                    <w:rPr>
                      <w:rFonts w:hint="eastAsia"/>
                      <w:b/>
                      <w:bCs/>
                      <w:highlight w:val="none"/>
                      <w:u w:val="single"/>
                      <w:lang w:val="en-US" w:eastAsia="zh-CN"/>
                    </w:rPr>
                    <w:t>0.4052</w:t>
                  </w:r>
                </w:p>
              </w:tc>
              <w:tc>
                <w:tcPr>
                  <w:tcW w:w="531" w:type="pct"/>
                  <w:tcBorders>
                    <w:tl2br w:val="nil"/>
                    <w:tr2bl w:val="nil"/>
                  </w:tcBorders>
                  <w:shd w:val="clear" w:color="auto" w:fill="auto"/>
                  <w:vAlign w:val="center"/>
                </w:tcPr>
                <w:p w14:paraId="7ADC07E8">
                  <w:pPr>
                    <w:pStyle w:val="45"/>
                    <w:rPr>
                      <w:rFonts w:hint="default"/>
                      <w:b/>
                      <w:bCs/>
                      <w:u w:val="single"/>
                    </w:rPr>
                  </w:pPr>
                  <w:r>
                    <w:rPr>
                      <w:b/>
                      <w:bCs/>
                      <w:u w:val="single"/>
                    </w:rPr>
                    <w:t>液态</w:t>
                  </w:r>
                </w:p>
              </w:tc>
              <w:tc>
                <w:tcPr>
                  <w:tcW w:w="751" w:type="pct"/>
                  <w:tcBorders>
                    <w:tl2br w:val="nil"/>
                    <w:tr2bl w:val="nil"/>
                  </w:tcBorders>
                  <w:shd w:val="clear" w:color="auto" w:fill="auto"/>
                  <w:vAlign w:val="center"/>
                </w:tcPr>
                <w:p w14:paraId="66284059">
                  <w:pPr>
                    <w:pStyle w:val="45"/>
                    <w:rPr>
                      <w:rFonts w:hint="default"/>
                      <w:b/>
                      <w:bCs/>
                      <w:u w:val="single"/>
                    </w:rPr>
                  </w:pPr>
                  <w:r>
                    <w:rPr>
                      <w:b/>
                      <w:bCs/>
                      <w:u w:val="single"/>
                    </w:rPr>
                    <w:t>储罐</w:t>
                  </w:r>
                </w:p>
              </w:tc>
              <w:tc>
                <w:tcPr>
                  <w:tcW w:w="1179" w:type="pct"/>
                  <w:tcBorders>
                    <w:tl2br w:val="nil"/>
                    <w:tr2bl w:val="nil"/>
                  </w:tcBorders>
                  <w:shd w:val="clear" w:color="auto" w:fill="auto"/>
                  <w:vAlign w:val="center"/>
                </w:tcPr>
                <w:p w14:paraId="313973EB">
                  <w:pPr>
                    <w:pStyle w:val="45"/>
                    <w:rPr>
                      <w:rFonts w:hint="default"/>
                      <w:b/>
                      <w:bCs/>
                      <w:u w:val="single"/>
                    </w:rPr>
                  </w:pPr>
                  <w:r>
                    <w:rPr>
                      <w:b/>
                      <w:bCs/>
                      <w:u w:val="single"/>
                    </w:rPr>
                    <w:t>用作化学试剂、工业原料等</w:t>
                  </w:r>
                </w:p>
              </w:tc>
            </w:tr>
          </w:tbl>
          <w:p w14:paraId="7A52C9F3">
            <w:pPr>
              <w:pStyle w:val="5"/>
              <w:rPr>
                <w:rFonts w:hint="default"/>
                <w:b w:val="0"/>
                <w:bCs w:val="0"/>
                <w:u w:val="none"/>
              </w:rPr>
            </w:pPr>
            <w:r>
              <w:rPr>
                <w:b w:val="0"/>
                <w:bCs w:val="0"/>
                <w:u w:val="none"/>
              </w:rPr>
              <w:t>工业级二氧化碳执行《工业液体二氧化碳》（GB/T 6052-2011），具体产品指标详见下表。</w:t>
            </w:r>
          </w:p>
          <w:p w14:paraId="551A7699">
            <w:pPr>
              <w:pStyle w:val="44"/>
              <w:numPr>
                <w:ilvl w:val="0"/>
                <w:numId w:val="2"/>
              </w:numPr>
              <w:rPr>
                <w:rFonts w:hint="default"/>
                <w:b w:val="0"/>
                <w:bCs w:val="0"/>
                <w:u w:val="none"/>
              </w:rPr>
            </w:pPr>
            <w:r>
              <w:rPr>
                <w:b w:val="0"/>
                <w:bCs w:val="0"/>
                <w:u w:val="none"/>
              </w:rPr>
              <w:t xml:space="preserve">  工业级二氧化碳产品质量指标</w:t>
            </w:r>
          </w:p>
          <w:tbl>
            <w:tblPr>
              <w:tblStyle w:val="2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50"/>
              <w:gridCol w:w="2113"/>
            </w:tblGrid>
            <w:tr w14:paraId="630918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02" w:type="pct"/>
                  <w:tcBorders>
                    <w:tl2br w:val="nil"/>
                    <w:tr2bl w:val="nil"/>
                  </w:tcBorders>
                  <w:shd w:val="clear" w:color="auto" w:fill="auto"/>
                  <w:vAlign w:val="center"/>
                </w:tcPr>
                <w:p w14:paraId="7344A737">
                  <w:pPr>
                    <w:pStyle w:val="45"/>
                    <w:rPr>
                      <w:rFonts w:hint="default"/>
                      <w:b w:val="0"/>
                      <w:bCs w:val="0"/>
                      <w:u w:val="none"/>
                    </w:rPr>
                  </w:pPr>
                  <w:r>
                    <w:rPr>
                      <w:b w:val="0"/>
                      <w:bCs w:val="0"/>
                      <w:u w:val="none"/>
                    </w:rPr>
                    <w:t>项目</w:t>
                  </w:r>
                </w:p>
              </w:tc>
              <w:tc>
                <w:tcPr>
                  <w:tcW w:w="1397" w:type="pct"/>
                  <w:tcBorders>
                    <w:tl2br w:val="nil"/>
                    <w:tr2bl w:val="nil"/>
                  </w:tcBorders>
                  <w:shd w:val="clear" w:color="auto" w:fill="auto"/>
                  <w:vAlign w:val="center"/>
                </w:tcPr>
                <w:p w14:paraId="2BCFEECE">
                  <w:pPr>
                    <w:pStyle w:val="45"/>
                    <w:rPr>
                      <w:rFonts w:hint="default"/>
                      <w:b w:val="0"/>
                      <w:bCs w:val="0"/>
                      <w:u w:val="none"/>
                    </w:rPr>
                  </w:pPr>
                  <w:r>
                    <w:rPr>
                      <w:b w:val="0"/>
                      <w:bCs w:val="0"/>
                      <w:u w:val="none"/>
                    </w:rPr>
                    <w:t>指标</w:t>
                  </w:r>
                </w:p>
              </w:tc>
            </w:tr>
            <w:tr w14:paraId="28FB50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4" w:type="dxa"/>
                  <w:tcBorders>
                    <w:tl2br w:val="nil"/>
                    <w:tr2bl w:val="nil"/>
                  </w:tcBorders>
                  <w:shd w:val="clear" w:color="auto" w:fill="auto"/>
                  <w:vAlign w:val="center"/>
                </w:tcPr>
                <w:p w14:paraId="6EF21B51">
                  <w:pPr>
                    <w:jc w:val="center"/>
                    <w:textAlignment w:val="center"/>
                    <w:rPr>
                      <w:b w:val="0"/>
                      <w:bCs w:val="0"/>
                      <w:u w:val="none"/>
                    </w:rPr>
                  </w:pPr>
                  <w:r>
                    <w:rPr>
                      <w:rFonts w:hint="eastAsia" w:ascii="宋体" w:hAnsi="宋体" w:cs="宋体"/>
                      <w:b w:val="0"/>
                      <w:bCs w:val="0"/>
                      <w:kern w:val="0"/>
                      <w:sz w:val="20"/>
                      <w:szCs w:val="20"/>
                      <w:u w:val="none"/>
                      <w:lang w:bidi="ar"/>
                    </w:rPr>
                    <w:t>二氧化碳含量</w:t>
                  </w:r>
                  <w:r>
                    <w:rPr>
                      <w:b w:val="0"/>
                      <w:bCs w:val="0"/>
                      <w:kern w:val="0"/>
                      <w:sz w:val="20"/>
                      <w:szCs w:val="20"/>
                      <w:u w:val="none"/>
                      <w:lang w:bidi="ar"/>
                    </w:rPr>
                    <w:t>(</w:t>
                  </w:r>
                  <w:r>
                    <w:rPr>
                      <w:rFonts w:hint="eastAsia" w:ascii="宋体" w:hAnsi="宋体" w:cs="宋体"/>
                      <w:b w:val="0"/>
                      <w:bCs w:val="0"/>
                      <w:kern w:val="0"/>
                      <w:sz w:val="20"/>
                      <w:szCs w:val="20"/>
                      <w:u w:val="none"/>
                      <w:lang w:bidi="ar"/>
                    </w:rPr>
                    <w:t>体积分数</w:t>
                  </w:r>
                  <w:r>
                    <w:rPr>
                      <w:b w:val="0"/>
                      <w:bCs w:val="0"/>
                      <w:kern w:val="0"/>
                      <w:sz w:val="20"/>
                      <w:szCs w:val="20"/>
                      <w:u w:val="none"/>
                      <w:lang w:bidi="ar"/>
                    </w:rPr>
                    <w:t>)/10</w:t>
                  </w:r>
                  <w:r>
                    <w:rPr>
                      <w:b w:val="0"/>
                      <w:bCs w:val="0"/>
                      <w:kern w:val="0"/>
                      <w:sz w:val="20"/>
                      <w:szCs w:val="20"/>
                      <w:u w:val="none"/>
                      <w:vertAlign w:val="superscript"/>
                      <w:lang w:bidi="ar"/>
                    </w:rPr>
                    <w:t>-2</w:t>
                  </w:r>
                  <w:r>
                    <w:rPr>
                      <w:rFonts w:hint="eastAsia"/>
                      <w:b w:val="0"/>
                      <w:bCs w:val="0"/>
                      <w:kern w:val="0"/>
                      <w:sz w:val="20"/>
                      <w:szCs w:val="20"/>
                      <w:u w:val="none"/>
                      <w:lang w:bidi="ar"/>
                    </w:rPr>
                    <w:t xml:space="preserve">      </w:t>
                  </w:r>
                  <w:r>
                    <w:rPr>
                      <w:b w:val="0"/>
                      <w:bCs w:val="0"/>
                      <w:kern w:val="0"/>
                      <w:sz w:val="20"/>
                      <w:szCs w:val="20"/>
                      <w:u w:val="none"/>
                      <w:lang w:bidi="ar"/>
                    </w:rPr>
                    <w:t>≥</w:t>
                  </w:r>
                </w:p>
              </w:tc>
              <w:tc>
                <w:tcPr>
                  <w:tcW w:w="2201" w:type="dxa"/>
                  <w:tcBorders>
                    <w:tl2br w:val="nil"/>
                    <w:tr2bl w:val="nil"/>
                  </w:tcBorders>
                  <w:shd w:val="clear" w:color="auto" w:fill="auto"/>
                  <w:vAlign w:val="center"/>
                </w:tcPr>
                <w:p w14:paraId="590ED481">
                  <w:pPr>
                    <w:jc w:val="center"/>
                    <w:textAlignment w:val="center"/>
                    <w:rPr>
                      <w:b w:val="0"/>
                      <w:bCs w:val="0"/>
                      <w:u w:val="none"/>
                    </w:rPr>
                  </w:pPr>
                  <w:r>
                    <w:rPr>
                      <w:b w:val="0"/>
                      <w:bCs w:val="0"/>
                      <w:kern w:val="0"/>
                      <w:sz w:val="20"/>
                      <w:szCs w:val="20"/>
                      <w:u w:val="none"/>
                      <w:bdr w:val="single" w:color="000000" w:sz="4" w:space="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91135" cy="114935"/>
                        <wp:effectExtent l="0" t="0" r="18415" b="18415"/>
                        <wp:wrapNone/>
                        <wp:docPr id="2"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7"/>
                                <a:stretch>
                                  <a:fillRect/>
                                </a:stretch>
                              </pic:blipFill>
                              <pic:spPr>
                                <a:xfrm>
                                  <a:off x="0" y="0"/>
                                  <a:ext cx="191135" cy="114935"/>
                                </a:xfrm>
                                <a:prstGeom prst="rect">
                                  <a:avLst/>
                                </a:prstGeom>
                                <a:noFill/>
                                <a:ln>
                                  <a:noFill/>
                                </a:ln>
                              </pic:spPr>
                            </pic:pic>
                          </a:graphicData>
                        </a:graphic>
                      </wp:anchor>
                    </w:drawing>
                  </w:r>
                  <w:r>
                    <w:rPr>
                      <w:b w:val="0"/>
                      <w:bCs w:val="0"/>
                      <w:kern w:val="0"/>
                      <w:sz w:val="20"/>
                      <w:szCs w:val="20"/>
                      <w:u w:val="none"/>
                      <w:lang w:bidi="ar"/>
                    </w:rPr>
                    <w:t>99</w:t>
                  </w:r>
                  <w:r>
                    <w:rPr>
                      <w:rFonts w:hint="eastAsia"/>
                      <w:b w:val="0"/>
                      <w:bCs w:val="0"/>
                      <w:kern w:val="0"/>
                      <w:sz w:val="20"/>
                      <w:szCs w:val="20"/>
                      <w:u w:val="none"/>
                      <w:lang w:bidi="ar"/>
                    </w:rPr>
                    <w:t>.5</w:t>
                  </w:r>
                </w:p>
              </w:tc>
            </w:tr>
            <w:tr w14:paraId="308149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4" w:type="dxa"/>
                  <w:tcBorders>
                    <w:tl2br w:val="nil"/>
                    <w:tr2bl w:val="nil"/>
                  </w:tcBorders>
                  <w:shd w:val="clear" w:color="auto" w:fill="auto"/>
                  <w:vAlign w:val="center"/>
                </w:tcPr>
                <w:p w14:paraId="4C41821C">
                  <w:pPr>
                    <w:jc w:val="center"/>
                    <w:textAlignment w:val="center"/>
                    <w:rPr>
                      <w:b w:val="0"/>
                      <w:bCs w:val="0"/>
                      <w:u w:val="none"/>
                    </w:rPr>
                  </w:pPr>
                  <w:r>
                    <w:rPr>
                      <w:rFonts w:hint="eastAsia" w:ascii="宋体" w:hAnsi="宋体" w:cs="宋体"/>
                      <w:b w:val="0"/>
                      <w:bCs w:val="0"/>
                      <w:kern w:val="0"/>
                      <w:sz w:val="20"/>
                      <w:szCs w:val="20"/>
                      <w:u w:val="none"/>
                      <w:lang w:bidi="ar"/>
                    </w:rPr>
                    <w:t>油分</w:t>
                  </w:r>
                </w:p>
              </w:tc>
              <w:tc>
                <w:tcPr>
                  <w:tcW w:w="2201" w:type="dxa"/>
                  <w:tcBorders>
                    <w:tl2br w:val="nil"/>
                    <w:tr2bl w:val="nil"/>
                  </w:tcBorders>
                  <w:shd w:val="clear" w:color="auto" w:fill="auto"/>
                  <w:vAlign w:val="center"/>
                </w:tcPr>
                <w:p w14:paraId="08293921">
                  <w:pPr>
                    <w:jc w:val="center"/>
                    <w:textAlignment w:val="center"/>
                    <w:rPr>
                      <w:b w:val="0"/>
                      <w:bCs w:val="0"/>
                      <w:u w:val="none"/>
                    </w:rPr>
                  </w:pPr>
                  <w:r>
                    <w:rPr>
                      <w:rStyle w:val="66"/>
                      <w:rFonts w:hint="default"/>
                      <w:b w:val="0"/>
                      <w:bCs w:val="0"/>
                      <w:color w:val="auto"/>
                      <w:u w:val="none"/>
                      <w:lang w:bidi="ar"/>
                    </w:rPr>
                    <w:t>按</w:t>
                  </w:r>
                  <w:r>
                    <w:rPr>
                      <w:b w:val="0"/>
                      <w:bCs w:val="0"/>
                      <w:kern w:val="0"/>
                      <w:sz w:val="20"/>
                      <w:szCs w:val="20"/>
                      <w:u w:val="none"/>
                      <w:lang w:bidi="ar"/>
                    </w:rPr>
                    <w:t xml:space="preserve"> 4.4</w:t>
                  </w:r>
                  <w:r>
                    <w:rPr>
                      <w:rStyle w:val="66"/>
                      <w:rFonts w:hint="default"/>
                      <w:b w:val="0"/>
                      <w:bCs w:val="0"/>
                      <w:color w:val="auto"/>
                      <w:u w:val="none"/>
                      <w:lang w:bidi="ar"/>
                    </w:rPr>
                    <w:t>检验合格</w:t>
                  </w:r>
                </w:p>
              </w:tc>
            </w:tr>
            <w:tr w14:paraId="7B00F8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4" w:type="dxa"/>
                  <w:tcBorders>
                    <w:tl2br w:val="nil"/>
                    <w:tr2bl w:val="nil"/>
                  </w:tcBorders>
                  <w:shd w:val="clear" w:color="auto" w:fill="auto"/>
                  <w:vAlign w:val="center"/>
                </w:tcPr>
                <w:p w14:paraId="6ADA9708">
                  <w:pPr>
                    <w:jc w:val="center"/>
                    <w:textAlignment w:val="center"/>
                    <w:rPr>
                      <w:b w:val="0"/>
                      <w:bCs w:val="0"/>
                      <w:u w:val="none"/>
                    </w:rPr>
                  </w:pPr>
                  <w:r>
                    <w:rPr>
                      <w:rFonts w:hint="eastAsia" w:ascii="宋体" w:hAnsi="宋体" w:cs="宋体"/>
                      <w:b w:val="0"/>
                      <w:bCs w:val="0"/>
                      <w:kern w:val="0"/>
                      <w:sz w:val="20"/>
                      <w:szCs w:val="20"/>
                      <w:u w:val="none"/>
                      <w:lang w:bidi="ar"/>
                    </w:rPr>
                    <w:t>一氧化碳、硫化氢、磷化氢及有机还原物</w:t>
                  </w:r>
                </w:p>
              </w:tc>
              <w:tc>
                <w:tcPr>
                  <w:tcW w:w="2201" w:type="dxa"/>
                  <w:tcBorders>
                    <w:tl2br w:val="nil"/>
                    <w:tr2bl w:val="nil"/>
                  </w:tcBorders>
                  <w:shd w:val="clear" w:color="auto" w:fill="auto"/>
                  <w:vAlign w:val="center"/>
                </w:tcPr>
                <w:p w14:paraId="5EE10EC8">
                  <w:pPr>
                    <w:jc w:val="center"/>
                    <w:textAlignment w:val="center"/>
                    <w:rPr>
                      <w:b w:val="0"/>
                      <w:bCs w:val="0"/>
                      <w:u w:val="none"/>
                    </w:rPr>
                  </w:pPr>
                  <w:r>
                    <w:rPr>
                      <w:rStyle w:val="66"/>
                      <w:rFonts w:hint="default"/>
                      <w:b w:val="0"/>
                      <w:bCs w:val="0"/>
                      <w:color w:val="auto"/>
                      <w:u w:val="none"/>
                      <w:lang w:bidi="ar"/>
                    </w:rPr>
                    <w:t>按</w:t>
                  </w:r>
                  <w:r>
                    <w:rPr>
                      <w:b w:val="0"/>
                      <w:bCs w:val="0"/>
                      <w:kern w:val="0"/>
                      <w:sz w:val="20"/>
                      <w:szCs w:val="20"/>
                      <w:u w:val="none"/>
                      <w:lang w:bidi="ar"/>
                    </w:rPr>
                    <w:t>4.6</w:t>
                  </w:r>
                  <w:r>
                    <w:rPr>
                      <w:rStyle w:val="66"/>
                      <w:rFonts w:hint="default"/>
                      <w:b w:val="0"/>
                      <w:bCs w:val="0"/>
                      <w:color w:val="auto"/>
                      <w:u w:val="none"/>
                      <w:lang w:bidi="ar"/>
                    </w:rPr>
                    <w:t>检验合格</w:t>
                  </w:r>
                </w:p>
              </w:tc>
            </w:tr>
            <w:tr w14:paraId="4FEB69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4" w:type="dxa"/>
                  <w:tcBorders>
                    <w:tl2br w:val="nil"/>
                    <w:tr2bl w:val="nil"/>
                  </w:tcBorders>
                  <w:shd w:val="clear" w:color="auto" w:fill="auto"/>
                  <w:vAlign w:val="center"/>
                </w:tcPr>
                <w:p w14:paraId="6F5105DF">
                  <w:pPr>
                    <w:jc w:val="center"/>
                    <w:textAlignment w:val="center"/>
                    <w:rPr>
                      <w:b w:val="0"/>
                      <w:bCs w:val="0"/>
                      <w:u w:val="none"/>
                    </w:rPr>
                  </w:pPr>
                  <w:r>
                    <w:rPr>
                      <w:rFonts w:hint="eastAsia" w:ascii="宋体" w:hAnsi="宋体" w:cs="宋体"/>
                      <w:b w:val="0"/>
                      <w:bCs w:val="0"/>
                      <w:kern w:val="0"/>
                      <w:sz w:val="20"/>
                      <w:szCs w:val="20"/>
                      <w:u w:val="none"/>
                      <w:lang w:bidi="ar"/>
                    </w:rPr>
                    <w:t>气味</w:t>
                  </w:r>
                </w:p>
              </w:tc>
              <w:tc>
                <w:tcPr>
                  <w:tcW w:w="2201" w:type="dxa"/>
                  <w:tcBorders>
                    <w:tl2br w:val="nil"/>
                    <w:tr2bl w:val="nil"/>
                  </w:tcBorders>
                  <w:shd w:val="clear" w:color="auto" w:fill="auto"/>
                  <w:vAlign w:val="center"/>
                </w:tcPr>
                <w:p w14:paraId="125B3420">
                  <w:pPr>
                    <w:jc w:val="center"/>
                    <w:textAlignment w:val="center"/>
                    <w:rPr>
                      <w:b w:val="0"/>
                      <w:bCs w:val="0"/>
                      <w:u w:val="none"/>
                    </w:rPr>
                  </w:pPr>
                  <w:r>
                    <w:rPr>
                      <w:rStyle w:val="66"/>
                      <w:rFonts w:hint="default"/>
                      <w:b w:val="0"/>
                      <w:bCs w:val="0"/>
                      <w:color w:val="auto"/>
                      <w:u w:val="none"/>
                      <w:lang w:bidi="ar"/>
                    </w:rPr>
                    <w:t>无异味</w:t>
                  </w:r>
                </w:p>
              </w:tc>
            </w:tr>
            <w:tr w14:paraId="53DC0C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4" w:type="dxa"/>
                  <w:tcBorders>
                    <w:tl2br w:val="nil"/>
                    <w:tr2bl w:val="nil"/>
                  </w:tcBorders>
                  <w:shd w:val="clear" w:color="auto" w:fill="auto"/>
                  <w:vAlign w:val="center"/>
                </w:tcPr>
                <w:p w14:paraId="1542A2BD">
                  <w:pPr>
                    <w:jc w:val="center"/>
                    <w:textAlignment w:val="center"/>
                    <w:rPr>
                      <w:b w:val="0"/>
                      <w:bCs w:val="0"/>
                      <w:u w:val="none"/>
                    </w:rPr>
                  </w:pPr>
                  <w:r>
                    <w:rPr>
                      <w:rFonts w:hint="eastAsia" w:ascii="宋体" w:hAnsi="宋体" w:cs="宋体"/>
                      <w:b w:val="0"/>
                      <w:bCs w:val="0"/>
                      <w:kern w:val="0"/>
                      <w:sz w:val="20"/>
                      <w:szCs w:val="20"/>
                      <w:u w:val="none"/>
                      <w:lang w:bidi="ar"/>
                    </w:rPr>
                    <w:t>水分露点</w:t>
                  </w:r>
                  <w:r>
                    <w:rPr>
                      <w:b w:val="0"/>
                      <w:bCs w:val="0"/>
                      <w:kern w:val="0"/>
                      <w:sz w:val="20"/>
                      <w:szCs w:val="20"/>
                      <w:u w:val="none"/>
                      <w:lang w:bidi="ar"/>
                    </w:rPr>
                    <w:t xml:space="preserve">/℃ </w:t>
                  </w:r>
                  <w:r>
                    <w:rPr>
                      <w:rFonts w:hint="eastAsia"/>
                      <w:b w:val="0"/>
                      <w:bCs w:val="0"/>
                      <w:kern w:val="0"/>
                      <w:sz w:val="20"/>
                      <w:szCs w:val="20"/>
                      <w:u w:val="none"/>
                      <w:lang w:bidi="ar"/>
                    </w:rPr>
                    <w:t xml:space="preserve">     </w:t>
                  </w:r>
                  <w:r>
                    <w:rPr>
                      <w:b w:val="0"/>
                      <w:bCs w:val="0"/>
                      <w:kern w:val="0"/>
                      <w:sz w:val="20"/>
                      <w:szCs w:val="20"/>
                      <w:u w:val="none"/>
                      <w:lang w:bidi="ar"/>
                    </w:rPr>
                    <w:t xml:space="preserve"> ≤</w:t>
                  </w:r>
                </w:p>
              </w:tc>
              <w:tc>
                <w:tcPr>
                  <w:tcW w:w="2201" w:type="dxa"/>
                  <w:tcBorders>
                    <w:tl2br w:val="nil"/>
                    <w:tr2bl w:val="nil"/>
                  </w:tcBorders>
                  <w:shd w:val="clear" w:color="auto" w:fill="auto"/>
                  <w:vAlign w:val="center"/>
                </w:tcPr>
                <w:p w14:paraId="3869F4AB">
                  <w:pPr>
                    <w:jc w:val="center"/>
                    <w:textAlignment w:val="center"/>
                    <w:rPr>
                      <w:b w:val="0"/>
                      <w:bCs w:val="0"/>
                      <w:u w:val="none"/>
                    </w:rPr>
                  </w:pPr>
                  <w:r>
                    <w:rPr>
                      <w:b w:val="0"/>
                      <w:bCs w:val="0"/>
                      <w:kern w:val="0"/>
                      <w:sz w:val="20"/>
                      <w:szCs w:val="20"/>
                      <w:u w:val="none"/>
                      <w:lang w:bidi="ar"/>
                    </w:rPr>
                    <w:t>-6</w:t>
                  </w:r>
                  <w:r>
                    <w:rPr>
                      <w:rFonts w:hint="eastAsia"/>
                      <w:b w:val="0"/>
                      <w:bCs w:val="0"/>
                      <w:kern w:val="0"/>
                      <w:sz w:val="20"/>
                      <w:szCs w:val="20"/>
                      <w:u w:val="none"/>
                      <w:lang w:bidi="ar"/>
                    </w:rPr>
                    <w:t>0</w:t>
                  </w:r>
                </w:p>
              </w:tc>
            </w:tr>
            <w:tr w14:paraId="3DF8E3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4" w:type="dxa"/>
                  <w:tcBorders>
                    <w:tl2br w:val="nil"/>
                    <w:tr2bl w:val="nil"/>
                  </w:tcBorders>
                  <w:shd w:val="clear" w:color="auto" w:fill="auto"/>
                  <w:vAlign w:val="center"/>
                </w:tcPr>
                <w:p w14:paraId="3BE9B566">
                  <w:pPr>
                    <w:jc w:val="center"/>
                    <w:textAlignment w:val="center"/>
                    <w:rPr>
                      <w:b w:val="0"/>
                      <w:bCs w:val="0"/>
                      <w:u w:val="none"/>
                    </w:rPr>
                  </w:pPr>
                  <w:r>
                    <w:rPr>
                      <w:rStyle w:val="66"/>
                      <w:rFonts w:hint="default"/>
                      <w:b w:val="0"/>
                      <w:bCs w:val="0"/>
                      <w:color w:val="auto"/>
                      <w:u w:val="none"/>
                      <w:lang w:bidi="ar"/>
                    </w:rPr>
                    <w:t>游离水</w:t>
                  </w:r>
                </w:p>
              </w:tc>
              <w:tc>
                <w:tcPr>
                  <w:tcW w:w="2201" w:type="dxa"/>
                  <w:tcBorders>
                    <w:tl2br w:val="nil"/>
                    <w:tr2bl w:val="nil"/>
                  </w:tcBorders>
                  <w:shd w:val="clear" w:color="auto" w:fill="auto"/>
                  <w:vAlign w:val="center"/>
                </w:tcPr>
                <w:p w14:paraId="0FE0CBD8">
                  <w:pPr>
                    <w:jc w:val="center"/>
                    <w:textAlignment w:val="center"/>
                    <w:rPr>
                      <w:b w:val="0"/>
                      <w:bCs w:val="0"/>
                      <w:u w:val="none"/>
                    </w:rPr>
                  </w:pPr>
                  <w:r>
                    <w:rPr>
                      <w:b w:val="0"/>
                      <w:bCs w:val="0"/>
                      <w:kern w:val="0"/>
                      <w:sz w:val="20"/>
                      <w:szCs w:val="20"/>
                      <w:u w:val="none"/>
                      <w:lang w:bidi="ar"/>
                    </w:rPr>
                    <w:t>—</w:t>
                  </w:r>
                </w:p>
              </w:tc>
            </w:tr>
          </w:tbl>
          <w:p w14:paraId="1037C5C6">
            <w:pPr>
              <w:pStyle w:val="5"/>
              <w:rPr>
                <w:rFonts w:hint="default"/>
                <w:b w:val="0"/>
                <w:bCs w:val="0"/>
                <w:u w:val="none"/>
              </w:rPr>
            </w:pPr>
            <w:r>
              <w:rPr>
                <w:b w:val="0"/>
                <w:bCs w:val="0"/>
                <w:u w:val="none"/>
              </w:rPr>
              <w:t>食品级二氧化碳和干冰执行《食品添加剂 二氧化碳》（GB1886.228—2016），具体产品指标详见下表。</w:t>
            </w:r>
          </w:p>
          <w:p w14:paraId="46AB05FC">
            <w:pPr>
              <w:pStyle w:val="44"/>
              <w:numPr>
                <w:ilvl w:val="0"/>
                <w:numId w:val="2"/>
              </w:numPr>
              <w:rPr>
                <w:rFonts w:hint="default"/>
                <w:b w:val="0"/>
                <w:bCs w:val="0"/>
                <w:u w:val="none"/>
              </w:rPr>
            </w:pPr>
            <w:r>
              <w:rPr>
                <w:b w:val="0"/>
                <w:bCs w:val="0"/>
                <w:u w:val="none"/>
              </w:rPr>
              <w:t xml:space="preserve">  食品级二氧化碳和干冰产品质量指标</w:t>
            </w:r>
          </w:p>
          <w:tbl>
            <w:tblPr>
              <w:tblStyle w:val="2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91"/>
              <w:gridCol w:w="2975"/>
            </w:tblGrid>
            <w:tr w14:paraId="7EE768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5" w:type="dxa"/>
                  <w:tcBorders>
                    <w:tl2br w:val="nil"/>
                    <w:tr2bl w:val="nil"/>
                  </w:tcBorders>
                  <w:shd w:val="clear" w:color="auto" w:fill="auto"/>
                  <w:vAlign w:val="center"/>
                </w:tcPr>
                <w:p w14:paraId="2A117235">
                  <w:pPr>
                    <w:pStyle w:val="45"/>
                    <w:rPr>
                      <w:rFonts w:hint="default"/>
                      <w:b w:val="0"/>
                      <w:bCs w:val="0"/>
                      <w:u w:val="none"/>
                    </w:rPr>
                  </w:pPr>
                  <w:r>
                    <w:rPr>
                      <w:b w:val="0"/>
                      <w:bCs w:val="0"/>
                      <w:u w:val="none"/>
                    </w:rPr>
                    <w:t>项目</w:t>
                  </w:r>
                </w:p>
              </w:tc>
              <w:tc>
                <w:tcPr>
                  <w:tcW w:w="3544" w:type="dxa"/>
                  <w:tcBorders>
                    <w:tl2br w:val="nil"/>
                    <w:tr2bl w:val="nil"/>
                  </w:tcBorders>
                  <w:shd w:val="clear" w:color="auto" w:fill="auto"/>
                  <w:vAlign w:val="center"/>
                </w:tcPr>
                <w:p w14:paraId="7A57370A">
                  <w:pPr>
                    <w:pStyle w:val="45"/>
                    <w:rPr>
                      <w:rFonts w:hint="default"/>
                      <w:b w:val="0"/>
                      <w:bCs w:val="0"/>
                      <w:u w:val="none"/>
                    </w:rPr>
                  </w:pPr>
                  <w:r>
                    <w:rPr>
                      <w:b w:val="0"/>
                      <w:bCs w:val="0"/>
                      <w:u w:val="none"/>
                    </w:rPr>
                    <w:t>指标</w:t>
                  </w:r>
                </w:p>
              </w:tc>
            </w:tr>
            <w:tr w14:paraId="333C0E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5" w:type="dxa"/>
                  <w:tcBorders>
                    <w:tl2br w:val="nil"/>
                    <w:tr2bl w:val="nil"/>
                  </w:tcBorders>
                  <w:shd w:val="clear" w:color="auto" w:fill="auto"/>
                  <w:vAlign w:val="bottom"/>
                </w:tcPr>
                <w:p w14:paraId="0E8EB5E1">
                  <w:pPr>
                    <w:pStyle w:val="45"/>
                    <w:rPr>
                      <w:rFonts w:hint="default"/>
                      <w:b w:val="0"/>
                      <w:bCs w:val="0"/>
                      <w:u w:val="none"/>
                    </w:rPr>
                  </w:pPr>
                  <w:r>
                    <w:rPr>
                      <w:b w:val="0"/>
                      <w:bCs w:val="0"/>
                      <w:u w:val="none"/>
                    </w:rPr>
                    <w:t>二氧化碳（CO</w:t>
                  </w:r>
                  <w:r>
                    <w:rPr>
                      <w:b w:val="0"/>
                      <w:bCs w:val="0"/>
                      <w:u w:val="none"/>
                      <w:vertAlign w:val="subscript"/>
                    </w:rPr>
                    <w:t>2</w:t>
                  </w:r>
                  <w:r>
                    <w:rPr>
                      <w:b w:val="0"/>
                      <w:bCs w:val="0"/>
                      <w:u w:val="none"/>
                    </w:rPr>
                    <w:t>）含量，</w:t>
                  </w:r>
                  <w:r>
                    <w:rPr>
                      <w:rFonts w:hint="default"/>
                      <w:b w:val="0"/>
                      <w:bCs w:val="0"/>
                      <w:u w:val="none"/>
                    </w:rPr>
                    <w:t>φ/%         ≥</w:t>
                  </w:r>
                </w:p>
              </w:tc>
              <w:tc>
                <w:tcPr>
                  <w:tcW w:w="3544" w:type="dxa"/>
                  <w:tcBorders>
                    <w:tl2br w:val="nil"/>
                    <w:tr2bl w:val="nil"/>
                  </w:tcBorders>
                  <w:shd w:val="clear" w:color="auto" w:fill="auto"/>
                  <w:vAlign w:val="center"/>
                </w:tcPr>
                <w:p w14:paraId="13E42A6B">
                  <w:pPr>
                    <w:pStyle w:val="45"/>
                    <w:rPr>
                      <w:rFonts w:hint="default"/>
                      <w:b w:val="0"/>
                      <w:bCs w:val="0"/>
                      <w:u w:val="none"/>
                    </w:rPr>
                  </w:pPr>
                  <w:r>
                    <w:rPr>
                      <w:rFonts w:hint="default"/>
                      <w:b w:val="0"/>
                      <w:bCs w:val="0"/>
                      <w:u w:val="none"/>
                    </w:rPr>
                    <w:t>99.9</w:t>
                  </w:r>
                </w:p>
              </w:tc>
            </w:tr>
            <w:tr w14:paraId="56B257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5" w:type="dxa"/>
                  <w:tcBorders>
                    <w:tl2br w:val="nil"/>
                    <w:tr2bl w:val="nil"/>
                  </w:tcBorders>
                  <w:shd w:val="clear" w:color="auto" w:fill="auto"/>
                  <w:vAlign w:val="bottom"/>
                </w:tcPr>
                <w:p w14:paraId="220EF1AF">
                  <w:pPr>
                    <w:pStyle w:val="45"/>
                    <w:rPr>
                      <w:rFonts w:hint="default"/>
                      <w:b w:val="0"/>
                      <w:bCs w:val="0"/>
                      <w:u w:val="none"/>
                    </w:rPr>
                  </w:pPr>
                  <w:r>
                    <w:rPr>
                      <w:b w:val="0"/>
                      <w:bCs w:val="0"/>
                      <w:u w:val="none"/>
                    </w:rPr>
                    <w:t>水分</w:t>
                  </w:r>
                  <w:r>
                    <w:rPr>
                      <w:rFonts w:hint="default"/>
                      <w:b w:val="0"/>
                      <w:bCs w:val="0"/>
                      <w:u w:val="none"/>
                    </w:rPr>
                    <w:t>/</w:t>
                  </w:r>
                  <w:r>
                    <w:rPr>
                      <w:b w:val="0"/>
                      <w:bCs w:val="0"/>
                      <w:u w:val="none"/>
                    </w:rPr>
                    <w:t>（</w:t>
                  </w:r>
                  <w:r>
                    <w:rPr>
                      <w:rFonts w:hint="default"/>
                      <w:b w:val="0"/>
                      <w:bCs w:val="0"/>
                      <w:u w:val="none"/>
                    </w:rPr>
                    <w:t>μL/L</w:t>
                  </w:r>
                  <w:r>
                    <w:rPr>
                      <w:b w:val="0"/>
                      <w:bCs w:val="0"/>
                      <w:u w:val="none"/>
                    </w:rPr>
                    <w:t>）</w:t>
                  </w:r>
                  <w:r>
                    <w:rPr>
                      <w:rFonts w:hint="default"/>
                      <w:b w:val="0"/>
                      <w:bCs w:val="0"/>
                      <w:u w:val="none"/>
                    </w:rPr>
                    <w:t xml:space="preserve">                     ≤</w:t>
                  </w:r>
                </w:p>
              </w:tc>
              <w:tc>
                <w:tcPr>
                  <w:tcW w:w="3544" w:type="dxa"/>
                  <w:tcBorders>
                    <w:tl2br w:val="nil"/>
                    <w:tr2bl w:val="nil"/>
                  </w:tcBorders>
                  <w:shd w:val="clear" w:color="auto" w:fill="auto"/>
                  <w:vAlign w:val="center"/>
                </w:tcPr>
                <w:p w14:paraId="325A8BCF">
                  <w:pPr>
                    <w:pStyle w:val="45"/>
                    <w:rPr>
                      <w:rFonts w:hint="default"/>
                      <w:b w:val="0"/>
                      <w:bCs w:val="0"/>
                      <w:u w:val="none"/>
                    </w:rPr>
                  </w:pPr>
                  <w:r>
                    <w:rPr>
                      <w:rFonts w:hint="default"/>
                      <w:b w:val="0"/>
                      <w:bCs w:val="0"/>
                      <w:u w:val="none"/>
                    </w:rPr>
                    <w:t>20</w:t>
                  </w:r>
                </w:p>
              </w:tc>
            </w:tr>
            <w:tr w14:paraId="465490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5" w:type="dxa"/>
                  <w:tcBorders>
                    <w:tl2br w:val="nil"/>
                    <w:tr2bl w:val="nil"/>
                  </w:tcBorders>
                  <w:shd w:val="clear" w:color="auto" w:fill="auto"/>
                  <w:vAlign w:val="center"/>
                </w:tcPr>
                <w:p w14:paraId="12DD022C">
                  <w:pPr>
                    <w:pStyle w:val="45"/>
                    <w:rPr>
                      <w:rFonts w:hint="default"/>
                      <w:b w:val="0"/>
                      <w:bCs w:val="0"/>
                      <w:u w:val="none"/>
                    </w:rPr>
                  </w:pPr>
                  <w:r>
                    <w:rPr>
                      <w:b w:val="0"/>
                      <w:bCs w:val="0"/>
                      <w:u w:val="none"/>
                    </w:rPr>
                    <w:t>氧（O</w:t>
                  </w:r>
                  <w:r>
                    <w:rPr>
                      <w:b w:val="0"/>
                      <w:bCs w:val="0"/>
                      <w:u w:val="none"/>
                      <w:vertAlign w:val="subscript"/>
                    </w:rPr>
                    <w:t>2</w:t>
                  </w:r>
                  <w:r>
                    <w:rPr>
                      <w:b w:val="0"/>
                      <w:bCs w:val="0"/>
                      <w:u w:val="none"/>
                    </w:rPr>
                    <w:t>）</w:t>
                  </w:r>
                  <w:r>
                    <w:rPr>
                      <w:rFonts w:hint="default"/>
                      <w:b w:val="0"/>
                      <w:bCs w:val="0"/>
                      <w:u w:val="none"/>
                    </w:rPr>
                    <w:t>/</w:t>
                  </w:r>
                  <w:r>
                    <w:rPr>
                      <w:b w:val="0"/>
                      <w:bCs w:val="0"/>
                      <w:u w:val="none"/>
                    </w:rPr>
                    <w:t>（</w:t>
                  </w:r>
                  <w:r>
                    <w:rPr>
                      <w:rFonts w:hint="default"/>
                      <w:b w:val="0"/>
                      <w:bCs w:val="0"/>
                      <w:u w:val="none"/>
                    </w:rPr>
                    <w:t>μL/L</w:t>
                  </w:r>
                  <w:r>
                    <w:rPr>
                      <w:b w:val="0"/>
                      <w:bCs w:val="0"/>
                      <w:u w:val="none"/>
                    </w:rPr>
                    <w:t>）</w:t>
                  </w:r>
                  <w:r>
                    <w:rPr>
                      <w:rFonts w:hint="default"/>
                      <w:b w:val="0"/>
                      <w:bCs w:val="0"/>
                      <w:u w:val="none"/>
                    </w:rPr>
                    <w:t xml:space="preserve">                  ≤</w:t>
                  </w:r>
                </w:p>
              </w:tc>
              <w:tc>
                <w:tcPr>
                  <w:tcW w:w="3544" w:type="dxa"/>
                  <w:tcBorders>
                    <w:tl2br w:val="nil"/>
                    <w:tr2bl w:val="nil"/>
                  </w:tcBorders>
                  <w:shd w:val="clear" w:color="auto" w:fill="auto"/>
                  <w:vAlign w:val="center"/>
                </w:tcPr>
                <w:p w14:paraId="43A905E9">
                  <w:pPr>
                    <w:pStyle w:val="45"/>
                    <w:rPr>
                      <w:rFonts w:hint="default"/>
                      <w:b w:val="0"/>
                      <w:bCs w:val="0"/>
                      <w:u w:val="none"/>
                    </w:rPr>
                  </w:pPr>
                  <w:r>
                    <w:rPr>
                      <w:rFonts w:hint="default"/>
                      <w:b w:val="0"/>
                      <w:bCs w:val="0"/>
                      <w:u w:val="none"/>
                    </w:rPr>
                    <w:t>30</w:t>
                  </w:r>
                </w:p>
              </w:tc>
            </w:tr>
            <w:tr w14:paraId="00094A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5" w:type="dxa"/>
                  <w:tcBorders>
                    <w:tl2br w:val="nil"/>
                    <w:tr2bl w:val="nil"/>
                  </w:tcBorders>
                  <w:shd w:val="clear" w:color="auto" w:fill="auto"/>
                  <w:vAlign w:val="bottom"/>
                </w:tcPr>
                <w:p w14:paraId="35426FDE">
                  <w:pPr>
                    <w:pStyle w:val="45"/>
                    <w:rPr>
                      <w:rFonts w:hint="default"/>
                      <w:b w:val="0"/>
                      <w:bCs w:val="0"/>
                      <w:u w:val="none"/>
                    </w:rPr>
                  </w:pPr>
                  <w:r>
                    <w:rPr>
                      <w:b w:val="0"/>
                      <w:bCs w:val="0"/>
                      <w:u w:val="none"/>
                    </w:rPr>
                    <w:t>一氧化碳（CO）</w:t>
                  </w:r>
                  <w:r>
                    <w:rPr>
                      <w:rFonts w:hint="default"/>
                      <w:b w:val="0"/>
                      <w:bCs w:val="0"/>
                      <w:u w:val="none"/>
                    </w:rPr>
                    <w:t>/</w:t>
                  </w:r>
                  <w:r>
                    <w:rPr>
                      <w:b w:val="0"/>
                      <w:bCs w:val="0"/>
                      <w:u w:val="none"/>
                    </w:rPr>
                    <w:t>（</w:t>
                  </w:r>
                  <w:r>
                    <w:rPr>
                      <w:rFonts w:hint="default"/>
                      <w:b w:val="0"/>
                      <w:bCs w:val="0"/>
                      <w:u w:val="none"/>
                    </w:rPr>
                    <w:t>μL/L</w:t>
                  </w:r>
                  <w:r>
                    <w:rPr>
                      <w:b w:val="0"/>
                      <w:bCs w:val="0"/>
                      <w:u w:val="none"/>
                    </w:rPr>
                    <w:t>）</w:t>
                  </w:r>
                  <w:r>
                    <w:rPr>
                      <w:rFonts w:hint="default"/>
                      <w:b w:val="0"/>
                      <w:bCs w:val="0"/>
                      <w:u w:val="none"/>
                    </w:rPr>
                    <w:t xml:space="preserve">             ≤</w:t>
                  </w:r>
                </w:p>
              </w:tc>
              <w:tc>
                <w:tcPr>
                  <w:tcW w:w="3544" w:type="dxa"/>
                  <w:tcBorders>
                    <w:tl2br w:val="nil"/>
                    <w:tr2bl w:val="nil"/>
                  </w:tcBorders>
                  <w:shd w:val="clear" w:color="auto" w:fill="auto"/>
                  <w:vAlign w:val="center"/>
                </w:tcPr>
                <w:p w14:paraId="50CA681F">
                  <w:pPr>
                    <w:pStyle w:val="45"/>
                    <w:rPr>
                      <w:rFonts w:hint="default"/>
                      <w:b w:val="0"/>
                      <w:bCs w:val="0"/>
                      <w:u w:val="none"/>
                    </w:rPr>
                  </w:pPr>
                  <w:r>
                    <w:rPr>
                      <w:rFonts w:hint="default"/>
                      <w:b w:val="0"/>
                      <w:bCs w:val="0"/>
                      <w:u w:val="none"/>
                    </w:rPr>
                    <w:t>10</w:t>
                  </w:r>
                </w:p>
              </w:tc>
            </w:tr>
            <w:tr w14:paraId="72DB25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5" w:type="dxa"/>
                  <w:tcBorders>
                    <w:tl2br w:val="nil"/>
                    <w:tr2bl w:val="nil"/>
                  </w:tcBorders>
                  <w:shd w:val="clear" w:color="auto" w:fill="auto"/>
                  <w:vAlign w:val="bottom"/>
                </w:tcPr>
                <w:p w14:paraId="7F723CAF">
                  <w:pPr>
                    <w:pStyle w:val="45"/>
                    <w:rPr>
                      <w:rFonts w:hint="default"/>
                      <w:b w:val="0"/>
                      <w:bCs w:val="0"/>
                      <w:u w:val="none"/>
                    </w:rPr>
                  </w:pPr>
                  <w:r>
                    <w:rPr>
                      <w:b w:val="0"/>
                      <w:bCs w:val="0"/>
                      <w:u w:val="none"/>
                    </w:rPr>
                    <w:t>油脂/（mg/kg）                     ≤</w:t>
                  </w:r>
                </w:p>
              </w:tc>
              <w:tc>
                <w:tcPr>
                  <w:tcW w:w="3544" w:type="dxa"/>
                  <w:tcBorders>
                    <w:tl2br w:val="nil"/>
                    <w:tr2bl w:val="nil"/>
                  </w:tcBorders>
                  <w:shd w:val="clear" w:color="auto" w:fill="auto"/>
                  <w:vAlign w:val="center"/>
                </w:tcPr>
                <w:p w14:paraId="5C8EF1B2">
                  <w:pPr>
                    <w:pStyle w:val="45"/>
                    <w:rPr>
                      <w:rFonts w:hint="default"/>
                      <w:b w:val="0"/>
                      <w:bCs w:val="0"/>
                      <w:u w:val="none"/>
                    </w:rPr>
                  </w:pPr>
                  <w:r>
                    <w:rPr>
                      <w:rFonts w:hint="default"/>
                      <w:b w:val="0"/>
                      <w:bCs w:val="0"/>
                      <w:u w:val="none"/>
                    </w:rPr>
                    <w:t>5</w:t>
                  </w:r>
                </w:p>
              </w:tc>
            </w:tr>
            <w:tr w14:paraId="6BF6F5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5" w:type="dxa"/>
                  <w:tcBorders>
                    <w:tl2br w:val="nil"/>
                    <w:tr2bl w:val="nil"/>
                  </w:tcBorders>
                  <w:shd w:val="clear" w:color="auto" w:fill="auto"/>
                  <w:vAlign w:val="center"/>
                </w:tcPr>
                <w:p w14:paraId="5C342EC1">
                  <w:pPr>
                    <w:pStyle w:val="45"/>
                    <w:rPr>
                      <w:rFonts w:hint="default"/>
                      <w:b w:val="0"/>
                      <w:bCs w:val="0"/>
                      <w:u w:val="none"/>
                    </w:rPr>
                  </w:pPr>
                  <w:r>
                    <w:rPr>
                      <w:b w:val="0"/>
                      <w:bCs w:val="0"/>
                      <w:u w:val="none"/>
                    </w:rPr>
                    <w:t>总硫（除</w:t>
                  </w:r>
                  <w:r>
                    <w:rPr>
                      <w:rFonts w:hint="default"/>
                      <w:b w:val="0"/>
                      <w:bCs w:val="0"/>
                      <w:u w:val="none"/>
                    </w:rPr>
                    <w:t>SO</w:t>
                  </w:r>
                  <w:r>
                    <w:rPr>
                      <w:b w:val="0"/>
                      <w:bCs w:val="0"/>
                      <w:u w:val="none"/>
                      <w:vertAlign w:val="subscript"/>
                    </w:rPr>
                    <w:t>2</w:t>
                  </w:r>
                  <w:r>
                    <w:rPr>
                      <w:b w:val="0"/>
                      <w:bCs w:val="0"/>
                      <w:u w:val="none"/>
                    </w:rPr>
                    <w:t>外，以</w:t>
                  </w:r>
                  <w:r>
                    <w:rPr>
                      <w:rFonts w:hint="default"/>
                      <w:b w:val="0"/>
                      <w:bCs w:val="0"/>
                      <w:u w:val="none"/>
                    </w:rPr>
                    <w:t>S</w:t>
                  </w:r>
                  <w:r>
                    <w:rPr>
                      <w:b w:val="0"/>
                      <w:bCs w:val="0"/>
                      <w:u w:val="none"/>
                    </w:rPr>
                    <w:t>计）</w:t>
                  </w:r>
                  <w:r>
                    <w:rPr>
                      <w:rFonts w:hint="default"/>
                      <w:b w:val="0"/>
                      <w:bCs w:val="0"/>
                      <w:u w:val="none"/>
                    </w:rPr>
                    <w:t>/</w:t>
                  </w:r>
                  <w:r>
                    <w:rPr>
                      <w:b w:val="0"/>
                      <w:bCs w:val="0"/>
                      <w:u w:val="none"/>
                    </w:rPr>
                    <w:t>（</w:t>
                  </w:r>
                  <w:r>
                    <w:rPr>
                      <w:rFonts w:hint="default"/>
                      <w:b w:val="0"/>
                      <w:bCs w:val="0"/>
                      <w:u w:val="none"/>
                    </w:rPr>
                    <w:t>μL/L</w:t>
                  </w:r>
                  <w:r>
                    <w:rPr>
                      <w:b w:val="0"/>
                      <w:bCs w:val="0"/>
                      <w:u w:val="none"/>
                    </w:rPr>
                    <w:t>）</w:t>
                  </w:r>
                  <w:r>
                    <w:rPr>
                      <w:rFonts w:hint="default"/>
                      <w:b w:val="0"/>
                      <w:bCs w:val="0"/>
                      <w:u w:val="none"/>
                    </w:rPr>
                    <w:t xml:space="preserve">    ≤</w:t>
                  </w:r>
                </w:p>
              </w:tc>
              <w:tc>
                <w:tcPr>
                  <w:tcW w:w="3544" w:type="dxa"/>
                  <w:tcBorders>
                    <w:tl2br w:val="nil"/>
                    <w:tr2bl w:val="nil"/>
                  </w:tcBorders>
                  <w:shd w:val="clear" w:color="auto" w:fill="auto"/>
                  <w:vAlign w:val="center"/>
                </w:tcPr>
                <w:p w14:paraId="58F28C23">
                  <w:pPr>
                    <w:pStyle w:val="45"/>
                    <w:rPr>
                      <w:rFonts w:hint="default"/>
                      <w:b w:val="0"/>
                      <w:bCs w:val="0"/>
                      <w:u w:val="none"/>
                    </w:rPr>
                  </w:pPr>
                  <w:r>
                    <w:rPr>
                      <w:rFonts w:hint="default"/>
                      <w:b w:val="0"/>
                      <w:bCs w:val="0"/>
                      <w:u w:val="none"/>
                    </w:rPr>
                    <w:t>0.1</w:t>
                  </w:r>
                </w:p>
              </w:tc>
            </w:tr>
            <w:tr w14:paraId="3E6344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5" w:type="dxa"/>
                  <w:tcBorders>
                    <w:tl2br w:val="nil"/>
                    <w:tr2bl w:val="nil"/>
                  </w:tcBorders>
                  <w:shd w:val="clear" w:color="auto" w:fill="auto"/>
                  <w:vAlign w:val="center"/>
                </w:tcPr>
                <w:p w14:paraId="7C305BD5">
                  <w:pPr>
                    <w:pStyle w:val="45"/>
                    <w:rPr>
                      <w:rFonts w:hint="default"/>
                      <w:b w:val="0"/>
                      <w:bCs w:val="0"/>
                      <w:u w:val="none"/>
                    </w:rPr>
                  </w:pPr>
                  <w:r>
                    <w:rPr>
                      <w:b w:val="0"/>
                      <w:bCs w:val="0"/>
                      <w:u w:val="none"/>
                    </w:rPr>
                    <w:t>总挥发烃（以</w:t>
                  </w:r>
                  <w:r>
                    <w:rPr>
                      <w:rFonts w:hint="default"/>
                      <w:b w:val="0"/>
                      <w:bCs w:val="0"/>
                      <w:u w:val="none"/>
                    </w:rPr>
                    <w:t>CH</w:t>
                  </w:r>
                  <w:r>
                    <w:rPr>
                      <w:b w:val="0"/>
                      <w:bCs w:val="0"/>
                      <w:u w:val="none"/>
                      <w:vertAlign w:val="subscript"/>
                    </w:rPr>
                    <w:t>4</w:t>
                  </w:r>
                  <w:r>
                    <w:rPr>
                      <w:b w:val="0"/>
                      <w:bCs w:val="0"/>
                      <w:u w:val="none"/>
                    </w:rPr>
                    <w:t>计）</w:t>
                  </w:r>
                  <w:r>
                    <w:rPr>
                      <w:rFonts w:hint="default"/>
                      <w:b w:val="0"/>
                      <w:bCs w:val="0"/>
                      <w:u w:val="none"/>
                    </w:rPr>
                    <w:t>/</w:t>
                  </w:r>
                  <w:r>
                    <w:rPr>
                      <w:b w:val="0"/>
                      <w:bCs w:val="0"/>
                      <w:u w:val="none"/>
                    </w:rPr>
                    <w:t>（</w:t>
                  </w:r>
                  <w:r>
                    <w:rPr>
                      <w:rFonts w:hint="default"/>
                      <w:b w:val="0"/>
                      <w:bCs w:val="0"/>
                      <w:u w:val="none"/>
                    </w:rPr>
                    <w:t>μL/L</w:t>
                  </w:r>
                  <w:r>
                    <w:rPr>
                      <w:b w:val="0"/>
                      <w:bCs w:val="0"/>
                      <w:u w:val="none"/>
                    </w:rPr>
                    <w:t>）</w:t>
                  </w:r>
                  <w:r>
                    <w:rPr>
                      <w:rFonts w:hint="default"/>
                      <w:b w:val="0"/>
                      <w:bCs w:val="0"/>
                      <w:u w:val="none"/>
                    </w:rPr>
                    <w:t xml:space="preserve">       ≤</w:t>
                  </w:r>
                </w:p>
              </w:tc>
              <w:tc>
                <w:tcPr>
                  <w:tcW w:w="3544" w:type="dxa"/>
                  <w:tcBorders>
                    <w:tl2br w:val="nil"/>
                    <w:tr2bl w:val="nil"/>
                  </w:tcBorders>
                  <w:shd w:val="clear" w:color="auto" w:fill="auto"/>
                  <w:vAlign w:val="center"/>
                </w:tcPr>
                <w:p w14:paraId="663FF33C">
                  <w:pPr>
                    <w:pStyle w:val="45"/>
                    <w:rPr>
                      <w:rFonts w:hint="default"/>
                      <w:b w:val="0"/>
                      <w:bCs w:val="0"/>
                      <w:u w:val="none"/>
                    </w:rPr>
                  </w:pPr>
                  <w:r>
                    <w:rPr>
                      <w:rFonts w:hint="default"/>
                      <w:b w:val="0"/>
                      <w:bCs w:val="0"/>
                      <w:u w:val="none"/>
                    </w:rPr>
                    <w:t>50</w:t>
                  </w:r>
                  <w:r>
                    <w:rPr>
                      <w:b w:val="0"/>
                      <w:bCs w:val="0"/>
                      <w:u w:val="none"/>
                    </w:rPr>
                    <w:t>（其中非甲烷烃</w:t>
                  </w:r>
                  <w:r>
                    <w:rPr>
                      <w:rFonts w:hint="default"/>
                      <w:b w:val="0"/>
                      <w:bCs w:val="0"/>
                      <w:u w:val="none"/>
                    </w:rPr>
                    <w:t>≤20</w:t>
                  </w:r>
                  <w:r>
                    <w:rPr>
                      <w:b w:val="0"/>
                      <w:bCs w:val="0"/>
                      <w:u w:val="none"/>
                    </w:rPr>
                    <w:t>）</w:t>
                  </w:r>
                </w:p>
              </w:tc>
            </w:tr>
            <w:tr w14:paraId="673BB36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5" w:type="dxa"/>
                  <w:tcBorders>
                    <w:tl2br w:val="nil"/>
                    <w:tr2bl w:val="nil"/>
                  </w:tcBorders>
                  <w:shd w:val="clear" w:color="auto" w:fill="auto"/>
                  <w:vAlign w:val="center"/>
                </w:tcPr>
                <w:p w14:paraId="0149A374">
                  <w:pPr>
                    <w:pStyle w:val="45"/>
                    <w:rPr>
                      <w:rFonts w:hint="default"/>
                      <w:b w:val="0"/>
                      <w:bCs w:val="0"/>
                      <w:u w:val="none"/>
                    </w:rPr>
                  </w:pPr>
                  <w:r>
                    <w:rPr>
                      <w:b w:val="0"/>
                      <w:bCs w:val="0"/>
                      <w:u w:val="none"/>
                    </w:rPr>
                    <w:t>甲醇（</w:t>
                  </w:r>
                  <w:r>
                    <w:rPr>
                      <w:rFonts w:hint="default"/>
                      <w:b w:val="0"/>
                      <w:bCs w:val="0"/>
                      <w:u w:val="none"/>
                    </w:rPr>
                    <w:t>CH</w:t>
                  </w:r>
                  <w:r>
                    <w:rPr>
                      <w:b w:val="0"/>
                      <w:bCs w:val="0"/>
                      <w:u w:val="none"/>
                      <w:vertAlign w:val="subscript"/>
                    </w:rPr>
                    <w:t>3</w:t>
                  </w:r>
                  <w:r>
                    <w:rPr>
                      <w:rFonts w:hint="default"/>
                      <w:b w:val="0"/>
                      <w:bCs w:val="0"/>
                      <w:u w:val="none"/>
                    </w:rPr>
                    <w:t>OH</w:t>
                  </w:r>
                  <w:r>
                    <w:rPr>
                      <w:b w:val="0"/>
                      <w:bCs w:val="0"/>
                      <w:u w:val="none"/>
                    </w:rPr>
                    <w:t>）</w:t>
                  </w:r>
                  <w:r>
                    <w:rPr>
                      <w:rFonts w:hint="default"/>
                      <w:b w:val="0"/>
                      <w:bCs w:val="0"/>
                      <w:u w:val="none"/>
                    </w:rPr>
                    <w:t>/</w:t>
                  </w:r>
                  <w:r>
                    <w:rPr>
                      <w:b w:val="0"/>
                      <w:bCs w:val="0"/>
                      <w:u w:val="none"/>
                    </w:rPr>
                    <w:t>（</w:t>
                  </w:r>
                  <w:r>
                    <w:rPr>
                      <w:rFonts w:hint="default"/>
                      <w:b w:val="0"/>
                      <w:bCs w:val="0"/>
                      <w:u w:val="none"/>
                    </w:rPr>
                    <w:t>μL/L</w:t>
                  </w:r>
                  <w:r>
                    <w:rPr>
                      <w:b w:val="0"/>
                      <w:bCs w:val="0"/>
                      <w:u w:val="none"/>
                    </w:rPr>
                    <w:t>）</w:t>
                  </w:r>
                  <w:r>
                    <w:rPr>
                      <w:rFonts w:hint="default"/>
                      <w:b w:val="0"/>
                      <w:bCs w:val="0"/>
                      <w:u w:val="none"/>
                    </w:rPr>
                    <w:t xml:space="preserve">             ≤</w:t>
                  </w:r>
                </w:p>
              </w:tc>
              <w:tc>
                <w:tcPr>
                  <w:tcW w:w="3544" w:type="dxa"/>
                  <w:tcBorders>
                    <w:tl2br w:val="nil"/>
                    <w:tr2bl w:val="nil"/>
                  </w:tcBorders>
                  <w:shd w:val="clear" w:color="auto" w:fill="auto"/>
                  <w:vAlign w:val="center"/>
                </w:tcPr>
                <w:p w14:paraId="01103E89">
                  <w:pPr>
                    <w:pStyle w:val="45"/>
                    <w:rPr>
                      <w:rFonts w:hint="default"/>
                      <w:b w:val="0"/>
                      <w:bCs w:val="0"/>
                      <w:u w:val="none"/>
                    </w:rPr>
                  </w:pPr>
                  <w:r>
                    <w:rPr>
                      <w:rFonts w:hint="default"/>
                      <w:b w:val="0"/>
                      <w:bCs w:val="0"/>
                      <w:u w:val="none"/>
                    </w:rPr>
                    <w:t>10</w:t>
                  </w:r>
                </w:p>
              </w:tc>
            </w:tr>
            <w:tr w14:paraId="7DDFBA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95" w:type="dxa"/>
                  <w:tcBorders>
                    <w:tl2br w:val="nil"/>
                    <w:tr2bl w:val="nil"/>
                  </w:tcBorders>
                  <w:shd w:val="clear" w:color="auto" w:fill="auto"/>
                  <w:vAlign w:val="center"/>
                </w:tcPr>
                <w:p w14:paraId="785DA2FB">
                  <w:pPr>
                    <w:pStyle w:val="45"/>
                    <w:rPr>
                      <w:rFonts w:hint="default"/>
                      <w:b w:val="0"/>
                      <w:bCs w:val="0"/>
                      <w:u w:val="none"/>
                    </w:rPr>
                  </w:pPr>
                  <w:r>
                    <w:rPr>
                      <w:b w:val="0"/>
                      <w:bCs w:val="0"/>
                      <w:u w:val="none"/>
                    </w:rPr>
                    <w:t>总杂质含量（体积分数）</w:t>
                  </w:r>
                  <w:r>
                    <w:rPr>
                      <w:rFonts w:hint="default"/>
                      <w:b w:val="0"/>
                      <w:bCs w:val="0"/>
                      <w:u w:val="none"/>
                    </w:rPr>
                    <w:t>/10</w:t>
                  </w:r>
                  <w:r>
                    <w:rPr>
                      <w:rFonts w:hint="default"/>
                      <w:b w:val="0"/>
                      <w:bCs w:val="0"/>
                      <w:u w:val="none"/>
                      <w:vertAlign w:val="superscript"/>
                    </w:rPr>
                    <w:t>-6</w:t>
                  </w:r>
                  <w:r>
                    <w:rPr>
                      <w:rFonts w:hint="default"/>
                      <w:b w:val="0"/>
                      <w:bCs w:val="0"/>
                      <w:u w:val="none"/>
                    </w:rPr>
                    <w:t xml:space="preserve">             ≤</w:t>
                  </w:r>
                </w:p>
              </w:tc>
              <w:tc>
                <w:tcPr>
                  <w:tcW w:w="3544" w:type="dxa"/>
                  <w:tcBorders>
                    <w:tl2br w:val="nil"/>
                    <w:tr2bl w:val="nil"/>
                  </w:tcBorders>
                  <w:shd w:val="clear" w:color="auto" w:fill="auto"/>
                  <w:vAlign w:val="center"/>
                </w:tcPr>
                <w:p w14:paraId="3B4269C0">
                  <w:pPr>
                    <w:pStyle w:val="45"/>
                    <w:rPr>
                      <w:rFonts w:hint="default"/>
                      <w:b w:val="0"/>
                      <w:bCs w:val="0"/>
                      <w:u w:val="none"/>
                    </w:rPr>
                  </w:pPr>
                  <w:r>
                    <w:rPr>
                      <w:rFonts w:hint="default"/>
                      <w:b w:val="0"/>
                      <w:bCs w:val="0"/>
                      <w:u w:val="none"/>
                    </w:rPr>
                    <w:t>0.6</w:t>
                  </w:r>
                </w:p>
              </w:tc>
            </w:tr>
          </w:tbl>
          <w:p w14:paraId="0AF8F861">
            <w:pPr>
              <w:pStyle w:val="5"/>
              <w:ind w:firstLine="422"/>
              <w:rPr>
                <w:rFonts w:hint="default"/>
                <w:b/>
                <w:bCs/>
                <w:u w:val="single"/>
              </w:rPr>
            </w:pPr>
            <w:r>
              <w:rPr>
                <w:b/>
                <w:bCs/>
                <w:u w:val="single"/>
              </w:rPr>
              <w:t>本项目超纯氨满足《超纯氨》（T∕CCGA 30001-2019）要求，具体见表12；电子级氨水及工业级氨水满足《工业氨水》（HG/T 5353-2018）要求，具体见表13。</w:t>
            </w:r>
          </w:p>
          <w:p w14:paraId="0C5D4D86">
            <w:pPr>
              <w:pStyle w:val="44"/>
              <w:numPr>
                <w:ilvl w:val="0"/>
                <w:numId w:val="2"/>
              </w:numPr>
              <w:rPr>
                <w:rFonts w:hint="default"/>
                <w:b/>
                <w:bCs/>
                <w:u w:val="single"/>
              </w:rPr>
            </w:pPr>
            <w:r>
              <w:rPr>
                <w:b/>
                <w:bCs/>
                <w:u w:val="single"/>
              </w:rPr>
              <w:t xml:space="preserve">  超纯氨质量指标</w:t>
            </w:r>
          </w:p>
          <w:tbl>
            <w:tblPr>
              <w:tblStyle w:val="2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93"/>
              <w:gridCol w:w="2973"/>
            </w:tblGrid>
            <w:tr w14:paraId="2865C7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3" w:type="dxa"/>
                  <w:tcBorders>
                    <w:tl2br w:val="nil"/>
                    <w:tr2bl w:val="nil"/>
                  </w:tcBorders>
                  <w:shd w:val="clear" w:color="auto" w:fill="auto"/>
                  <w:vAlign w:val="center"/>
                </w:tcPr>
                <w:p w14:paraId="7273CE91">
                  <w:pPr>
                    <w:pStyle w:val="45"/>
                    <w:rPr>
                      <w:rFonts w:hint="default"/>
                      <w:b/>
                      <w:bCs/>
                      <w:u w:val="single"/>
                    </w:rPr>
                  </w:pPr>
                  <w:r>
                    <w:rPr>
                      <w:b/>
                      <w:bCs/>
                      <w:u w:val="single"/>
                    </w:rPr>
                    <w:t>项目</w:t>
                  </w:r>
                </w:p>
              </w:tc>
              <w:tc>
                <w:tcPr>
                  <w:tcW w:w="2973" w:type="dxa"/>
                  <w:tcBorders>
                    <w:tl2br w:val="nil"/>
                    <w:tr2bl w:val="nil"/>
                  </w:tcBorders>
                  <w:shd w:val="clear" w:color="auto" w:fill="auto"/>
                  <w:vAlign w:val="center"/>
                </w:tcPr>
                <w:p w14:paraId="5FC8760D">
                  <w:pPr>
                    <w:pStyle w:val="45"/>
                    <w:rPr>
                      <w:rFonts w:hint="default"/>
                      <w:b/>
                      <w:bCs/>
                      <w:u w:val="single"/>
                    </w:rPr>
                  </w:pPr>
                  <w:r>
                    <w:rPr>
                      <w:b/>
                      <w:bCs/>
                      <w:u w:val="single"/>
                    </w:rPr>
                    <w:t>指标</w:t>
                  </w:r>
                </w:p>
              </w:tc>
            </w:tr>
            <w:tr w14:paraId="685C3F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3" w:type="dxa"/>
                  <w:tcBorders>
                    <w:tl2br w:val="nil"/>
                    <w:tr2bl w:val="nil"/>
                  </w:tcBorders>
                  <w:shd w:val="clear" w:color="auto" w:fill="auto"/>
                  <w:vAlign w:val="bottom"/>
                </w:tcPr>
                <w:p w14:paraId="63AE358C">
                  <w:pPr>
                    <w:pStyle w:val="45"/>
                    <w:rPr>
                      <w:rFonts w:hint="default"/>
                      <w:b/>
                      <w:bCs/>
                      <w:u w:val="single"/>
                    </w:rPr>
                  </w:pPr>
                  <w:r>
                    <w:rPr>
                      <w:rFonts w:hint="default"/>
                      <w:b/>
                      <w:bCs/>
                      <w:u w:val="single"/>
                    </w:rPr>
                    <w:t>氨纯度（体积分数）/10</w:t>
                  </w:r>
                  <w:r>
                    <w:rPr>
                      <w:rFonts w:hint="default"/>
                      <w:b/>
                      <w:bCs/>
                      <w:u w:val="single"/>
                      <w:vertAlign w:val="superscript"/>
                    </w:rPr>
                    <w:t>-2</w:t>
                  </w:r>
                  <w:r>
                    <w:rPr>
                      <w:rFonts w:hint="default"/>
                      <w:b/>
                      <w:bCs/>
                      <w:u w:val="single"/>
                    </w:rPr>
                    <w:t xml:space="preserve"> </w:t>
                  </w:r>
                </w:p>
              </w:tc>
              <w:tc>
                <w:tcPr>
                  <w:tcW w:w="2973" w:type="dxa"/>
                  <w:tcBorders>
                    <w:tl2br w:val="nil"/>
                    <w:tr2bl w:val="nil"/>
                  </w:tcBorders>
                  <w:shd w:val="clear" w:color="auto" w:fill="auto"/>
                  <w:vAlign w:val="center"/>
                </w:tcPr>
                <w:p w14:paraId="2D49194C">
                  <w:pPr>
                    <w:pStyle w:val="45"/>
                    <w:rPr>
                      <w:rFonts w:hint="default"/>
                      <w:b/>
                      <w:bCs/>
                      <w:u w:val="single"/>
                    </w:rPr>
                  </w:pPr>
                  <w:r>
                    <w:rPr>
                      <w:rFonts w:hint="default"/>
                      <w:b/>
                      <w:bCs/>
                      <w:u w:val="single"/>
                    </w:rPr>
                    <w:t>≥99.9999</w:t>
                  </w:r>
                  <w:r>
                    <w:rPr>
                      <w:b/>
                      <w:bCs/>
                      <w:u w:val="single"/>
                    </w:rPr>
                    <w:t>9</w:t>
                  </w:r>
                </w:p>
              </w:tc>
            </w:tr>
            <w:tr w14:paraId="16C26C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3" w:type="dxa"/>
                  <w:tcBorders>
                    <w:tl2br w:val="nil"/>
                    <w:tr2bl w:val="nil"/>
                  </w:tcBorders>
                  <w:shd w:val="clear" w:color="auto" w:fill="auto"/>
                  <w:vAlign w:val="bottom"/>
                </w:tcPr>
                <w:p w14:paraId="35FC982B">
                  <w:pPr>
                    <w:pStyle w:val="45"/>
                    <w:rPr>
                      <w:rFonts w:hint="default"/>
                      <w:b/>
                      <w:bCs/>
                      <w:u w:val="single"/>
                    </w:rPr>
                  </w:pPr>
                  <w:r>
                    <w:rPr>
                      <w:rFonts w:hint="default"/>
                      <w:b/>
                      <w:bCs/>
                      <w:u w:val="single"/>
                    </w:rPr>
                    <w:t>氧</w:t>
                  </w:r>
                  <w:r>
                    <w:rPr>
                      <w:b/>
                      <w:bCs/>
                      <w:u w:val="single"/>
                    </w:rPr>
                    <w:t>+</w:t>
                  </w:r>
                  <w:r>
                    <w:rPr>
                      <w:rFonts w:hint="default"/>
                      <w:b/>
                      <w:bCs/>
                      <w:u w:val="single"/>
                    </w:rPr>
                    <w:t>氩含量（体积分数）/10</w:t>
                  </w:r>
                  <w:r>
                    <w:rPr>
                      <w:rFonts w:hint="default"/>
                      <w:b/>
                      <w:bCs/>
                      <w:u w:val="single"/>
                      <w:vertAlign w:val="superscript"/>
                    </w:rPr>
                    <w:t>-6</w:t>
                  </w:r>
                  <w:r>
                    <w:rPr>
                      <w:rFonts w:hint="default"/>
                      <w:b/>
                      <w:bCs/>
                      <w:u w:val="single"/>
                    </w:rPr>
                    <w:t xml:space="preserve"> </w:t>
                  </w:r>
                </w:p>
              </w:tc>
              <w:tc>
                <w:tcPr>
                  <w:tcW w:w="2973" w:type="dxa"/>
                  <w:tcBorders>
                    <w:tl2br w:val="nil"/>
                    <w:tr2bl w:val="nil"/>
                  </w:tcBorders>
                  <w:shd w:val="clear" w:color="auto" w:fill="auto"/>
                  <w:vAlign w:val="center"/>
                </w:tcPr>
                <w:p w14:paraId="366689D4">
                  <w:pPr>
                    <w:pStyle w:val="45"/>
                    <w:rPr>
                      <w:rFonts w:hint="default"/>
                      <w:b/>
                      <w:bCs/>
                      <w:u w:val="single"/>
                    </w:rPr>
                  </w:pPr>
                  <w:r>
                    <w:rPr>
                      <w:rFonts w:hint="default"/>
                      <w:b/>
                      <w:bCs/>
                      <w:u w:val="single"/>
                    </w:rPr>
                    <w:t>＜0.</w:t>
                  </w:r>
                  <w:r>
                    <w:rPr>
                      <w:b/>
                      <w:bCs/>
                      <w:u w:val="single"/>
                    </w:rPr>
                    <w:t>0</w:t>
                  </w:r>
                  <w:r>
                    <w:rPr>
                      <w:rFonts w:hint="default"/>
                      <w:b/>
                      <w:bCs/>
                      <w:u w:val="single"/>
                    </w:rPr>
                    <w:t>1</w:t>
                  </w:r>
                </w:p>
              </w:tc>
            </w:tr>
            <w:tr w14:paraId="36119E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3" w:type="dxa"/>
                  <w:tcBorders>
                    <w:tl2br w:val="nil"/>
                    <w:tr2bl w:val="nil"/>
                  </w:tcBorders>
                  <w:shd w:val="clear" w:color="auto" w:fill="auto"/>
                  <w:vAlign w:val="center"/>
                </w:tcPr>
                <w:p w14:paraId="3BCB0B3B">
                  <w:pPr>
                    <w:pStyle w:val="45"/>
                    <w:rPr>
                      <w:rFonts w:hint="default"/>
                      <w:b/>
                      <w:bCs/>
                      <w:u w:val="single"/>
                    </w:rPr>
                  </w:pPr>
                  <w:r>
                    <w:rPr>
                      <w:rFonts w:hint="default"/>
                      <w:b/>
                      <w:bCs/>
                      <w:u w:val="single"/>
                    </w:rPr>
                    <w:t>氢含量（体积分数）/10</w:t>
                  </w:r>
                  <w:r>
                    <w:rPr>
                      <w:rFonts w:hint="default"/>
                      <w:b/>
                      <w:bCs/>
                      <w:u w:val="single"/>
                      <w:vertAlign w:val="superscript"/>
                    </w:rPr>
                    <w:t>-6</w:t>
                  </w:r>
                  <w:r>
                    <w:rPr>
                      <w:rFonts w:hint="default"/>
                      <w:b/>
                      <w:bCs/>
                      <w:u w:val="single"/>
                    </w:rPr>
                    <w:t xml:space="preserve"> </w:t>
                  </w:r>
                </w:p>
              </w:tc>
              <w:tc>
                <w:tcPr>
                  <w:tcW w:w="2973" w:type="dxa"/>
                  <w:tcBorders>
                    <w:tl2br w:val="nil"/>
                    <w:tr2bl w:val="nil"/>
                  </w:tcBorders>
                  <w:shd w:val="clear" w:color="auto" w:fill="auto"/>
                  <w:vAlign w:val="center"/>
                </w:tcPr>
                <w:p w14:paraId="777A9E23">
                  <w:pPr>
                    <w:pStyle w:val="45"/>
                    <w:rPr>
                      <w:rFonts w:hint="default"/>
                      <w:b/>
                      <w:bCs/>
                      <w:u w:val="single"/>
                    </w:rPr>
                  </w:pPr>
                  <w:r>
                    <w:rPr>
                      <w:rFonts w:hint="default"/>
                      <w:b/>
                      <w:bCs/>
                      <w:u w:val="single"/>
                    </w:rPr>
                    <w:t>＜0.</w:t>
                  </w:r>
                  <w:r>
                    <w:rPr>
                      <w:b/>
                      <w:bCs/>
                      <w:u w:val="single"/>
                    </w:rPr>
                    <w:t>0</w:t>
                  </w:r>
                  <w:r>
                    <w:rPr>
                      <w:rFonts w:hint="default"/>
                      <w:b/>
                      <w:bCs/>
                      <w:u w:val="single"/>
                    </w:rPr>
                    <w:t>1</w:t>
                  </w:r>
                </w:p>
              </w:tc>
            </w:tr>
            <w:tr w14:paraId="001ECA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3" w:type="dxa"/>
                  <w:tcBorders>
                    <w:tl2br w:val="nil"/>
                    <w:tr2bl w:val="nil"/>
                  </w:tcBorders>
                  <w:shd w:val="clear" w:color="auto" w:fill="auto"/>
                  <w:vAlign w:val="bottom"/>
                </w:tcPr>
                <w:p w14:paraId="5CF6884B">
                  <w:pPr>
                    <w:pStyle w:val="45"/>
                    <w:rPr>
                      <w:rFonts w:hint="default"/>
                      <w:b/>
                      <w:bCs/>
                      <w:u w:val="single"/>
                    </w:rPr>
                  </w:pPr>
                  <w:r>
                    <w:rPr>
                      <w:rFonts w:hint="default"/>
                      <w:b/>
                      <w:bCs/>
                      <w:u w:val="single"/>
                    </w:rPr>
                    <w:t>一氧化碳含量（体积分数）/10</w:t>
                  </w:r>
                  <w:r>
                    <w:rPr>
                      <w:rFonts w:hint="default"/>
                      <w:b/>
                      <w:bCs/>
                      <w:u w:val="single"/>
                      <w:vertAlign w:val="superscript"/>
                    </w:rPr>
                    <w:t xml:space="preserve">-6 </w:t>
                  </w:r>
                </w:p>
              </w:tc>
              <w:tc>
                <w:tcPr>
                  <w:tcW w:w="2973" w:type="dxa"/>
                  <w:tcBorders>
                    <w:tl2br w:val="nil"/>
                    <w:tr2bl w:val="nil"/>
                  </w:tcBorders>
                  <w:shd w:val="clear" w:color="auto" w:fill="auto"/>
                  <w:vAlign w:val="center"/>
                </w:tcPr>
                <w:p w14:paraId="78D78BE5">
                  <w:pPr>
                    <w:pStyle w:val="45"/>
                    <w:rPr>
                      <w:rFonts w:hint="default"/>
                      <w:b/>
                      <w:bCs/>
                      <w:u w:val="single"/>
                    </w:rPr>
                  </w:pPr>
                  <w:r>
                    <w:rPr>
                      <w:rFonts w:hint="default"/>
                      <w:b/>
                      <w:bCs/>
                      <w:u w:val="single"/>
                    </w:rPr>
                    <w:t>＜0.</w:t>
                  </w:r>
                  <w:r>
                    <w:rPr>
                      <w:b/>
                      <w:bCs/>
                      <w:u w:val="single"/>
                    </w:rPr>
                    <w:t>01</w:t>
                  </w:r>
                </w:p>
              </w:tc>
            </w:tr>
            <w:tr w14:paraId="55DB3E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3" w:type="dxa"/>
                  <w:tcBorders>
                    <w:tl2br w:val="nil"/>
                    <w:tr2bl w:val="nil"/>
                  </w:tcBorders>
                  <w:shd w:val="clear" w:color="auto" w:fill="auto"/>
                  <w:vAlign w:val="bottom"/>
                </w:tcPr>
                <w:p w14:paraId="384D4E87">
                  <w:pPr>
                    <w:pStyle w:val="45"/>
                    <w:rPr>
                      <w:rFonts w:hint="default"/>
                      <w:b/>
                      <w:bCs/>
                      <w:u w:val="single"/>
                    </w:rPr>
                  </w:pPr>
                  <w:r>
                    <w:rPr>
                      <w:b/>
                      <w:bCs/>
                      <w:u w:val="single"/>
                    </w:rPr>
                    <w:t>二氧化碳含量（体积分数）/</w:t>
                  </w:r>
                  <w:r>
                    <w:rPr>
                      <w:rFonts w:hint="default"/>
                      <w:b/>
                      <w:bCs/>
                      <w:u w:val="single"/>
                    </w:rPr>
                    <w:t>10</w:t>
                  </w:r>
                  <w:r>
                    <w:rPr>
                      <w:rFonts w:hint="default"/>
                      <w:b/>
                      <w:bCs/>
                      <w:u w:val="single"/>
                      <w:vertAlign w:val="superscript"/>
                    </w:rPr>
                    <w:t>-6</w:t>
                  </w:r>
                  <w:r>
                    <w:rPr>
                      <w:rFonts w:hint="default"/>
                      <w:b/>
                      <w:bCs/>
                      <w:u w:val="single"/>
                    </w:rPr>
                    <w:t xml:space="preserve"> </w:t>
                  </w:r>
                </w:p>
              </w:tc>
              <w:tc>
                <w:tcPr>
                  <w:tcW w:w="2973" w:type="dxa"/>
                  <w:tcBorders>
                    <w:tl2br w:val="nil"/>
                    <w:tr2bl w:val="nil"/>
                  </w:tcBorders>
                  <w:shd w:val="clear" w:color="auto" w:fill="auto"/>
                  <w:vAlign w:val="center"/>
                </w:tcPr>
                <w:p w14:paraId="08CA5994">
                  <w:pPr>
                    <w:pStyle w:val="45"/>
                    <w:rPr>
                      <w:rFonts w:hint="default"/>
                      <w:b/>
                      <w:bCs/>
                      <w:u w:val="single"/>
                    </w:rPr>
                  </w:pPr>
                  <w:r>
                    <w:rPr>
                      <w:rFonts w:hint="default"/>
                      <w:b/>
                      <w:bCs/>
                      <w:u w:val="single"/>
                    </w:rPr>
                    <w:t>＜0.</w:t>
                  </w:r>
                  <w:r>
                    <w:rPr>
                      <w:b/>
                      <w:bCs/>
                      <w:u w:val="single"/>
                    </w:rPr>
                    <w:t>0</w:t>
                  </w:r>
                  <w:r>
                    <w:rPr>
                      <w:rFonts w:hint="default"/>
                      <w:b/>
                      <w:bCs/>
                      <w:u w:val="single"/>
                    </w:rPr>
                    <w:t>1</w:t>
                  </w:r>
                </w:p>
              </w:tc>
            </w:tr>
            <w:tr w14:paraId="39F04F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3" w:type="dxa"/>
                  <w:tcBorders>
                    <w:tl2br w:val="nil"/>
                    <w:tr2bl w:val="nil"/>
                  </w:tcBorders>
                  <w:shd w:val="clear" w:color="auto" w:fill="auto"/>
                  <w:vAlign w:val="center"/>
                </w:tcPr>
                <w:p w14:paraId="56E7ACBF">
                  <w:pPr>
                    <w:pStyle w:val="45"/>
                    <w:rPr>
                      <w:rFonts w:hint="default"/>
                      <w:b/>
                      <w:bCs/>
                      <w:u w:val="single"/>
                    </w:rPr>
                  </w:pPr>
                  <w:r>
                    <w:rPr>
                      <w:rFonts w:hint="default"/>
                      <w:b/>
                      <w:bCs/>
                      <w:u w:val="single"/>
                    </w:rPr>
                    <w:t>烃（C1~C3）含量（体积分数）/10</w:t>
                  </w:r>
                  <w:r>
                    <w:rPr>
                      <w:rFonts w:hint="default"/>
                      <w:b/>
                      <w:bCs/>
                      <w:u w:val="single"/>
                      <w:vertAlign w:val="superscript"/>
                    </w:rPr>
                    <w:t>-6</w:t>
                  </w:r>
                  <w:r>
                    <w:rPr>
                      <w:rFonts w:hint="default"/>
                      <w:b/>
                      <w:bCs/>
                      <w:u w:val="single"/>
                    </w:rPr>
                    <w:t xml:space="preserve"> </w:t>
                  </w:r>
                </w:p>
              </w:tc>
              <w:tc>
                <w:tcPr>
                  <w:tcW w:w="2973" w:type="dxa"/>
                  <w:tcBorders>
                    <w:tl2br w:val="nil"/>
                    <w:tr2bl w:val="nil"/>
                  </w:tcBorders>
                  <w:shd w:val="clear" w:color="auto" w:fill="auto"/>
                  <w:vAlign w:val="center"/>
                </w:tcPr>
                <w:p w14:paraId="10DAEE30">
                  <w:pPr>
                    <w:pStyle w:val="45"/>
                    <w:rPr>
                      <w:rFonts w:hint="default"/>
                      <w:b/>
                      <w:bCs/>
                      <w:u w:val="single"/>
                    </w:rPr>
                  </w:pPr>
                  <w:r>
                    <w:rPr>
                      <w:rFonts w:hint="default"/>
                      <w:b/>
                      <w:bCs/>
                      <w:u w:val="single"/>
                    </w:rPr>
                    <w:t>＜0.0</w:t>
                  </w:r>
                  <w:r>
                    <w:rPr>
                      <w:b/>
                      <w:bCs/>
                      <w:u w:val="single"/>
                    </w:rPr>
                    <w:t>1</w:t>
                  </w:r>
                </w:p>
              </w:tc>
            </w:tr>
            <w:tr w14:paraId="40F1C4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3" w:type="dxa"/>
                  <w:tcBorders>
                    <w:tl2br w:val="nil"/>
                    <w:tr2bl w:val="nil"/>
                  </w:tcBorders>
                  <w:shd w:val="clear" w:color="auto" w:fill="auto"/>
                  <w:vAlign w:val="center"/>
                </w:tcPr>
                <w:p w14:paraId="533607B1">
                  <w:pPr>
                    <w:pStyle w:val="45"/>
                    <w:rPr>
                      <w:rFonts w:hint="default"/>
                      <w:b/>
                      <w:bCs/>
                      <w:u w:val="single"/>
                    </w:rPr>
                  </w:pPr>
                  <w:r>
                    <w:rPr>
                      <w:rFonts w:hint="default"/>
                      <w:b/>
                      <w:bCs/>
                      <w:u w:val="single"/>
                    </w:rPr>
                    <w:t>水分含量（体积分数）/10</w:t>
                  </w:r>
                  <w:r>
                    <w:rPr>
                      <w:rFonts w:hint="default"/>
                      <w:b/>
                      <w:bCs/>
                      <w:u w:val="single"/>
                      <w:vertAlign w:val="superscript"/>
                    </w:rPr>
                    <w:t>-6</w:t>
                  </w:r>
                  <w:r>
                    <w:rPr>
                      <w:rFonts w:hint="default"/>
                      <w:b/>
                      <w:bCs/>
                      <w:u w:val="single"/>
                    </w:rPr>
                    <w:t xml:space="preserve"> </w:t>
                  </w:r>
                </w:p>
              </w:tc>
              <w:tc>
                <w:tcPr>
                  <w:tcW w:w="2973" w:type="dxa"/>
                  <w:tcBorders>
                    <w:tl2br w:val="nil"/>
                    <w:tr2bl w:val="nil"/>
                  </w:tcBorders>
                  <w:shd w:val="clear" w:color="auto" w:fill="auto"/>
                  <w:vAlign w:val="center"/>
                </w:tcPr>
                <w:p w14:paraId="5AD1E2AC">
                  <w:pPr>
                    <w:pStyle w:val="45"/>
                    <w:rPr>
                      <w:rFonts w:hint="default"/>
                      <w:b/>
                      <w:bCs/>
                      <w:u w:val="single"/>
                    </w:rPr>
                  </w:pPr>
                  <w:r>
                    <w:rPr>
                      <w:rFonts w:hint="default"/>
                      <w:b/>
                      <w:bCs/>
                      <w:u w:val="single"/>
                    </w:rPr>
                    <w:t>＜0.</w:t>
                  </w:r>
                  <w:r>
                    <w:rPr>
                      <w:b/>
                      <w:bCs/>
                      <w:u w:val="single"/>
                    </w:rPr>
                    <w:t>05</w:t>
                  </w:r>
                </w:p>
              </w:tc>
            </w:tr>
            <w:tr w14:paraId="24D1B2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3" w:type="dxa"/>
                  <w:tcBorders>
                    <w:tl2br w:val="nil"/>
                    <w:tr2bl w:val="nil"/>
                  </w:tcBorders>
                  <w:shd w:val="clear" w:color="auto" w:fill="auto"/>
                  <w:vAlign w:val="center"/>
                </w:tcPr>
                <w:p w14:paraId="1607027F">
                  <w:pPr>
                    <w:pStyle w:val="45"/>
                    <w:rPr>
                      <w:rFonts w:hint="default"/>
                      <w:b/>
                      <w:bCs/>
                      <w:u w:val="single"/>
                    </w:rPr>
                  </w:pPr>
                  <w:r>
                    <w:rPr>
                      <w:b/>
                      <w:bCs/>
                      <w:u w:val="single"/>
                    </w:rPr>
                    <w:t>总杂质含量（体积分数）/</w:t>
                  </w:r>
                  <w:r>
                    <w:rPr>
                      <w:rFonts w:hint="default"/>
                      <w:b/>
                      <w:bCs/>
                      <w:u w:val="single"/>
                    </w:rPr>
                    <w:t>10</w:t>
                  </w:r>
                  <w:r>
                    <w:rPr>
                      <w:rFonts w:hint="default"/>
                      <w:b/>
                      <w:bCs/>
                      <w:u w:val="single"/>
                      <w:vertAlign w:val="superscript"/>
                    </w:rPr>
                    <w:t>-6</w:t>
                  </w:r>
                  <w:r>
                    <w:rPr>
                      <w:rFonts w:hint="default"/>
                      <w:b/>
                      <w:bCs/>
                      <w:u w:val="single"/>
                    </w:rPr>
                    <w:t xml:space="preserve"> </w:t>
                  </w:r>
                </w:p>
              </w:tc>
              <w:tc>
                <w:tcPr>
                  <w:tcW w:w="2973" w:type="dxa"/>
                  <w:tcBorders>
                    <w:tl2br w:val="nil"/>
                    <w:tr2bl w:val="nil"/>
                  </w:tcBorders>
                  <w:shd w:val="clear" w:color="auto" w:fill="auto"/>
                  <w:vAlign w:val="center"/>
                </w:tcPr>
                <w:p w14:paraId="25F78C64">
                  <w:pPr>
                    <w:pStyle w:val="45"/>
                    <w:rPr>
                      <w:rFonts w:hint="default"/>
                      <w:b/>
                      <w:bCs/>
                      <w:u w:val="single"/>
                    </w:rPr>
                  </w:pPr>
                  <w:r>
                    <w:rPr>
                      <w:rFonts w:hint="default"/>
                      <w:b/>
                      <w:bCs/>
                      <w:u w:val="single"/>
                    </w:rPr>
                    <w:t>＜0.</w:t>
                  </w:r>
                  <w:r>
                    <w:rPr>
                      <w:b/>
                      <w:bCs/>
                      <w:u w:val="single"/>
                    </w:rPr>
                    <w:t>1</w:t>
                  </w:r>
                </w:p>
              </w:tc>
            </w:tr>
          </w:tbl>
          <w:p w14:paraId="1BB58CE8">
            <w:pPr>
              <w:pStyle w:val="44"/>
              <w:numPr>
                <w:ilvl w:val="0"/>
                <w:numId w:val="2"/>
              </w:numPr>
              <w:rPr>
                <w:rFonts w:hint="default"/>
                <w:b/>
                <w:bCs/>
                <w:u w:val="single"/>
              </w:rPr>
            </w:pPr>
            <w:r>
              <w:rPr>
                <w:b/>
                <w:bCs/>
                <w:u w:val="single"/>
              </w:rPr>
              <w:t xml:space="preserve"> 氨水质量指标</w:t>
            </w:r>
          </w:p>
          <w:tbl>
            <w:tblPr>
              <w:tblStyle w:val="2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93"/>
              <w:gridCol w:w="2973"/>
            </w:tblGrid>
            <w:tr w14:paraId="04F896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3" w:type="dxa"/>
                  <w:tcBorders>
                    <w:tl2br w:val="nil"/>
                    <w:tr2bl w:val="nil"/>
                  </w:tcBorders>
                  <w:shd w:val="clear" w:color="auto" w:fill="auto"/>
                  <w:vAlign w:val="center"/>
                </w:tcPr>
                <w:p w14:paraId="1EEB6D4F">
                  <w:pPr>
                    <w:pStyle w:val="45"/>
                    <w:rPr>
                      <w:rFonts w:hint="default"/>
                      <w:b/>
                      <w:bCs/>
                      <w:u w:val="single"/>
                    </w:rPr>
                  </w:pPr>
                  <w:r>
                    <w:rPr>
                      <w:b/>
                      <w:bCs/>
                      <w:u w:val="single"/>
                    </w:rPr>
                    <w:t>项目</w:t>
                  </w:r>
                </w:p>
              </w:tc>
              <w:tc>
                <w:tcPr>
                  <w:tcW w:w="2973" w:type="dxa"/>
                  <w:tcBorders>
                    <w:tl2br w:val="nil"/>
                    <w:tr2bl w:val="nil"/>
                  </w:tcBorders>
                  <w:shd w:val="clear" w:color="auto" w:fill="auto"/>
                  <w:vAlign w:val="center"/>
                </w:tcPr>
                <w:p w14:paraId="48CD3F0C">
                  <w:pPr>
                    <w:pStyle w:val="45"/>
                    <w:rPr>
                      <w:rFonts w:hint="default"/>
                      <w:b/>
                      <w:bCs/>
                      <w:u w:val="single"/>
                    </w:rPr>
                  </w:pPr>
                  <w:r>
                    <w:rPr>
                      <w:b/>
                      <w:bCs/>
                      <w:u w:val="single"/>
                    </w:rPr>
                    <w:t>指标</w:t>
                  </w:r>
                </w:p>
              </w:tc>
            </w:tr>
            <w:tr w14:paraId="6ECE16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3" w:type="dxa"/>
                  <w:tcBorders>
                    <w:tl2br w:val="nil"/>
                    <w:tr2bl w:val="nil"/>
                  </w:tcBorders>
                  <w:shd w:val="clear" w:color="auto" w:fill="auto"/>
                  <w:vAlign w:val="bottom"/>
                </w:tcPr>
                <w:p w14:paraId="4FC24388">
                  <w:pPr>
                    <w:pStyle w:val="45"/>
                    <w:rPr>
                      <w:rFonts w:hint="default"/>
                      <w:b/>
                      <w:bCs/>
                      <w:u w:val="single"/>
                    </w:rPr>
                  </w:pPr>
                  <w:r>
                    <w:rPr>
                      <w:rFonts w:hint="default"/>
                      <w:b/>
                      <w:bCs/>
                      <w:u w:val="single"/>
                    </w:rPr>
                    <w:t>氨（NH</w:t>
                  </w:r>
                  <w:r>
                    <w:rPr>
                      <w:rFonts w:hint="default"/>
                      <w:b/>
                      <w:bCs/>
                      <w:u w:val="single"/>
                      <w:vertAlign w:val="subscript"/>
                    </w:rPr>
                    <w:t>3</w:t>
                  </w:r>
                  <w:r>
                    <w:rPr>
                      <w:rFonts w:hint="default"/>
                      <w:b/>
                      <w:bCs/>
                      <w:u w:val="single"/>
                    </w:rPr>
                    <w:t>）w/% ≥</w:t>
                  </w:r>
                </w:p>
              </w:tc>
              <w:tc>
                <w:tcPr>
                  <w:tcW w:w="2973" w:type="dxa"/>
                  <w:tcBorders>
                    <w:tl2br w:val="nil"/>
                    <w:tr2bl w:val="nil"/>
                  </w:tcBorders>
                  <w:shd w:val="clear" w:color="auto" w:fill="auto"/>
                  <w:vAlign w:val="center"/>
                </w:tcPr>
                <w:p w14:paraId="6AA59EE8">
                  <w:pPr>
                    <w:pStyle w:val="45"/>
                    <w:rPr>
                      <w:rFonts w:hint="default"/>
                      <w:b/>
                      <w:bCs/>
                      <w:u w:val="single"/>
                    </w:rPr>
                  </w:pPr>
                  <w:r>
                    <w:rPr>
                      <w:b/>
                      <w:bCs/>
                      <w:u w:val="single"/>
                    </w:rPr>
                    <w:t>20.0</w:t>
                  </w:r>
                </w:p>
              </w:tc>
            </w:tr>
            <w:tr w14:paraId="7EEBFA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3" w:type="dxa"/>
                  <w:tcBorders>
                    <w:tl2br w:val="nil"/>
                    <w:tr2bl w:val="nil"/>
                  </w:tcBorders>
                  <w:shd w:val="clear" w:color="auto" w:fill="auto"/>
                  <w:vAlign w:val="bottom"/>
                </w:tcPr>
                <w:p w14:paraId="7349CADC">
                  <w:pPr>
                    <w:pStyle w:val="45"/>
                    <w:rPr>
                      <w:rFonts w:hint="default"/>
                      <w:b/>
                      <w:bCs/>
                      <w:u w:val="single"/>
                    </w:rPr>
                  </w:pPr>
                  <w:r>
                    <w:rPr>
                      <w:rFonts w:hint="default"/>
                      <w:b/>
                      <w:bCs/>
                      <w:u w:val="single"/>
                    </w:rPr>
                    <w:t>色度/黑曾≤</w:t>
                  </w:r>
                </w:p>
              </w:tc>
              <w:tc>
                <w:tcPr>
                  <w:tcW w:w="2973" w:type="dxa"/>
                  <w:tcBorders>
                    <w:tl2br w:val="nil"/>
                    <w:tr2bl w:val="nil"/>
                  </w:tcBorders>
                  <w:shd w:val="clear" w:color="auto" w:fill="auto"/>
                  <w:vAlign w:val="center"/>
                </w:tcPr>
                <w:p w14:paraId="70F8413F">
                  <w:pPr>
                    <w:pStyle w:val="45"/>
                    <w:rPr>
                      <w:rFonts w:hint="default"/>
                      <w:b/>
                      <w:bCs/>
                      <w:u w:val="single"/>
                    </w:rPr>
                  </w:pPr>
                  <w:r>
                    <w:rPr>
                      <w:b/>
                      <w:bCs/>
                      <w:u w:val="single"/>
                    </w:rPr>
                    <w:t>80</w:t>
                  </w:r>
                </w:p>
              </w:tc>
            </w:tr>
            <w:tr w14:paraId="74570E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93" w:type="dxa"/>
                  <w:tcBorders>
                    <w:tl2br w:val="nil"/>
                    <w:tr2bl w:val="nil"/>
                  </w:tcBorders>
                  <w:shd w:val="clear" w:color="auto" w:fill="auto"/>
                  <w:vAlign w:val="center"/>
                </w:tcPr>
                <w:p w14:paraId="3DEE7C3F">
                  <w:pPr>
                    <w:pStyle w:val="45"/>
                    <w:rPr>
                      <w:rFonts w:hint="default"/>
                      <w:b/>
                      <w:bCs/>
                      <w:u w:val="single"/>
                    </w:rPr>
                  </w:pPr>
                  <w:r>
                    <w:rPr>
                      <w:rFonts w:hint="default"/>
                      <w:b/>
                      <w:bCs/>
                      <w:u w:val="single"/>
                    </w:rPr>
                    <w:t>蒸发残渣 w/% ≤</w:t>
                  </w:r>
                </w:p>
              </w:tc>
              <w:tc>
                <w:tcPr>
                  <w:tcW w:w="2973" w:type="dxa"/>
                  <w:tcBorders>
                    <w:tl2br w:val="nil"/>
                    <w:tr2bl w:val="nil"/>
                  </w:tcBorders>
                  <w:shd w:val="clear" w:color="auto" w:fill="auto"/>
                  <w:vAlign w:val="center"/>
                </w:tcPr>
                <w:p w14:paraId="012144BF">
                  <w:pPr>
                    <w:pStyle w:val="45"/>
                    <w:rPr>
                      <w:rFonts w:hint="default"/>
                      <w:b/>
                      <w:bCs/>
                      <w:u w:val="single"/>
                    </w:rPr>
                  </w:pPr>
                  <w:r>
                    <w:rPr>
                      <w:b/>
                      <w:bCs/>
                      <w:u w:val="single"/>
                    </w:rPr>
                    <w:t>0.2</w:t>
                  </w:r>
                </w:p>
              </w:tc>
            </w:tr>
          </w:tbl>
          <w:p w14:paraId="4ACBB128">
            <w:pPr>
              <w:pStyle w:val="4"/>
              <w:numPr>
                <w:ilvl w:val="1"/>
                <w:numId w:val="3"/>
              </w:numPr>
              <w:tabs>
                <w:tab w:val="left" w:pos="0"/>
              </w:tabs>
              <w:rPr>
                <w:b w:val="0"/>
                <w:bCs w:val="0"/>
                <w:u w:val="none"/>
              </w:rPr>
            </w:pPr>
            <w:r>
              <w:rPr>
                <w:b w:val="0"/>
                <w:bCs w:val="0"/>
                <w:u w:val="none"/>
              </w:rPr>
              <w:t>主要原（辅）材料消耗量</w:t>
            </w:r>
          </w:p>
          <w:p w14:paraId="03581830">
            <w:pPr>
              <w:pStyle w:val="6"/>
              <w:numPr>
                <w:ilvl w:val="2"/>
                <w:numId w:val="4"/>
              </w:numPr>
              <w:rPr>
                <w:b w:val="0"/>
                <w:bCs w:val="0"/>
                <w:u w:val="none"/>
              </w:rPr>
            </w:pPr>
            <w:r>
              <w:rPr>
                <w:b w:val="0"/>
                <w:bCs w:val="0"/>
                <w:u w:val="none"/>
              </w:rPr>
              <w:t>主要原辅材料消耗</w:t>
            </w:r>
          </w:p>
          <w:p w14:paraId="65A495F1">
            <w:pPr>
              <w:pStyle w:val="5"/>
              <w:rPr>
                <w:rFonts w:hint="default"/>
                <w:b w:val="0"/>
                <w:bCs w:val="0"/>
                <w:u w:val="none"/>
              </w:rPr>
            </w:pPr>
            <w:r>
              <w:rPr>
                <w:rFonts w:hint="default"/>
                <w:b w:val="0"/>
                <w:bCs w:val="0"/>
                <w:u w:val="none"/>
              </w:rPr>
              <w:t>本项目主要原辅材料消耗情况见下表。</w:t>
            </w:r>
          </w:p>
          <w:p w14:paraId="76193AB4">
            <w:pPr>
              <w:pStyle w:val="44"/>
              <w:numPr>
                <w:ilvl w:val="0"/>
                <w:numId w:val="2"/>
              </w:numPr>
              <w:rPr>
                <w:rFonts w:hint="default"/>
                <w:b w:val="0"/>
                <w:bCs w:val="0"/>
                <w:u w:val="none"/>
              </w:rPr>
            </w:pPr>
            <w:r>
              <w:rPr>
                <w:b w:val="0"/>
                <w:bCs w:val="0"/>
                <w:u w:val="none"/>
              </w:rPr>
              <w:t xml:space="preserve">  本项目原辅材料使用情况一览表</w:t>
            </w:r>
          </w:p>
          <w:tbl>
            <w:tblPr>
              <w:tblStyle w:val="27"/>
              <w:tblW w:w="0" w:type="auto"/>
              <w:tblInd w:w="5"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09"/>
              <w:gridCol w:w="958"/>
              <w:gridCol w:w="875"/>
              <w:gridCol w:w="900"/>
              <w:gridCol w:w="1073"/>
              <w:gridCol w:w="410"/>
              <w:gridCol w:w="805"/>
              <w:gridCol w:w="717"/>
              <w:gridCol w:w="1520"/>
            </w:tblGrid>
            <w:tr w14:paraId="00B8B79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409" w:type="dxa"/>
                  <w:tcBorders>
                    <w:tl2br w:val="nil"/>
                    <w:tr2bl w:val="nil"/>
                  </w:tcBorders>
                  <w:shd w:val="clear" w:color="auto" w:fill="auto"/>
                  <w:vAlign w:val="center"/>
                </w:tcPr>
                <w:p w14:paraId="40EE0AC5">
                  <w:pPr>
                    <w:pStyle w:val="45"/>
                    <w:rPr>
                      <w:rFonts w:hint="default"/>
                      <w:b w:val="0"/>
                      <w:bCs w:val="0"/>
                      <w:u w:val="none"/>
                    </w:rPr>
                  </w:pPr>
                  <w:r>
                    <w:rPr>
                      <w:b w:val="0"/>
                      <w:bCs w:val="0"/>
                      <w:u w:val="none"/>
                    </w:rPr>
                    <w:t>序号</w:t>
                  </w:r>
                </w:p>
              </w:tc>
              <w:tc>
                <w:tcPr>
                  <w:tcW w:w="958" w:type="dxa"/>
                  <w:tcBorders>
                    <w:tl2br w:val="nil"/>
                    <w:tr2bl w:val="nil"/>
                  </w:tcBorders>
                  <w:shd w:val="clear" w:color="auto" w:fill="auto"/>
                  <w:vAlign w:val="center"/>
                </w:tcPr>
                <w:p w14:paraId="071FF951">
                  <w:pPr>
                    <w:pStyle w:val="45"/>
                    <w:rPr>
                      <w:rFonts w:hint="default"/>
                      <w:b w:val="0"/>
                      <w:bCs w:val="0"/>
                      <w:u w:val="none"/>
                    </w:rPr>
                  </w:pPr>
                  <w:r>
                    <w:rPr>
                      <w:b w:val="0"/>
                      <w:bCs w:val="0"/>
                      <w:u w:val="none"/>
                    </w:rPr>
                    <w:t>名称</w:t>
                  </w:r>
                </w:p>
              </w:tc>
              <w:tc>
                <w:tcPr>
                  <w:tcW w:w="875" w:type="dxa"/>
                  <w:tcBorders>
                    <w:tl2br w:val="nil"/>
                    <w:tr2bl w:val="nil"/>
                  </w:tcBorders>
                  <w:shd w:val="clear" w:color="auto" w:fill="auto"/>
                  <w:vAlign w:val="center"/>
                </w:tcPr>
                <w:p w14:paraId="70AC526B">
                  <w:pPr>
                    <w:pStyle w:val="45"/>
                    <w:rPr>
                      <w:rFonts w:hint="default"/>
                      <w:b w:val="0"/>
                      <w:bCs w:val="0"/>
                      <w:u w:val="none"/>
                    </w:rPr>
                  </w:pPr>
                  <w:r>
                    <w:rPr>
                      <w:b w:val="0"/>
                      <w:bCs w:val="0"/>
                      <w:u w:val="none"/>
                    </w:rPr>
                    <w:t>规格</w:t>
                  </w:r>
                </w:p>
              </w:tc>
              <w:tc>
                <w:tcPr>
                  <w:tcW w:w="900" w:type="dxa"/>
                  <w:tcBorders>
                    <w:tl2br w:val="nil"/>
                    <w:tr2bl w:val="nil"/>
                  </w:tcBorders>
                  <w:shd w:val="clear" w:color="auto" w:fill="auto"/>
                  <w:vAlign w:val="center"/>
                </w:tcPr>
                <w:p w14:paraId="1DE2C357">
                  <w:pPr>
                    <w:pStyle w:val="45"/>
                    <w:rPr>
                      <w:rFonts w:hint="default"/>
                      <w:b w:val="0"/>
                      <w:bCs w:val="0"/>
                      <w:u w:val="none"/>
                    </w:rPr>
                  </w:pPr>
                  <w:r>
                    <w:rPr>
                      <w:b w:val="0"/>
                      <w:bCs w:val="0"/>
                      <w:u w:val="none"/>
                    </w:rPr>
                    <w:t>储存地点</w:t>
                  </w:r>
                </w:p>
              </w:tc>
              <w:tc>
                <w:tcPr>
                  <w:tcW w:w="1073" w:type="dxa"/>
                  <w:tcBorders>
                    <w:tl2br w:val="nil"/>
                    <w:tr2bl w:val="nil"/>
                  </w:tcBorders>
                  <w:shd w:val="clear" w:color="auto" w:fill="auto"/>
                  <w:vAlign w:val="center"/>
                </w:tcPr>
                <w:p w14:paraId="1F6CACCF">
                  <w:pPr>
                    <w:pStyle w:val="45"/>
                    <w:rPr>
                      <w:rFonts w:hint="default"/>
                      <w:b w:val="0"/>
                      <w:bCs w:val="0"/>
                      <w:u w:val="none"/>
                    </w:rPr>
                  </w:pPr>
                  <w:r>
                    <w:rPr>
                      <w:b w:val="0"/>
                      <w:bCs w:val="0"/>
                      <w:u w:val="none"/>
                    </w:rPr>
                    <w:t>年使用量</w:t>
                  </w:r>
                </w:p>
              </w:tc>
              <w:tc>
                <w:tcPr>
                  <w:tcW w:w="410" w:type="dxa"/>
                  <w:tcBorders>
                    <w:tl2br w:val="nil"/>
                    <w:tr2bl w:val="nil"/>
                  </w:tcBorders>
                  <w:shd w:val="clear" w:color="auto" w:fill="auto"/>
                  <w:vAlign w:val="center"/>
                </w:tcPr>
                <w:p w14:paraId="272E50A0">
                  <w:pPr>
                    <w:pStyle w:val="45"/>
                    <w:rPr>
                      <w:rFonts w:hint="default"/>
                      <w:b w:val="0"/>
                      <w:bCs w:val="0"/>
                      <w:u w:val="none"/>
                    </w:rPr>
                  </w:pPr>
                  <w:r>
                    <w:rPr>
                      <w:b w:val="0"/>
                      <w:bCs w:val="0"/>
                      <w:u w:val="none"/>
                    </w:rPr>
                    <w:t>形态</w:t>
                  </w:r>
                </w:p>
              </w:tc>
              <w:tc>
                <w:tcPr>
                  <w:tcW w:w="805" w:type="dxa"/>
                  <w:tcBorders>
                    <w:tl2br w:val="nil"/>
                    <w:tr2bl w:val="nil"/>
                  </w:tcBorders>
                  <w:shd w:val="clear" w:color="auto" w:fill="auto"/>
                  <w:vAlign w:val="center"/>
                </w:tcPr>
                <w:p w14:paraId="36D7D248">
                  <w:pPr>
                    <w:pStyle w:val="45"/>
                    <w:rPr>
                      <w:rFonts w:hint="default"/>
                      <w:b w:val="0"/>
                      <w:bCs w:val="0"/>
                      <w:u w:val="none"/>
                    </w:rPr>
                  </w:pPr>
                  <w:r>
                    <w:rPr>
                      <w:b w:val="0"/>
                      <w:bCs w:val="0"/>
                      <w:u w:val="none"/>
                    </w:rPr>
                    <w:t>运输方式</w:t>
                  </w:r>
                </w:p>
              </w:tc>
              <w:tc>
                <w:tcPr>
                  <w:tcW w:w="717" w:type="dxa"/>
                  <w:tcBorders>
                    <w:tl2br w:val="nil"/>
                    <w:tr2bl w:val="nil"/>
                  </w:tcBorders>
                  <w:shd w:val="clear" w:color="auto" w:fill="auto"/>
                  <w:vAlign w:val="center"/>
                </w:tcPr>
                <w:p w14:paraId="10AAEAED">
                  <w:pPr>
                    <w:pStyle w:val="45"/>
                    <w:rPr>
                      <w:rFonts w:hint="default"/>
                      <w:b w:val="0"/>
                      <w:bCs w:val="0"/>
                      <w:u w:val="none"/>
                    </w:rPr>
                  </w:pPr>
                  <w:r>
                    <w:rPr>
                      <w:b w:val="0"/>
                      <w:bCs w:val="0"/>
                      <w:u w:val="none"/>
                    </w:rPr>
                    <w:t>最大储存量</w:t>
                  </w:r>
                </w:p>
              </w:tc>
              <w:tc>
                <w:tcPr>
                  <w:tcW w:w="1520" w:type="dxa"/>
                  <w:tcBorders>
                    <w:tl2br w:val="nil"/>
                    <w:tr2bl w:val="nil"/>
                  </w:tcBorders>
                  <w:shd w:val="clear" w:color="auto" w:fill="auto"/>
                  <w:vAlign w:val="center"/>
                </w:tcPr>
                <w:p w14:paraId="0803469D">
                  <w:pPr>
                    <w:pStyle w:val="45"/>
                    <w:rPr>
                      <w:rFonts w:hint="default"/>
                      <w:b w:val="0"/>
                      <w:bCs w:val="0"/>
                      <w:u w:val="none"/>
                    </w:rPr>
                  </w:pPr>
                  <w:r>
                    <w:rPr>
                      <w:b w:val="0"/>
                      <w:bCs w:val="0"/>
                      <w:u w:val="none"/>
                    </w:rPr>
                    <w:t>备注</w:t>
                  </w:r>
                </w:p>
              </w:tc>
            </w:tr>
            <w:tr w14:paraId="46CBFD0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409" w:type="dxa"/>
                  <w:tcBorders>
                    <w:tl2br w:val="nil"/>
                    <w:tr2bl w:val="nil"/>
                  </w:tcBorders>
                  <w:shd w:val="clear" w:color="auto" w:fill="auto"/>
                  <w:vAlign w:val="center"/>
                </w:tcPr>
                <w:p w14:paraId="49674144">
                  <w:pPr>
                    <w:pStyle w:val="45"/>
                    <w:rPr>
                      <w:rFonts w:hint="default"/>
                      <w:b w:val="0"/>
                      <w:bCs w:val="0"/>
                      <w:u w:val="none"/>
                    </w:rPr>
                  </w:pPr>
                  <w:r>
                    <w:rPr>
                      <w:b w:val="0"/>
                      <w:bCs w:val="0"/>
                      <w:u w:val="none"/>
                    </w:rPr>
                    <w:t>1</w:t>
                  </w:r>
                </w:p>
              </w:tc>
              <w:tc>
                <w:tcPr>
                  <w:tcW w:w="958" w:type="dxa"/>
                  <w:tcBorders>
                    <w:tl2br w:val="nil"/>
                    <w:tr2bl w:val="nil"/>
                  </w:tcBorders>
                  <w:shd w:val="clear" w:color="auto" w:fill="auto"/>
                  <w:vAlign w:val="center"/>
                </w:tcPr>
                <w:p w14:paraId="193FB6C2">
                  <w:pPr>
                    <w:pStyle w:val="45"/>
                    <w:rPr>
                      <w:rFonts w:hint="default"/>
                      <w:b w:val="0"/>
                      <w:bCs w:val="0"/>
                      <w:u w:val="none"/>
                    </w:rPr>
                  </w:pPr>
                  <w:r>
                    <w:rPr>
                      <w:b w:val="0"/>
                      <w:bCs w:val="0"/>
                      <w:u w:val="none"/>
                    </w:rPr>
                    <w:t>二氧化碳原料气</w:t>
                  </w:r>
                </w:p>
              </w:tc>
              <w:tc>
                <w:tcPr>
                  <w:tcW w:w="875" w:type="dxa"/>
                  <w:tcBorders>
                    <w:tl2br w:val="nil"/>
                    <w:tr2bl w:val="nil"/>
                  </w:tcBorders>
                  <w:shd w:val="clear" w:color="auto" w:fill="auto"/>
                  <w:vAlign w:val="center"/>
                </w:tcPr>
                <w:p w14:paraId="3C52E261">
                  <w:pPr>
                    <w:pStyle w:val="45"/>
                    <w:rPr>
                      <w:rFonts w:hint="default"/>
                      <w:b w:val="0"/>
                      <w:bCs w:val="0"/>
                      <w:u w:val="none"/>
                    </w:rPr>
                  </w:pPr>
                  <w:r>
                    <w:rPr>
                      <w:b w:val="0"/>
                      <w:bCs w:val="0"/>
                      <w:u w:val="none"/>
                    </w:rPr>
                    <w:t>CO</w:t>
                  </w:r>
                  <w:r>
                    <w:rPr>
                      <w:b w:val="0"/>
                      <w:bCs w:val="0"/>
                      <w:u w:val="none"/>
                      <w:vertAlign w:val="subscript"/>
                    </w:rPr>
                    <w:t>2</w:t>
                  </w:r>
                  <w:r>
                    <w:rPr>
                      <w:b w:val="0"/>
                      <w:bCs w:val="0"/>
                      <w:u w:val="none"/>
                    </w:rPr>
                    <w:t>含量98.5%</w:t>
                  </w:r>
                </w:p>
              </w:tc>
              <w:tc>
                <w:tcPr>
                  <w:tcW w:w="900" w:type="dxa"/>
                  <w:tcBorders>
                    <w:tl2br w:val="nil"/>
                    <w:tr2bl w:val="nil"/>
                  </w:tcBorders>
                  <w:shd w:val="clear" w:color="auto" w:fill="auto"/>
                  <w:vAlign w:val="center"/>
                </w:tcPr>
                <w:p w14:paraId="52C37C07">
                  <w:pPr>
                    <w:pStyle w:val="45"/>
                    <w:rPr>
                      <w:rFonts w:hint="default"/>
                      <w:b w:val="0"/>
                      <w:bCs w:val="0"/>
                      <w:u w:val="none"/>
                    </w:rPr>
                  </w:pPr>
                  <w:r>
                    <w:rPr>
                      <w:b w:val="0"/>
                      <w:bCs w:val="0"/>
                      <w:u w:val="none"/>
                    </w:rPr>
                    <w:t>/</w:t>
                  </w:r>
                </w:p>
              </w:tc>
              <w:tc>
                <w:tcPr>
                  <w:tcW w:w="1073" w:type="dxa"/>
                  <w:tcBorders>
                    <w:tl2br w:val="nil"/>
                    <w:tr2bl w:val="nil"/>
                  </w:tcBorders>
                  <w:shd w:val="clear" w:color="auto" w:fill="auto"/>
                  <w:vAlign w:val="center"/>
                </w:tcPr>
                <w:p w14:paraId="3079FBC0">
                  <w:pPr>
                    <w:pStyle w:val="45"/>
                    <w:rPr>
                      <w:rFonts w:hint="default"/>
                      <w:b w:val="0"/>
                      <w:bCs w:val="0"/>
                      <w:u w:val="none"/>
                    </w:rPr>
                  </w:pPr>
                  <w:r>
                    <w:rPr>
                      <w:rFonts w:hint="eastAsia"/>
                      <w:b w:val="0"/>
                      <w:bCs w:val="0"/>
                      <w:highlight w:val="none"/>
                      <w:u w:val="none"/>
                      <w:lang w:val="en-US" w:eastAsia="zh-CN"/>
                    </w:rPr>
                    <w:t>10800</w:t>
                  </w:r>
                  <w:r>
                    <w:rPr>
                      <w:b w:val="0"/>
                      <w:bCs w:val="0"/>
                      <w:highlight w:val="none"/>
                      <w:u w:val="none"/>
                    </w:rPr>
                    <w:t>万</w:t>
                  </w:r>
                  <w:r>
                    <w:rPr>
                      <w:b w:val="0"/>
                      <w:bCs w:val="0"/>
                      <w:u w:val="none"/>
                    </w:rPr>
                    <w:t>Nm</w:t>
                  </w:r>
                  <w:r>
                    <w:rPr>
                      <w:b w:val="0"/>
                      <w:bCs w:val="0"/>
                      <w:u w:val="none"/>
                      <w:vertAlign w:val="superscript"/>
                    </w:rPr>
                    <w:t>3</w:t>
                  </w:r>
                  <w:r>
                    <w:rPr>
                      <w:b w:val="0"/>
                      <w:bCs w:val="0"/>
                      <w:u w:val="none"/>
                    </w:rPr>
                    <w:t>/a</w:t>
                  </w:r>
                </w:p>
              </w:tc>
              <w:tc>
                <w:tcPr>
                  <w:tcW w:w="410" w:type="dxa"/>
                  <w:tcBorders>
                    <w:tl2br w:val="nil"/>
                    <w:tr2bl w:val="nil"/>
                  </w:tcBorders>
                  <w:shd w:val="clear" w:color="auto" w:fill="auto"/>
                  <w:vAlign w:val="center"/>
                </w:tcPr>
                <w:p w14:paraId="52BBBB1B">
                  <w:pPr>
                    <w:pStyle w:val="45"/>
                    <w:rPr>
                      <w:rFonts w:hint="default"/>
                      <w:b w:val="0"/>
                      <w:bCs w:val="0"/>
                      <w:u w:val="none"/>
                    </w:rPr>
                  </w:pPr>
                  <w:r>
                    <w:rPr>
                      <w:b w:val="0"/>
                      <w:bCs w:val="0"/>
                      <w:u w:val="none"/>
                    </w:rPr>
                    <w:t>气态</w:t>
                  </w:r>
                </w:p>
              </w:tc>
              <w:tc>
                <w:tcPr>
                  <w:tcW w:w="805" w:type="dxa"/>
                  <w:tcBorders>
                    <w:tl2br w:val="nil"/>
                    <w:tr2bl w:val="nil"/>
                  </w:tcBorders>
                  <w:shd w:val="clear" w:color="auto" w:fill="auto"/>
                  <w:vAlign w:val="center"/>
                </w:tcPr>
                <w:p w14:paraId="0705EA28">
                  <w:pPr>
                    <w:pStyle w:val="45"/>
                    <w:rPr>
                      <w:rFonts w:hint="default"/>
                      <w:b w:val="0"/>
                      <w:bCs w:val="0"/>
                      <w:u w:val="none"/>
                    </w:rPr>
                  </w:pPr>
                  <w:r>
                    <w:rPr>
                      <w:b w:val="0"/>
                      <w:bCs w:val="0"/>
                      <w:u w:val="none"/>
                    </w:rPr>
                    <w:t>管道</w:t>
                  </w:r>
                </w:p>
              </w:tc>
              <w:tc>
                <w:tcPr>
                  <w:tcW w:w="717" w:type="dxa"/>
                  <w:tcBorders>
                    <w:tl2br w:val="nil"/>
                    <w:tr2bl w:val="nil"/>
                  </w:tcBorders>
                  <w:shd w:val="clear" w:color="auto" w:fill="auto"/>
                  <w:vAlign w:val="center"/>
                </w:tcPr>
                <w:p w14:paraId="08F4B0DD">
                  <w:pPr>
                    <w:pStyle w:val="45"/>
                    <w:rPr>
                      <w:rFonts w:hint="default"/>
                      <w:b w:val="0"/>
                      <w:bCs w:val="0"/>
                      <w:u w:val="none"/>
                    </w:rPr>
                  </w:pPr>
                  <w:r>
                    <w:rPr>
                      <w:b w:val="0"/>
                      <w:bCs w:val="0"/>
                      <w:u w:val="none"/>
                    </w:rPr>
                    <w:t>/</w:t>
                  </w:r>
                </w:p>
              </w:tc>
              <w:tc>
                <w:tcPr>
                  <w:tcW w:w="1520" w:type="dxa"/>
                  <w:tcBorders>
                    <w:tl2br w:val="nil"/>
                    <w:tr2bl w:val="nil"/>
                  </w:tcBorders>
                  <w:shd w:val="clear" w:color="auto" w:fill="auto"/>
                  <w:vAlign w:val="center"/>
                </w:tcPr>
                <w:p w14:paraId="2E31C7D5">
                  <w:pPr>
                    <w:pStyle w:val="45"/>
                    <w:rPr>
                      <w:rFonts w:hint="default"/>
                      <w:b w:val="0"/>
                      <w:bCs w:val="0"/>
                      <w:u w:val="none"/>
                    </w:rPr>
                  </w:pPr>
                  <w:r>
                    <w:rPr>
                      <w:b w:val="0"/>
                      <w:bCs w:val="0"/>
                      <w:u w:val="none"/>
                    </w:rPr>
                    <w:t>平顶山尼龙新材料开发区河南神马氢化学有限责任公司净化装置尾气（含二氧化碳）</w:t>
                  </w:r>
                </w:p>
              </w:tc>
            </w:tr>
            <w:tr w14:paraId="0FA2183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409" w:type="dxa"/>
                  <w:tcBorders>
                    <w:tl2br w:val="nil"/>
                    <w:tr2bl w:val="nil"/>
                  </w:tcBorders>
                  <w:shd w:val="clear" w:color="auto" w:fill="auto"/>
                  <w:vAlign w:val="center"/>
                </w:tcPr>
                <w:p w14:paraId="1AB72720">
                  <w:pPr>
                    <w:pStyle w:val="45"/>
                    <w:rPr>
                      <w:rFonts w:hint="default"/>
                      <w:b w:val="0"/>
                      <w:bCs w:val="0"/>
                      <w:u w:val="none"/>
                    </w:rPr>
                  </w:pPr>
                  <w:r>
                    <w:rPr>
                      <w:b w:val="0"/>
                      <w:bCs w:val="0"/>
                      <w:u w:val="none"/>
                    </w:rPr>
                    <w:t>2</w:t>
                  </w:r>
                </w:p>
              </w:tc>
              <w:tc>
                <w:tcPr>
                  <w:tcW w:w="958" w:type="dxa"/>
                  <w:tcBorders>
                    <w:tl2br w:val="nil"/>
                    <w:tr2bl w:val="nil"/>
                  </w:tcBorders>
                  <w:shd w:val="clear" w:color="auto" w:fill="auto"/>
                  <w:vAlign w:val="center"/>
                </w:tcPr>
                <w:p w14:paraId="7F64BCD4">
                  <w:pPr>
                    <w:pStyle w:val="45"/>
                    <w:rPr>
                      <w:rFonts w:hint="default"/>
                      <w:b w:val="0"/>
                      <w:bCs w:val="0"/>
                      <w:highlight w:val="none"/>
                      <w:u w:val="none"/>
                    </w:rPr>
                  </w:pPr>
                  <w:r>
                    <w:rPr>
                      <w:rFonts w:hint="eastAsia"/>
                      <w:b w:val="0"/>
                      <w:bCs w:val="0"/>
                      <w:highlight w:val="none"/>
                      <w:u w:val="none"/>
                      <w:lang w:eastAsia="zh-CN"/>
                    </w:rPr>
                    <w:t>优等品</w:t>
                  </w:r>
                  <w:r>
                    <w:rPr>
                      <w:b w:val="0"/>
                      <w:bCs w:val="0"/>
                      <w:highlight w:val="none"/>
                      <w:u w:val="none"/>
                    </w:rPr>
                    <w:t>液氨</w:t>
                  </w:r>
                </w:p>
              </w:tc>
              <w:tc>
                <w:tcPr>
                  <w:tcW w:w="875" w:type="dxa"/>
                  <w:tcBorders>
                    <w:tl2br w:val="nil"/>
                    <w:tr2bl w:val="nil"/>
                  </w:tcBorders>
                  <w:shd w:val="clear" w:color="auto" w:fill="auto"/>
                  <w:vAlign w:val="center"/>
                </w:tcPr>
                <w:p w14:paraId="56AD18C9">
                  <w:pPr>
                    <w:pStyle w:val="45"/>
                    <w:rPr>
                      <w:rFonts w:hint="default"/>
                      <w:b w:val="0"/>
                      <w:bCs w:val="0"/>
                      <w:u w:val="none"/>
                    </w:rPr>
                  </w:pPr>
                  <w:r>
                    <w:rPr>
                      <w:b w:val="0"/>
                      <w:bCs w:val="0"/>
                      <w:u w:val="none"/>
                    </w:rPr>
                    <w:t>氨含量≥99.9%</w:t>
                  </w:r>
                </w:p>
              </w:tc>
              <w:tc>
                <w:tcPr>
                  <w:tcW w:w="900" w:type="dxa"/>
                  <w:tcBorders>
                    <w:tl2br w:val="nil"/>
                    <w:tr2bl w:val="nil"/>
                  </w:tcBorders>
                  <w:shd w:val="clear" w:color="auto" w:fill="auto"/>
                  <w:vAlign w:val="center"/>
                </w:tcPr>
                <w:p w14:paraId="499CB5F4">
                  <w:pPr>
                    <w:pStyle w:val="45"/>
                    <w:rPr>
                      <w:rFonts w:hint="default"/>
                      <w:b w:val="0"/>
                      <w:bCs w:val="0"/>
                      <w:u w:val="none"/>
                    </w:rPr>
                  </w:pPr>
                  <w:r>
                    <w:rPr>
                      <w:b w:val="0"/>
                      <w:bCs w:val="0"/>
                      <w:u w:val="none"/>
                    </w:rPr>
                    <w:t>40m</w:t>
                  </w:r>
                  <w:r>
                    <w:rPr>
                      <w:b w:val="0"/>
                      <w:bCs w:val="0"/>
                      <w:u w:val="none"/>
                      <w:vertAlign w:val="superscript"/>
                    </w:rPr>
                    <w:t>3</w:t>
                  </w:r>
                  <w:r>
                    <w:rPr>
                      <w:b w:val="0"/>
                      <w:bCs w:val="0"/>
                      <w:u w:val="none"/>
                    </w:rPr>
                    <w:t>原料储罐2个</w:t>
                  </w:r>
                </w:p>
              </w:tc>
              <w:tc>
                <w:tcPr>
                  <w:tcW w:w="1073" w:type="dxa"/>
                  <w:tcBorders>
                    <w:tl2br w:val="nil"/>
                    <w:tr2bl w:val="nil"/>
                  </w:tcBorders>
                  <w:shd w:val="clear" w:color="auto" w:fill="auto"/>
                  <w:vAlign w:val="center"/>
                </w:tcPr>
                <w:p w14:paraId="1BFD30CD">
                  <w:pPr>
                    <w:pStyle w:val="45"/>
                    <w:rPr>
                      <w:rFonts w:hint="default"/>
                      <w:b w:val="0"/>
                      <w:bCs w:val="0"/>
                      <w:u w:val="none"/>
                    </w:rPr>
                  </w:pPr>
                  <w:r>
                    <w:rPr>
                      <w:b w:val="0"/>
                      <w:bCs w:val="0"/>
                      <w:u w:val="none"/>
                    </w:rPr>
                    <w:t>6818吨/a</w:t>
                  </w:r>
                </w:p>
              </w:tc>
              <w:tc>
                <w:tcPr>
                  <w:tcW w:w="410" w:type="dxa"/>
                  <w:tcBorders>
                    <w:tl2br w:val="nil"/>
                    <w:tr2bl w:val="nil"/>
                  </w:tcBorders>
                  <w:shd w:val="clear" w:color="auto" w:fill="auto"/>
                  <w:vAlign w:val="center"/>
                </w:tcPr>
                <w:p w14:paraId="5B45F62C">
                  <w:pPr>
                    <w:pStyle w:val="45"/>
                    <w:rPr>
                      <w:rFonts w:hint="default"/>
                      <w:b w:val="0"/>
                      <w:bCs w:val="0"/>
                      <w:u w:val="none"/>
                    </w:rPr>
                  </w:pPr>
                  <w:r>
                    <w:rPr>
                      <w:b w:val="0"/>
                      <w:bCs w:val="0"/>
                      <w:u w:val="none"/>
                    </w:rPr>
                    <w:t>液态</w:t>
                  </w:r>
                </w:p>
              </w:tc>
              <w:tc>
                <w:tcPr>
                  <w:tcW w:w="805" w:type="dxa"/>
                  <w:tcBorders>
                    <w:tl2br w:val="nil"/>
                    <w:tr2bl w:val="nil"/>
                  </w:tcBorders>
                  <w:shd w:val="clear" w:color="auto" w:fill="auto"/>
                  <w:vAlign w:val="center"/>
                </w:tcPr>
                <w:p w14:paraId="2601DDB0">
                  <w:pPr>
                    <w:pStyle w:val="45"/>
                    <w:rPr>
                      <w:rFonts w:hint="default"/>
                      <w:b w:val="0"/>
                      <w:bCs w:val="0"/>
                      <w:u w:val="none"/>
                    </w:rPr>
                  </w:pPr>
                  <w:r>
                    <w:rPr>
                      <w:b w:val="0"/>
                      <w:bCs w:val="0"/>
                      <w:u w:val="none"/>
                    </w:rPr>
                    <w:t>管道</w:t>
                  </w:r>
                </w:p>
              </w:tc>
              <w:tc>
                <w:tcPr>
                  <w:tcW w:w="717" w:type="dxa"/>
                  <w:tcBorders>
                    <w:tl2br w:val="nil"/>
                    <w:tr2bl w:val="nil"/>
                  </w:tcBorders>
                  <w:shd w:val="clear" w:color="auto" w:fill="auto"/>
                  <w:vAlign w:val="center"/>
                </w:tcPr>
                <w:p w14:paraId="30A26B66">
                  <w:pPr>
                    <w:pStyle w:val="45"/>
                    <w:rPr>
                      <w:rFonts w:hint="default"/>
                      <w:b w:val="0"/>
                      <w:bCs w:val="0"/>
                      <w:u w:val="none"/>
                    </w:rPr>
                  </w:pPr>
                  <w:r>
                    <w:rPr>
                      <w:b w:val="0"/>
                      <w:bCs w:val="0"/>
                      <w:u w:val="none"/>
                    </w:rPr>
                    <w:t>39.6t</w:t>
                  </w:r>
                </w:p>
              </w:tc>
              <w:tc>
                <w:tcPr>
                  <w:tcW w:w="1520" w:type="dxa"/>
                  <w:tcBorders>
                    <w:tl2br w:val="nil"/>
                    <w:tr2bl w:val="nil"/>
                  </w:tcBorders>
                  <w:shd w:val="clear" w:color="auto" w:fill="auto"/>
                  <w:vAlign w:val="center"/>
                </w:tcPr>
                <w:p w14:paraId="61FF0650">
                  <w:pPr>
                    <w:pStyle w:val="45"/>
                    <w:rPr>
                      <w:rFonts w:hint="default"/>
                      <w:b w:val="0"/>
                      <w:bCs w:val="0"/>
                      <w:u w:val="none"/>
                    </w:rPr>
                  </w:pPr>
                  <w:r>
                    <w:rPr>
                      <w:b w:val="0"/>
                      <w:bCs w:val="0"/>
                      <w:u w:val="none"/>
                    </w:rPr>
                    <w:t>平顶山尼龙新材料开发区河南神马氢化学有限责任公司</w:t>
                  </w:r>
                </w:p>
              </w:tc>
            </w:tr>
            <w:tr w14:paraId="1E5E126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409" w:type="dxa"/>
                  <w:tcBorders>
                    <w:tl2br w:val="nil"/>
                    <w:tr2bl w:val="nil"/>
                  </w:tcBorders>
                  <w:shd w:val="clear" w:color="auto" w:fill="auto"/>
                  <w:vAlign w:val="center"/>
                </w:tcPr>
                <w:p w14:paraId="58888239">
                  <w:pPr>
                    <w:pStyle w:val="45"/>
                    <w:rPr>
                      <w:rFonts w:hint="default"/>
                      <w:b w:val="0"/>
                      <w:bCs w:val="0"/>
                      <w:u w:val="none"/>
                    </w:rPr>
                  </w:pPr>
                  <w:r>
                    <w:rPr>
                      <w:b w:val="0"/>
                      <w:bCs w:val="0"/>
                      <w:u w:val="none"/>
                    </w:rPr>
                    <w:t>3</w:t>
                  </w:r>
                </w:p>
              </w:tc>
              <w:tc>
                <w:tcPr>
                  <w:tcW w:w="958" w:type="dxa"/>
                  <w:tcBorders>
                    <w:tl2br w:val="nil"/>
                    <w:tr2bl w:val="nil"/>
                  </w:tcBorders>
                  <w:shd w:val="clear" w:color="auto" w:fill="auto"/>
                  <w:vAlign w:val="center"/>
                </w:tcPr>
                <w:p w14:paraId="07F8A90A">
                  <w:pPr>
                    <w:pStyle w:val="45"/>
                    <w:rPr>
                      <w:rFonts w:hint="default"/>
                      <w:b w:val="0"/>
                      <w:bCs w:val="0"/>
                      <w:u w:val="none"/>
                    </w:rPr>
                  </w:pPr>
                  <w:r>
                    <w:rPr>
                      <w:b w:val="0"/>
                      <w:bCs w:val="0"/>
                      <w:u w:val="none"/>
                    </w:rPr>
                    <w:t>液氨（制冷剂）</w:t>
                  </w:r>
                </w:p>
              </w:tc>
              <w:tc>
                <w:tcPr>
                  <w:tcW w:w="875" w:type="dxa"/>
                  <w:tcBorders>
                    <w:tl2br w:val="nil"/>
                    <w:tr2bl w:val="nil"/>
                  </w:tcBorders>
                  <w:shd w:val="clear" w:color="auto" w:fill="auto"/>
                  <w:vAlign w:val="center"/>
                </w:tcPr>
                <w:p w14:paraId="6979A06C">
                  <w:pPr>
                    <w:pStyle w:val="45"/>
                    <w:rPr>
                      <w:rFonts w:hint="default"/>
                      <w:b w:val="0"/>
                      <w:bCs w:val="0"/>
                      <w:u w:val="none"/>
                    </w:rPr>
                  </w:pPr>
                  <w:r>
                    <w:rPr>
                      <w:b w:val="0"/>
                      <w:bCs w:val="0"/>
                      <w:u w:val="none"/>
                    </w:rPr>
                    <w:t>/</w:t>
                  </w:r>
                </w:p>
              </w:tc>
              <w:tc>
                <w:tcPr>
                  <w:tcW w:w="900" w:type="dxa"/>
                  <w:tcBorders>
                    <w:tl2br w:val="nil"/>
                    <w:tr2bl w:val="nil"/>
                  </w:tcBorders>
                  <w:shd w:val="clear" w:color="auto" w:fill="auto"/>
                  <w:vAlign w:val="center"/>
                </w:tcPr>
                <w:p w14:paraId="7A0C4D7C">
                  <w:pPr>
                    <w:pStyle w:val="45"/>
                    <w:rPr>
                      <w:rFonts w:hint="default"/>
                      <w:b w:val="0"/>
                      <w:bCs w:val="0"/>
                      <w:u w:val="none"/>
                    </w:rPr>
                  </w:pPr>
                  <w:r>
                    <w:rPr>
                      <w:b w:val="0"/>
                      <w:bCs w:val="0"/>
                      <w:u w:val="none"/>
                    </w:rPr>
                    <w:t>/</w:t>
                  </w:r>
                </w:p>
              </w:tc>
              <w:tc>
                <w:tcPr>
                  <w:tcW w:w="1073" w:type="dxa"/>
                  <w:tcBorders>
                    <w:tl2br w:val="nil"/>
                    <w:tr2bl w:val="nil"/>
                  </w:tcBorders>
                  <w:shd w:val="clear" w:color="auto" w:fill="auto"/>
                  <w:vAlign w:val="center"/>
                </w:tcPr>
                <w:p w14:paraId="450590B9">
                  <w:pPr>
                    <w:pStyle w:val="45"/>
                    <w:rPr>
                      <w:rFonts w:hint="default"/>
                      <w:b w:val="0"/>
                      <w:bCs w:val="0"/>
                      <w:u w:val="none"/>
                    </w:rPr>
                  </w:pPr>
                  <w:r>
                    <w:rPr>
                      <w:rFonts w:hint="default"/>
                      <w:b w:val="0"/>
                      <w:bCs w:val="0"/>
                      <w:u w:val="none"/>
                    </w:rPr>
                    <w:t>1.8t/a</w:t>
                  </w:r>
                </w:p>
              </w:tc>
              <w:tc>
                <w:tcPr>
                  <w:tcW w:w="410" w:type="dxa"/>
                  <w:tcBorders>
                    <w:tl2br w:val="nil"/>
                    <w:tr2bl w:val="nil"/>
                  </w:tcBorders>
                  <w:shd w:val="clear" w:color="auto" w:fill="auto"/>
                  <w:vAlign w:val="center"/>
                </w:tcPr>
                <w:p w14:paraId="018DDAA9">
                  <w:pPr>
                    <w:pStyle w:val="45"/>
                    <w:rPr>
                      <w:rFonts w:hint="default"/>
                      <w:b w:val="0"/>
                      <w:bCs w:val="0"/>
                      <w:u w:val="none"/>
                    </w:rPr>
                  </w:pPr>
                  <w:r>
                    <w:rPr>
                      <w:b w:val="0"/>
                      <w:bCs w:val="0"/>
                      <w:u w:val="none"/>
                    </w:rPr>
                    <w:t>液态</w:t>
                  </w:r>
                </w:p>
              </w:tc>
              <w:tc>
                <w:tcPr>
                  <w:tcW w:w="805" w:type="dxa"/>
                  <w:tcBorders>
                    <w:tl2br w:val="nil"/>
                    <w:tr2bl w:val="nil"/>
                  </w:tcBorders>
                  <w:shd w:val="clear" w:color="auto" w:fill="auto"/>
                  <w:vAlign w:val="center"/>
                </w:tcPr>
                <w:p w14:paraId="3A0A2384">
                  <w:pPr>
                    <w:pStyle w:val="45"/>
                    <w:rPr>
                      <w:rFonts w:hint="default"/>
                      <w:b w:val="0"/>
                      <w:bCs w:val="0"/>
                      <w:u w:val="none"/>
                    </w:rPr>
                  </w:pPr>
                  <w:r>
                    <w:rPr>
                      <w:b w:val="0"/>
                      <w:bCs w:val="0"/>
                      <w:u w:val="none"/>
                    </w:rPr>
                    <w:t>汽车运输</w:t>
                  </w:r>
                </w:p>
              </w:tc>
              <w:tc>
                <w:tcPr>
                  <w:tcW w:w="717" w:type="dxa"/>
                  <w:tcBorders>
                    <w:tl2br w:val="nil"/>
                    <w:tr2bl w:val="nil"/>
                  </w:tcBorders>
                  <w:shd w:val="clear" w:color="auto" w:fill="auto"/>
                  <w:vAlign w:val="center"/>
                </w:tcPr>
                <w:p w14:paraId="3201598B">
                  <w:pPr>
                    <w:pStyle w:val="45"/>
                    <w:rPr>
                      <w:rFonts w:hint="default"/>
                      <w:b w:val="0"/>
                      <w:bCs w:val="0"/>
                      <w:u w:val="none"/>
                    </w:rPr>
                  </w:pPr>
                  <w:r>
                    <w:rPr>
                      <w:b w:val="0"/>
                      <w:bCs w:val="0"/>
                      <w:u w:val="none"/>
                    </w:rPr>
                    <w:t>0.15t</w:t>
                  </w:r>
                </w:p>
              </w:tc>
              <w:tc>
                <w:tcPr>
                  <w:tcW w:w="1520" w:type="dxa"/>
                  <w:tcBorders>
                    <w:tl2br w:val="nil"/>
                    <w:tr2bl w:val="nil"/>
                  </w:tcBorders>
                  <w:shd w:val="clear" w:color="auto" w:fill="auto"/>
                  <w:vAlign w:val="center"/>
                </w:tcPr>
                <w:p w14:paraId="78D4FF96">
                  <w:pPr>
                    <w:pStyle w:val="45"/>
                    <w:rPr>
                      <w:rFonts w:hint="default"/>
                      <w:b w:val="0"/>
                      <w:bCs w:val="0"/>
                      <w:u w:val="none"/>
                    </w:rPr>
                  </w:pPr>
                  <w:r>
                    <w:rPr>
                      <w:b w:val="0"/>
                      <w:bCs w:val="0"/>
                      <w:u w:val="none"/>
                    </w:rPr>
                    <w:t>/</w:t>
                  </w:r>
                </w:p>
              </w:tc>
            </w:tr>
            <w:tr w14:paraId="67D3EEF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409" w:type="dxa"/>
                  <w:tcBorders>
                    <w:tl2br w:val="nil"/>
                    <w:tr2bl w:val="nil"/>
                  </w:tcBorders>
                  <w:shd w:val="clear" w:color="auto" w:fill="auto"/>
                  <w:vAlign w:val="center"/>
                </w:tcPr>
                <w:p w14:paraId="19F3FADE">
                  <w:pPr>
                    <w:pStyle w:val="45"/>
                    <w:rPr>
                      <w:rFonts w:hint="default"/>
                      <w:b w:val="0"/>
                      <w:bCs w:val="0"/>
                      <w:u w:val="none"/>
                    </w:rPr>
                  </w:pPr>
                  <w:r>
                    <w:rPr>
                      <w:b w:val="0"/>
                      <w:bCs w:val="0"/>
                      <w:u w:val="none"/>
                    </w:rPr>
                    <w:t>4</w:t>
                  </w:r>
                </w:p>
              </w:tc>
              <w:tc>
                <w:tcPr>
                  <w:tcW w:w="958" w:type="dxa"/>
                  <w:tcBorders>
                    <w:tl2br w:val="nil"/>
                    <w:tr2bl w:val="nil"/>
                  </w:tcBorders>
                  <w:shd w:val="clear" w:color="auto" w:fill="auto"/>
                  <w:vAlign w:val="center"/>
                </w:tcPr>
                <w:p w14:paraId="3FEBD224">
                  <w:pPr>
                    <w:pStyle w:val="45"/>
                    <w:rPr>
                      <w:rFonts w:hint="default"/>
                      <w:b w:val="0"/>
                      <w:bCs w:val="0"/>
                      <w:u w:val="none"/>
                    </w:rPr>
                  </w:pPr>
                  <w:r>
                    <w:rPr>
                      <w:b w:val="0"/>
                      <w:bCs w:val="0"/>
                      <w:u w:val="none"/>
                    </w:rPr>
                    <w:t>R507制冷剂</w:t>
                  </w:r>
                </w:p>
              </w:tc>
              <w:tc>
                <w:tcPr>
                  <w:tcW w:w="875" w:type="dxa"/>
                  <w:tcBorders>
                    <w:tl2br w:val="nil"/>
                    <w:tr2bl w:val="nil"/>
                  </w:tcBorders>
                  <w:shd w:val="clear" w:color="auto" w:fill="auto"/>
                  <w:vAlign w:val="center"/>
                </w:tcPr>
                <w:p w14:paraId="54E99175">
                  <w:pPr>
                    <w:pStyle w:val="45"/>
                    <w:rPr>
                      <w:rFonts w:hint="default"/>
                      <w:b w:val="0"/>
                      <w:bCs w:val="0"/>
                      <w:u w:val="none"/>
                    </w:rPr>
                  </w:pPr>
                  <w:r>
                    <w:rPr>
                      <w:b w:val="0"/>
                      <w:bCs w:val="0"/>
                      <w:u w:val="none"/>
                    </w:rPr>
                    <w:t>/</w:t>
                  </w:r>
                </w:p>
              </w:tc>
              <w:tc>
                <w:tcPr>
                  <w:tcW w:w="900" w:type="dxa"/>
                  <w:tcBorders>
                    <w:tl2br w:val="nil"/>
                    <w:tr2bl w:val="nil"/>
                  </w:tcBorders>
                  <w:shd w:val="clear" w:color="auto" w:fill="auto"/>
                  <w:vAlign w:val="center"/>
                </w:tcPr>
                <w:p w14:paraId="1F7E224D">
                  <w:pPr>
                    <w:pStyle w:val="45"/>
                    <w:rPr>
                      <w:rFonts w:hint="default"/>
                      <w:b w:val="0"/>
                      <w:bCs w:val="0"/>
                      <w:u w:val="none"/>
                    </w:rPr>
                  </w:pPr>
                  <w:r>
                    <w:rPr>
                      <w:b w:val="0"/>
                      <w:bCs w:val="0"/>
                      <w:u w:val="none"/>
                    </w:rPr>
                    <w:t>/</w:t>
                  </w:r>
                </w:p>
              </w:tc>
              <w:tc>
                <w:tcPr>
                  <w:tcW w:w="1073" w:type="dxa"/>
                  <w:tcBorders>
                    <w:tl2br w:val="nil"/>
                    <w:tr2bl w:val="nil"/>
                  </w:tcBorders>
                  <w:shd w:val="clear" w:color="auto" w:fill="auto"/>
                  <w:vAlign w:val="center"/>
                </w:tcPr>
                <w:p w14:paraId="44F6B3EC">
                  <w:pPr>
                    <w:pStyle w:val="45"/>
                    <w:rPr>
                      <w:rFonts w:hint="default"/>
                      <w:b w:val="0"/>
                      <w:bCs w:val="0"/>
                      <w:u w:val="none"/>
                    </w:rPr>
                  </w:pPr>
                  <w:r>
                    <w:rPr>
                      <w:rFonts w:hint="default"/>
                      <w:b w:val="0"/>
                      <w:bCs w:val="0"/>
                      <w:u w:val="none"/>
                    </w:rPr>
                    <w:t>3.2t/a</w:t>
                  </w:r>
                </w:p>
              </w:tc>
              <w:tc>
                <w:tcPr>
                  <w:tcW w:w="410" w:type="dxa"/>
                  <w:tcBorders>
                    <w:tl2br w:val="nil"/>
                    <w:tr2bl w:val="nil"/>
                  </w:tcBorders>
                  <w:shd w:val="clear" w:color="auto" w:fill="auto"/>
                  <w:vAlign w:val="center"/>
                </w:tcPr>
                <w:p w14:paraId="4761374E">
                  <w:pPr>
                    <w:pStyle w:val="45"/>
                    <w:rPr>
                      <w:rFonts w:hint="default"/>
                      <w:b w:val="0"/>
                      <w:bCs w:val="0"/>
                      <w:u w:val="none"/>
                    </w:rPr>
                  </w:pPr>
                  <w:r>
                    <w:rPr>
                      <w:b w:val="0"/>
                      <w:bCs w:val="0"/>
                      <w:u w:val="none"/>
                    </w:rPr>
                    <w:t>液态</w:t>
                  </w:r>
                </w:p>
              </w:tc>
              <w:tc>
                <w:tcPr>
                  <w:tcW w:w="805" w:type="dxa"/>
                  <w:tcBorders>
                    <w:tl2br w:val="nil"/>
                    <w:tr2bl w:val="nil"/>
                  </w:tcBorders>
                  <w:shd w:val="clear" w:color="auto" w:fill="auto"/>
                  <w:vAlign w:val="center"/>
                </w:tcPr>
                <w:p w14:paraId="77938B9E">
                  <w:pPr>
                    <w:pStyle w:val="45"/>
                    <w:rPr>
                      <w:rFonts w:hint="default"/>
                      <w:b w:val="0"/>
                      <w:bCs w:val="0"/>
                      <w:u w:val="none"/>
                    </w:rPr>
                  </w:pPr>
                  <w:r>
                    <w:rPr>
                      <w:b w:val="0"/>
                      <w:bCs w:val="0"/>
                      <w:u w:val="none"/>
                    </w:rPr>
                    <w:t>汽车运输</w:t>
                  </w:r>
                </w:p>
              </w:tc>
              <w:tc>
                <w:tcPr>
                  <w:tcW w:w="717" w:type="dxa"/>
                  <w:tcBorders>
                    <w:tl2br w:val="nil"/>
                    <w:tr2bl w:val="nil"/>
                  </w:tcBorders>
                  <w:shd w:val="clear" w:color="auto" w:fill="auto"/>
                  <w:vAlign w:val="center"/>
                </w:tcPr>
                <w:p w14:paraId="726015E5">
                  <w:pPr>
                    <w:pStyle w:val="45"/>
                    <w:rPr>
                      <w:rFonts w:hint="default"/>
                      <w:b w:val="0"/>
                      <w:bCs w:val="0"/>
                      <w:u w:val="none"/>
                    </w:rPr>
                  </w:pPr>
                  <w:r>
                    <w:rPr>
                      <w:b w:val="0"/>
                      <w:bCs w:val="0"/>
                      <w:u w:val="none"/>
                    </w:rPr>
                    <w:t>0.3t</w:t>
                  </w:r>
                </w:p>
              </w:tc>
              <w:tc>
                <w:tcPr>
                  <w:tcW w:w="1520" w:type="dxa"/>
                  <w:tcBorders>
                    <w:tl2br w:val="nil"/>
                    <w:tr2bl w:val="nil"/>
                  </w:tcBorders>
                  <w:shd w:val="clear" w:color="auto" w:fill="auto"/>
                  <w:vAlign w:val="center"/>
                </w:tcPr>
                <w:p w14:paraId="6B34E8CD">
                  <w:pPr>
                    <w:pStyle w:val="45"/>
                    <w:rPr>
                      <w:rFonts w:hint="default"/>
                      <w:b w:val="0"/>
                      <w:bCs w:val="0"/>
                      <w:u w:val="none"/>
                    </w:rPr>
                  </w:pPr>
                  <w:r>
                    <w:rPr>
                      <w:b w:val="0"/>
                      <w:bCs w:val="0"/>
                      <w:u w:val="none"/>
                    </w:rPr>
                    <w:t>/</w:t>
                  </w:r>
                </w:p>
              </w:tc>
            </w:tr>
            <w:tr w14:paraId="417987D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409" w:type="dxa"/>
                  <w:tcBorders>
                    <w:tl2br w:val="nil"/>
                    <w:tr2bl w:val="nil"/>
                  </w:tcBorders>
                  <w:shd w:val="clear" w:color="auto" w:fill="auto"/>
                  <w:vAlign w:val="center"/>
                </w:tcPr>
                <w:p w14:paraId="48845D1D">
                  <w:pPr>
                    <w:pStyle w:val="45"/>
                    <w:rPr>
                      <w:rFonts w:hint="default"/>
                      <w:b w:val="0"/>
                      <w:bCs w:val="0"/>
                      <w:u w:val="none"/>
                    </w:rPr>
                  </w:pPr>
                  <w:r>
                    <w:rPr>
                      <w:b w:val="0"/>
                      <w:bCs w:val="0"/>
                      <w:u w:val="none"/>
                    </w:rPr>
                    <w:t>5</w:t>
                  </w:r>
                </w:p>
              </w:tc>
              <w:tc>
                <w:tcPr>
                  <w:tcW w:w="958" w:type="dxa"/>
                  <w:tcBorders>
                    <w:tl2br w:val="nil"/>
                    <w:tr2bl w:val="nil"/>
                  </w:tcBorders>
                  <w:shd w:val="clear" w:color="auto" w:fill="auto"/>
                  <w:vAlign w:val="center"/>
                </w:tcPr>
                <w:p w14:paraId="18F50F62">
                  <w:pPr>
                    <w:pStyle w:val="45"/>
                    <w:rPr>
                      <w:rFonts w:hint="default"/>
                      <w:b w:val="0"/>
                      <w:bCs w:val="0"/>
                      <w:u w:val="none"/>
                    </w:rPr>
                  </w:pPr>
                  <w:r>
                    <w:rPr>
                      <w:b w:val="0"/>
                      <w:bCs w:val="0"/>
                      <w:u w:val="none"/>
                    </w:rPr>
                    <w:t>脱硫剂</w:t>
                  </w:r>
                </w:p>
              </w:tc>
              <w:tc>
                <w:tcPr>
                  <w:tcW w:w="875" w:type="dxa"/>
                  <w:tcBorders>
                    <w:tl2br w:val="nil"/>
                    <w:tr2bl w:val="nil"/>
                  </w:tcBorders>
                  <w:shd w:val="clear" w:color="auto" w:fill="auto"/>
                  <w:vAlign w:val="center"/>
                </w:tcPr>
                <w:p w14:paraId="0C5BE105">
                  <w:pPr>
                    <w:pStyle w:val="45"/>
                    <w:rPr>
                      <w:rFonts w:hint="default"/>
                      <w:b w:val="0"/>
                      <w:bCs w:val="0"/>
                      <w:u w:val="none"/>
                    </w:rPr>
                  </w:pPr>
                  <w:r>
                    <w:rPr>
                      <w:b w:val="0"/>
                      <w:bCs w:val="0"/>
                      <w:u w:val="none"/>
                    </w:rPr>
                    <w:t>/</w:t>
                  </w:r>
                </w:p>
              </w:tc>
              <w:tc>
                <w:tcPr>
                  <w:tcW w:w="900" w:type="dxa"/>
                  <w:vMerge w:val="restart"/>
                  <w:tcBorders>
                    <w:tl2br w:val="nil"/>
                    <w:tr2bl w:val="nil"/>
                  </w:tcBorders>
                  <w:shd w:val="clear" w:color="auto" w:fill="auto"/>
                  <w:vAlign w:val="center"/>
                </w:tcPr>
                <w:p w14:paraId="3BD43C0E">
                  <w:pPr>
                    <w:pStyle w:val="45"/>
                    <w:rPr>
                      <w:rFonts w:hint="default"/>
                      <w:b w:val="0"/>
                      <w:bCs w:val="0"/>
                      <w:u w:val="none"/>
                    </w:rPr>
                  </w:pPr>
                  <w:r>
                    <w:rPr>
                      <w:b w:val="0"/>
                      <w:bCs w:val="0"/>
                      <w:u w:val="none"/>
                    </w:rPr>
                    <w:t>库房</w:t>
                  </w:r>
                </w:p>
              </w:tc>
              <w:tc>
                <w:tcPr>
                  <w:tcW w:w="1073" w:type="dxa"/>
                  <w:tcBorders>
                    <w:tl2br w:val="nil"/>
                    <w:tr2bl w:val="nil"/>
                  </w:tcBorders>
                  <w:shd w:val="clear" w:color="auto" w:fill="auto"/>
                  <w:vAlign w:val="center"/>
                </w:tcPr>
                <w:p w14:paraId="5810CA9D">
                  <w:pPr>
                    <w:pStyle w:val="45"/>
                    <w:rPr>
                      <w:rFonts w:hint="default"/>
                      <w:b w:val="0"/>
                      <w:bCs w:val="0"/>
                      <w:u w:val="none"/>
                    </w:rPr>
                  </w:pPr>
                  <w:r>
                    <w:rPr>
                      <w:rFonts w:hint="default"/>
                      <w:b w:val="0"/>
                      <w:bCs w:val="0"/>
                      <w:u w:val="none"/>
                    </w:rPr>
                    <w:t>8t/a</w:t>
                  </w:r>
                </w:p>
              </w:tc>
              <w:tc>
                <w:tcPr>
                  <w:tcW w:w="410" w:type="dxa"/>
                  <w:tcBorders>
                    <w:tl2br w:val="nil"/>
                    <w:tr2bl w:val="nil"/>
                  </w:tcBorders>
                  <w:shd w:val="clear" w:color="auto" w:fill="auto"/>
                  <w:vAlign w:val="center"/>
                </w:tcPr>
                <w:p w14:paraId="1739C799">
                  <w:pPr>
                    <w:pStyle w:val="45"/>
                    <w:rPr>
                      <w:rFonts w:hint="default"/>
                      <w:b w:val="0"/>
                      <w:bCs w:val="0"/>
                      <w:u w:val="none"/>
                    </w:rPr>
                  </w:pPr>
                  <w:r>
                    <w:rPr>
                      <w:b w:val="0"/>
                      <w:bCs w:val="0"/>
                      <w:u w:val="none"/>
                    </w:rPr>
                    <w:t>固态</w:t>
                  </w:r>
                </w:p>
              </w:tc>
              <w:tc>
                <w:tcPr>
                  <w:tcW w:w="805" w:type="dxa"/>
                  <w:tcBorders>
                    <w:tl2br w:val="nil"/>
                    <w:tr2bl w:val="nil"/>
                  </w:tcBorders>
                  <w:shd w:val="clear" w:color="auto" w:fill="auto"/>
                  <w:vAlign w:val="center"/>
                </w:tcPr>
                <w:p w14:paraId="1EAAF4E7">
                  <w:pPr>
                    <w:pStyle w:val="45"/>
                    <w:rPr>
                      <w:rFonts w:hint="default"/>
                      <w:b w:val="0"/>
                      <w:bCs w:val="0"/>
                      <w:u w:val="none"/>
                    </w:rPr>
                  </w:pPr>
                  <w:r>
                    <w:rPr>
                      <w:b w:val="0"/>
                      <w:bCs w:val="0"/>
                      <w:u w:val="none"/>
                    </w:rPr>
                    <w:t>汽车运输</w:t>
                  </w:r>
                </w:p>
              </w:tc>
              <w:tc>
                <w:tcPr>
                  <w:tcW w:w="717" w:type="dxa"/>
                  <w:tcBorders>
                    <w:tl2br w:val="nil"/>
                    <w:tr2bl w:val="nil"/>
                  </w:tcBorders>
                  <w:shd w:val="clear" w:color="auto" w:fill="auto"/>
                  <w:vAlign w:val="center"/>
                </w:tcPr>
                <w:p w14:paraId="1F81FDDD">
                  <w:pPr>
                    <w:pStyle w:val="45"/>
                    <w:rPr>
                      <w:rFonts w:hint="default"/>
                      <w:b w:val="0"/>
                      <w:bCs w:val="0"/>
                      <w:u w:val="none"/>
                    </w:rPr>
                  </w:pPr>
                  <w:r>
                    <w:rPr>
                      <w:b w:val="0"/>
                      <w:bCs w:val="0"/>
                      <w:u w:val="none"/>
                    </w:rPr>
                    <w:t>0.7t</w:t>
                  </w:r>
                </w:p>
              </w:tc>
              <w:tc>
                <w:tcPr>
                  <w:tcW w:w="1520" w:type="dxa"/>
                  <w:tcBorders>
                    <w:tl2br w:val="nil"/>
                    <w:tr2bl w:val="nil"/>
                  </w:tcBorders>
                  <w:shd w:val="clear" w:color="auto" w:fill="auto"/>
                  <w:vAlign w:val="center"/>
                </w:tcPr>
                <w:p w14:paraId="58F4C6C0">
                  <w:pPr>
                    <w:pStyle w:val="45"/>
                    <w:rPr>
                      <w:rFonts w:hint="default"/>
                      <w:b w:val="0"/>
                      <w:bCs w:val="0"/>
                      <w:u w:val="none"/>
                    </w:rPr>
                  </w:pPr>
                  <w:r>
                    <w:rPr>
                      <w:b w:val="0"/>
                      <w:bCs w:val="0"/>
                      <w:u w:val="none"/>
                    </w:rPr>
                    <w:t>主要成分为</w:t>
                  </w:r>
                  <w:r>
                    <w:rPr>
                      <w:rFonts w:hint="default"/>
                      <w:b w:val="0"/>
                      <w:bCs w:val="0"/>
                      <w:u w:val="none"/>
                    </w:rPr>
                    <w:t>活性</w:t>
                  </w:r>
                  <w:r>
                    <w:rPr>
                      <w:b w:val="0"/>
                      <w:bCs w:val="0"/>
                      <w:u w:val="none"/>
                    </w:rPr>
                    <w:t>炭，每五年更换一次</w:t>
                  </w:r>
                </w:p>
              </w:tc>
            </w:tr>
            <w:tr w14:paraId="511AED4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09" w:type="dxa"/>
                  <w:tcBorders>
                    <w:tl2br w:val="nil"/>
                    <w:tr2bl w:val="nil"/>
                  </w:tcBorders>
                  <w:shd w:val="clear" w:color="auto" w:fill="auto"/>
                  <w:vAlign w:val="center"/>
                </w:tcPr>
                <w:p w14:paraId="6E5C557C">
                  <w:pPr>
                    <w:pStyle w:val="45"/>
                    <w:rPr>
                      <w:rFonts w:hint="default"/>
                      <w:b w:val="0"/>
                      <w:bCs w:val="0"/>
                      <w:u w:val="none"/>
                    </w:rPr>
                  </w:pPr>
                  <w:r>
                    <w:rPr>
                      <w:b w:val="0"/>
                      <w:bCs w:val="0"/>
                      <w:u w:val="none"/>
                    </w:rPr>
                    <w:t>6</w:t>
                  </w:r>
                </w:p>
              </w:tc>
              <w:tc>
                <w:tcPr>
                  <w:tcW w:w="958" w:type="dxa"/>
                  <w:tcBorders>
                    <w:tl2br w:val="nil"/>
                    <w:tr2bl w:val="nil"/>
                  </w:tcBorders>
                  <w:shd w:val="clear" w:color="auto" w:fill="auto"/>
                  <w:vAlign w:val="center"/>
                </w:tcPr>
                <w:p w14:paraId="674859D9">
                  <w:pPr>
                    <w:pStyle w:val="45"/>
                    <w:rPr>
                      <w:rFonts w:hint="default"/>
                      <w:b w:val="0"/>
                      <w:bCs w:val="0"/>
                      <w:u w:val="none"/>
                    </w:rPr>
                  </w:pPr>
                  <w:r>
                    <w:rPr>
                      <w:b w:val="0"/>
                      <w:bCs w:val="0"/>
                      <w:u w:val="none"/>
                    </w:rPr>
                    <w:t>分子筛</w:t>
                  </w:r>
                </w:p>
              </w:tc>
              <w:tc>
                <w:tcPr>
                  <w:tcW w:w="875" w:type="dxa"/>
                  <w:tcBorders>
                    <w:tl2br w:val="nil"/>
                    <w:tr2bl w:val="nil"/>
                  </w:tcBorders>
                  <w:shd w:val="clear" w:color="auto" w:fill="auto"/>
                  <w:vAlign w:val="center"/>
                </w:tcPr>
                <w:p w14:paraId="5DABD7EF">
                  <w:pPr>
                    <w:pStyle w:val="45"/>
                    <w:rPr>
                      <w:rFonts w:hint="default"/>
                      <w:b w:val="0"/>
                      <w:bCs w:val="0"/>
                      <w:u w:val="none"/>
                    </w:rPr>
                  </w:pPr>
                  <w:r>
                    <w:rPr>
                      <w:b w:val="0"/>
                      <w:bCs w:val="0"/>
                      <w:u w:val="none"/>
                    </w:rPr>
                    <w:t>/</w:t>
                  </w:r>
                </w:p>
              </w:tc>
              <w:tc>
                <w:tcPr>
                  <w:tcW w:w="900" w:type="dxa"/>
                  <w:vMerge w:val="continue"/>
                  <w:tcBorders>
                    <w:tl2br w:val="nil"/>
                    <w:tr2bl w:val="nil"/>
                  </w:tcBorders>
                  <w:shd w:val="clear" w:color="auto" w:fill="auto"/>
                  <w:vAlign w:val="center"/>
                </w:tcPr>
                <w:p w14:paraId="2487E091">
                  <w:pPr>
                    <w:pStyle w:val="45"/>
                    <w:rPr>
                      <w:rFonts w:hint="default"/>
                      <w:b w:val="0"/>
                      <w:bCs w:val="0"/>
                      <w:u w:val="none"/>
                    </w:rPr>
                  </w:pPr>
                </w:p>
              </w:tc>
              <w:tc>
                <w:tcPr>
                  <w:tcW w:w="1073" w:type="dxa"/>
                  <w:tcBorders>
                    <w:tl2br w:val="nil"/>
                    <w:tr2bl w:val="nil"/>
                  </w:tcBorders>
                  <w:shd w:val="clear" w:color="auto" w:fill="auto"/>
                  <w:vAlign w:val="center"/>
                </w:tcPr>
                <w:p w14:paraId="0BBECE01">
                  <w:pPr>
                    <w:pStyle w:val="45"/>
                    <w:rPr>
                      <w:rFonts w:hint="default"/>
                      <w:b w:val="0"/>
                      <w:bCs w:val="0"/>
                      <w:u w:val="none"/>
                    </w:rPr>
                  </w:pPr>
                  <w:r>
                    <w:rPr>
                      <w:b w:val="0"/>
                      <w:bCs w:val="0"/>
                      <w:u w:val="none"/>
                    </w:rPr>
                    <w:t>10t/a</w:t>
                  </w:r>
                </w:p>
              </w:tc>
              <w:tc>
                <w:tcPr>
                  <w:tcW w:w="410" w:type="dxa"/>
                  <w:tcBorders>
                    <w:tl2br w:val="nil"/>
                    <w:tr2bl w:val="nil"/>
                  </w:tcBorders>
                  <w:shd w:val="clear" w:color="auto" w:fill="auto"/>
                  <w:vAlign w:val="center"/>
                </w:tcPr>
                <w:p w14:paraId="31F1C01A">
                  <w:pPr>
                    <w:pStyle w:val="45"/>
                    <w:rPr>
                      <w:rFonts w:hint="default"/>
                      <w:b w:val="0"/>
                      <w:bCs w:val="0"/>
                      <w:u w:val="none"/>
                    </w:rPr>
                  </w:pPr>
                  <w:r>
                    <w:rPr>
                      <w:b w:val="0"/>
                      <w:bCs w:val="0"/>
                      <w:u w:val="none"/>
                    </w:rPr>
                    <w:t>固态</w:t>
                  </w:r>
                </w:p>
              </w:tc>
              <w:tc>
                <w:tcPr>
                  <w:tcW w:w="805" w:type="dxa"/>
                  <w:tcBorders>
                    <w:tl2br w:val="nil"/>
                    <w:tr2bl w:val="nil"/>
                  </w:tcBorders>
                  <w:shd w:val="clear" w:color="auto" w:fill="auto"/>
                  <w:vAlign w:val="center"/>
                </w:tcPr>
                <w:p w14:paraId="226360B7">
                  <w:pPr>
                    <w:pStyle w:val="45"/>
                    <w:rPr>
                      <w:rFonts w:hint="default"/>
                      <w:b w:val="0"/>
                      <w:bCs w:val="0"/>
                      <w:u w:val="none"/>
                    </w:rPr>
                  </w:pPr>
                  <w:r>
                    <w:rPr>
                      <w:b w:val="0"/>
                      <w:bCs w:val="0"/>
                      <w:u w:val="none"/>
                    </w:rPr>
                    <w:t>汽车运输</w:t>
                  </w:r>
                </w:p>
              </w:tc>
              <w:tc>
                <w:tcPr>
                  <w:tcW w:w="717" w:type="dxa"/>
                  <w:tcBorders>
                    <w:tl2br w:val="nil"/>
                    <w:tr2bl w:val="nil"/>
                  </w:tcBorders>
                  <w:shd w:val="clear" w:color="auto" w:fill="auto"/>
                  <w:vAlign w:val="center"/>
                </w:tcPr>
                <w:p w14:paraId="598219F5">
                  <w:pPr>
                    <w:pStyle w:val="45"/>
                    <w:rPr>
                      <w:rFonts w:hint="default"/>
                      <w:b w:val="0"/>
                      <w:bCs w:val="0"/>
                      <w:u w:val="none"/>
                    </w:rPr>
                  </w:pPr>
                  <w:r>
                    <w:rPr>
                      <w:b w:val="0"/>
                      <w:bCs w:val="0"/>
                      <w:u w:val="none"/>
                    </w:rPr>
                    <w:t>/</w:t>
                  </w:r>
                </w:p>
              </w:tc>
              <w:tc>
                <w:tcPr>
                  <w:tcW w:w="1520" w:type="dxa"/>
                  <w:tcBorders>
                    <w:tl2br w:val="nil"/>
                    <w:tr2bl w:val="nil"/>
                  </w:tcBorders>
                  <w:shd w:val="clear" w:color="auto" w:fill="auto"/>
                  <w:vAlign w:val="center"/>
                </w:tcPr>
                <w:p w14:paraId="6F2A9ECC">
                  <w:pPr>
                    <w:pStyle w:val="45"/>
                    <w:rPr>
                      <w:rFonts w:hint="default"/>
                      <w:b w:val="0"/>
                      <w:bCs w:val="0"/>
                      <w:u w:val="none"/>
                    </w:rPr>
                  </w:pPr>
                  <w:r>
                    <w:rPr>
                      <w:b w:val="0"/>
                      <w:bCs w:val="0"/>
                      <w:u w:val="none"/>
                    </w:rPr>
                    <w:t>外购，每五年更换一次</w:t>
                  </w:r>
                </w:p>
              </w:tc>
            </w:tr>
            <w:tr w14:paraId="4561FE4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409" w:type="dxa"/>
                  <w:tcBorders>
                    <w:tl2br w:val="nil"/>
                    <w:tr2bl w:val="nil"/>
                  </w:tcBorders>
                  <w:shd w:val="clear" w:color="auto" w:fill="auto"/>
                  <w:vAlign w:val="center"/>
                </w:tcPr>
                <w:p w14:paraId="110E59C0">
                  <w:pPr>
                    <w:pStyle w:val="45"/>
                    <w:rPr>
                      <w:rFonts w:hint="default"/>
                      <w:b w:val="0"/>
                      <w:bCs w:val="0"/>
                      <w:u w:val="none"/>
                    </w:rPr>
                  </w:pPr>
                  <w:r>
                    <w:rPr>
                      <w:b w:val="0"/>
                      <w:bCs w:val="0"/>
                      <w:u w:val="none"/>
                    </w:rPr>
                    <w:t>7</w:t>
                  </w:r>
                </w:p>
              </w:tc>
              <w:tc>
                <w:tcPr>
                  <w:tcW w:w="958" w:type="dxa"/>
                  <w:tcBorders>
                    <w:tl2br w:val="nil"/>
                    <w:tr2bl w:val="nil"/>
                  </w:tcBorders>
                  <w:shd w:val="clear" w:color="auto" w:fill="auto"/>
                  <w:vAlign w:val="center"/>
                </w:tcPr>
                <w:p w14:paraId="6E95C5C2">
                  <w:pPr>
                    <w:pStyle w:val="45"/>
                    <w:rPr>
                      <w:rFonts w:hint="default"/>
                      <w:b w:val="0"/>
                      <w:bCs w:val="0"/>
                      <w:u w:val="none"/>
                    </w:rPr>
                  </w:pPr>
                  <w:r>
                    <w:rPr>
                      <w:b w:val="0"/>
                      <w:bCs w:val="0"/>
                      <w:u w:val="none"/>
                    </w:rPr>
                    <w:t>润滑油</w:t>
                  </w:r>
                </w:p>
              </w:tc>
              <w:tc>
                <w:tcPr>
                  <w:tcW w:w="875" w:type="dxa"/>
                  <w:tcBorders>
                    <w:tl2br w:val="nil"/>
                    <w:tr2bl w:val="nil"/>
                  </w:tcBorders>
                  <w:shd w:val="clear" w:color="auto" w:fill="auto"/>
                  <w:vAlign w:val="center"/>
                </w:tcPr>
                <w:p w14:paraId="02D0875C">
                  <w:pPr>
                    <w:pStyle w:val="45"/>
                    <w:rPr>
                      <w:rFonts w:hint="default"/>
                      <w:b w:val="0"/>
                      <w:bCs w:val="0"/>
                      <w:u w:val="none"/>
                    </w:rPr>
                  </w:pPr>
                  <w:r>
                    <w:rPr>
                      <w:rFonts w:hint="default"/>
                      <w:b w:val="0"/>
                      <w:bCs w:val="0"/>
                      <w:u w:val="none"/>
                    </w:rPr>
                    <w:t>/</w:t>
                  </w:r>
                </w:p>
              </w:tc>
              <w:tc>
                <w:tcPr>
                  <w:tcW w:w="900" w:type="dxa"/>
                  <w:tcBorders>
                    <w:tl2br w:val="nil"/>
                    <w:tr2bl w:val="nil"/>
                  </w:tcBorders>
                  <w:shd w:val="clear" w:color="auto" w:fill="auto"/>
                  <w:vAlign w:val="center"/>
                </w:tcPr>
                <w:p w14:paraId="14E58CD9">
                  <w:pPr>
                    <w:pStyle w:val="45"/>
                    <w:rPr>
                      <w:rFonts w:hint="default"/>
                      <w:b w:val="0"/>
                      <w:bCs w:val="0"/>
                      <w:u w:val="none"/>
                    </w:rPr>
                  </w:pPr>
                  <w:r>
                    <w:rPr>
                      <w:b w:val="0"/>
                      <w:bCs w:val="0"/>
                      <w:u w:val="none"/>
                    </w:rPr>
                    <w:t>CO</w:t>
                  </w:r>
                  <w:r>
                    <w:rPr>
                      <w:b w:val="0"/>
                      <w:bCs w:val="0"/>
                      <w:u w:val="none"/>
                      <w:vertAlign w:val="subscript"/>
                    </w:rPr>
                    <w:t>2</w:t>
                  </w:r>
                  <w:r>
                    <w:rPr>
                      <w:b w:val="0"/>
                      <w:bCs w:val="0"/>
                      <w:u w:val="none"/>
                    </w:rPr>
                    <w:t>压缩机及冰机等</w:t>
                  </w:r>
                </w:p>
              </w:tc>
              <w:tc>
                <w:tcPr>
                  <w:tcW w:w="1073" w:type="dxa"/>
                  <w:tcBorders>
                    <w:tl2br w:val="nil"/>
                    <w:tr2bl w:val="nil"/>
                  </w:tcBorders>
                  <w:shd w:val="clear" w:color="auto" w:fill="auto"/>
                  <w:vAlign w:val="center"/>
                </w:tcPr>
                <w:p w14:paraId="45590BB2">
                  <w:pPr>
                    <w:pStyle w:val="45"/>
                    <w:rPr>
                      <w:rFonts w:hint="default"/>
                      <w:b w:val="0"/>
                      <w:bCs w:val="0"/>
                      <w:u w:val="none"/>
                    </w:rPr>
                  </w:pPr>
                  <w:r>
                    <w:rPr>
                      <w:b w:val="0"/>
                      <w:bCs w:val="0"/>
                      <w:u w:val="none"/>
                    </w:rPr>
                    <w:t>2.8t/a</w:t>
                  </w:r>
                </w:p>
              </w:tc>
              <w:tc>
                <w:tcPr>
                  <w:tcW w:w="410" w:type="dxa"/>
                  <w:tcBorders>
                    <w:tl2br w:val="nil"/>
                    <w:tr2bl w:val="nil"/>
                  </w:tcBorders>
                  <w:shd w:val="clear" w:color="auto" w:fill="auto"/>
                  <w:vAlign w:val="center"/>
                </w:tcPr>
                <w:p w14:paraId="04227240">
                  <w:pPr>
                    <w:pStyle w:val="45"/>
                    <w:rPr>
                      <w:rFonts w:hint="default"/>
                      <w:b w:val="0"/>
                      <w:bCs w:val="0"/>
                      <w:u w:val="none"/>
                    </w:rPr>
                  </w:pPr>
                  <w:r>
                    <w:rPr>
                      <w:b w:val="0"/>
                      <w:bCs w:val="0"/>
                      <w:u w:val="none"/>
                    </w:rPr>
                    <w:t>液态</w:t>
                  </w:r>
                </w:p>
              </w:tc>
              <w:tc>
                <w:tcPr>
                  <w:tcW w:w="805" w:type="dxa"/>
                  <w:tcBorders>
                    <w:tl2br w:val="nil"/>
                    <w:tr2bl w:val="nil"/>
                  </w:tcBorders>
                  <w:shd w:val="clear" w:color="auto" w:fill="auto"/>
                  <w:vAlign w:val="center"/>
                </w:tcPr>
                <w:p w14:paraId="3885B8C6">
                  <w:pPr>
                    <w:pStyle w:val="45"/>
                    <w:rPr>
                      <w:rFonts w:hint="default"/>
                      <w:b w:val="0"/>
                      <w:bCs w:val="0"/>
                      <w:u w:val="none"/>
                    </w:rPr>
                  </w:pPr>
                  <w:r>
                    <w:rPr>
                      <w:b w:val="0"/>
                      <w:bCs w:val="0"/>
                      <w:u w:val="none"/>
                    </w:rPr>
                    <w:t>汽车运输</w:t>
                  </w:r>
                </w:p>
              </w:tc>
              <w:tc>
                <w:tcPr>
                  <w:tcW w:w="717" w:type="dxa"/>
                  <w:tcBorders>
                    <w:tl2br w:val="nil"/>
                    <w:tr2bl w:val="nil"/>
                  </w:tcBorders>
                  <w:shd w:val="clear" w:color="auto" w:fill="auto"/>
                  <w:vAlign w:val="center"/>
                </w:tcPr>
                <w:p w14:paraId="7D0E4E41">
                  <w:pPr>
                    <w:pStyle w:val="45"/>
                    <w:rPr>
                      <w:rFonts w:hint="default"/>
                      <w:b w:val="0"/>
                      <w:bCs w:val="0"/>
                      <w:u w:val="none"/>
                    </w:rPr>
                  </w:pPr>
                  <w:r>
                    <w:rPr>
                      <w:b w:val="0"/>
                      <w:bCs w:val="0"/>
                      <w:u w:val="none"/>
                    </w:rPr>
                    <w:t>0.6t</w:t>
                  </w:r>
                </w:p>
              </w:tc>
              <w:tc>
                <w:tcPr>
                  <w:tcW w:w="1520" w:type="dxa"/>
                  <w:tcBorders>
                    <w:tl2br w:val="nil"/>
                    <w:tr2bl w:val="nil"/>
                  </w:tcBorders>
                  <w:shd w:val="clear" w:color="auto" w:fill="auto"/>
                  <w:vAlign w:val="center"/>
                </w:tcPr>
                <w:p w14:paraId="28DD1B03">
                  <w:pPr>
                    <w:pStyle w:val="45"/>
                    <w:rPr>
                      <w:rFonts w:hint="default"/>
                      <w:b w:val="0"/>
                      <w:bCs w:val="0"/>
                      <w:u w:val="none"/>
                    </w:rPr>
                  </w:pPr>
                  <w:r>
                    <w:rPr>
                      <w:b w:val="0"/>
                      <w:bCs w:val="0"/>
                      <w:u w:val="none"/>
                    </w:rPr>
                    <w:t>/</w:t>
                  </w:r>
                </w:p>
              </w:tc>
            </w:tr>
            <w:tr w14:paraId="0645FB0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409" w:type="dxa"/>
                  <w:tcBorders>
                    <w:tl2br w:val="nil"/>
                    <w:tr2bl w:val="nil"/>
                  </w:tcBorders>
                  <w:shd w:val="clear" w:color="auto" w:fill="auto"/>
                  <w:vAlign w:val="center"/>
                </w:tcPr>
                <w:p w14:paraId="5B63FE58">
                  <w:pPr>
                    <w:pStyle w:val="45"/>
                    <w:rPr>
                      <w:rFonts w:hint="default"/>
                      <w:b w:val="0"/>
                      <w:bCs w:val="0"/>
                      <w:u w:val="none"/>
                    </w:rPr>
                  </w:pPr>
                  <w:r>
                    <w:rPr>
                      <w:b w:val="0"/>
                      <w:bCs w:val="0"/>
                      <w:u w:val="none"/>
                    </w:rPr>
                    <w:t>8</w:t>
                  </w:r>
                </w:p>
              </w:tc>
              <w:tc>
                <w:tcPr>
                  <w:tcW w:w="958" w:type="dxa"/>
                  <w:tcBorders>
                    <w:tl2br w:val="nil"/>
                    <w:tr2bl w:val="nil"/>
                  </w:tcBorders>
                  <w:shd w:val="clear" w:color="auto" w:fill="auto"/>
                  <w:noWrap/>
                  <w:vAlign w:val="center"/>
                </w:tcPr>
                <w:p w14:paraId="2621640A">
                  <w:pPr>
                    <w:pStyle w:val="45"/>
                    <w:rPr>
                      <w:rFonts w:hint="default"/>
                      <w:b w:val="0"/>
                      <w:bCs w:val="0"/>
                      <w:u w:val="none"/>
                    </w:rPr>
                  </w:pPr>
                  <w:r>
                    <w:rPr>
                      <w:b w:val="0"/>
                      <w:bCs w:val="0"/>
                      <w:u w:val="none"/>
                    </w:rPr>
                    <w:t>氮气</w:t>
                  </w:r>
                </w:p>
              </w:tc>
              <w:tc>
                <w:tcPr>
                  <w:tcW w:w="875" w:type="dxa"/>
                  <w:tcBorders>
                    <w:tl2br w:val="nil"/>
                    <w:tr2bl w:val="nil"/>
                  </w:tcBorders>
                  <w:shd w:val="clear" w:color="auto" w:fill="auto"/>
                  <w:noWrap/>
                  <w:vAlign w:val="center"/>
                </w:tcPr>
                <w:p w14:paraId="6A07A6F3">
                  <w:pPr>
                    <w:pStyle w:val="45"/>
                    <w:rPr>
                      <w:rFonts w:hint="default"/>
                      <w:b w:val="0"/>
                      <w:bCs w:val="0"/>
                      <w:u w:val="none"/>
                    </w:rPr>
                  </w:pPr>
                  <w:r>
                    <w:rPr>
                      <w:rFonts w:hint="default"/>
                      <w:b w:val="0"/>
                      <w:bCs w:val="0"/>
                      <w:u w:val="none"/>
                    </w:rPr>
                    <w:t>/</w:t>
                  </w:r>
                </w:p>
              </w:tc>
              <w:tc>
                <w:tcPr>
                  <w:tcW w:w="900" w:type="dxa"/>
                  <w:tcBorders>
                    <w:tl2br w:val="nil"/>
                    <w:tr2bl w:val="nil"/>
                  </w:tcBorders>
                  <w:shd w:val="clear" w:color="auto" w:fill="auto"/>
                  <w:noWrap/>
                  <w:vAlign w:val="center"/>
                </w:tcPr>
                <w:p w14:paraId="429CB7E1">
                  <w:pPr>
                    <w:pStyle w:val="45"/>
                    <w:rPr>
                      <w:rFonts w:hint="default"/>
                      <w:b w:val="0"/>
                      <w:bCs w:val="0"/>
                      <w:color w:val="FF0000"/>
                      <w:highlight w:val="none"/>
                      <w:u w:val="none"/>
                    </w:rPr>
                  </w:pPr>
                  <w:r>
                    <w:rPr>
                      <w:rFonts w:hint="eastAsia"/>
                      <w:b w:val="0"/>
                      <w:bCs w:val="0"/>
                      <w:color w:val="FF0000"/>
                      <w:highlight w:val="none"/>
                      <w:u w:val="none"/>
                      <w:lang w:val="en-US" w:eastAsia="zh-CN"/>
                    </w:rPr>
                    <w:t>2</w:t>
                  </w:r>
                  <w:r>
                    <w:rPr>
                      <w:b w:val="0"/>
                      <w:bCs w:val="0"/>
                      <w:color w:val="FF0000"/>
                      <w:highlight w:val="none"/>
                      <w:u w:val="none"/>
                    </w:rPr>
                    <w:t>0m³液氮储罐</w:t>
                  </w:r>
                </w:p>
              </w:tc>
              <w:tc>
                <w:tcPr>
                  <w:tcW w:w="1073" w:type="dxa"/>
                  <w:tcBorders>
                    <w:tl2br w:val="nil"/>
                    <w:tr2bl w:val="nil"/>
                  </w:tcBorders>
                  <w:shd w:val="clear" w:color="auto" w:fill="auto"/>
                  <w:noWrap/>
                  <w:vAlign w:val="center"/>
                </w:tcPr>
                <w:p w14:paraId="11471965">
                  <w:pPr>
                    <w:pStyle w:val="45"/>
                    <w:rPr>
                      <w:rFonts w:hint="default"/>
                      <w:b w:val="0"/>
                      <w:bCs w:val="0"/>
                      <w:u w:val="none"/>
                    </w:rPr>
                  </w:pPr>
                  <w:r>
                    <w:rPr>
                      <w:b w:val="0"/>
                      <w:bCs w:val="0"/>
                      <w:u w:val="none"/>
                    </w:rPr>
                    <w:t>260万Nm</w:t>
                  </w:r>
                  <w:r>
                    <w:rPr>
                      <w:b w:val="0"/>
                      <w:bCs w:val="0"/>
                      <w:u w:val="none"/>
                      <w:vertAlign w:val="superscript"/>
                    </w:rPr>
                    <w:t>3</w:t>
                  </w:r>
                  <w:r>
                    <w:rPr>
                      <w:b w:val="0"/>
                      <w:bCs w:val="0"/>
                      <w:u w:val="none"/>
                    </w:rPr>
                    <w:t>/a</w:t>
                  </w:r>
                </w:p>
              </w:tc>
              <w:tc>
                <w:tcPr>
                  <w:tcW w:w="410" w:type="dxa"/>
                  <w:tcBorders>
                    <w:tl2br w:val="nil"/>
                    <w:tr2bl w:val="nil"/>
                  </w:tcBorders>
                  <w:shd w:val="clear" w:color="auto" w:fill="auto"/>
                  <w:vAlign w:val="center"/>
                </w:tcPr>
                <w:p w14:paraId="6FA5E552">
                  <w:pPr>
                    <w:pStyle w:val="45"/>
                    <w:rPr>
                      <w:rFonts w:hint="default"/>
                      <w:b w:val="0"/>
                      <w:bCs w:val="0"/>
                      <w:u w:val="none"/>
                    </w:rPr>
                  </w:pPr>
                  <w:r>
                    <w:rPr>
                      <w:b w:val="0"/>
                      <w:bCs w:val="0"/>
                      <w:u w:val="none"/>
                    </w:rPr>
                    <w:t>液态</w:t>
                  </w:r>
                </w:p>
              </w:tc>
              <w:tc>
                <w:tcPr>
                  <w:tcW w:w="805" w:type="dxa"/>
                  <w:tcBorders>
                    <w:tl2br w:val="nil"/>
                    <w:tr2bl w:val="nil"/>
                  </w:tcBorders>
                  <w:shd w:val="clear" w:color="auto" w:fill="auto"/>
                  <w:vAlign w:val="center"/>
                </w:tcPr>
                <w:p w14:paraId="4A5B6C61">
                  <w:pPr>
                    <w:pStyle w:val="45"/>
                    <w:rPr>
                      <w:rFonts w:hint="default"/>
                      <w:b w:val="0"/>
                      <w:bCs w:val="0"/>
                      <w:u w:val="none"/>
                    </w:rPr>
                  </w:pPr>
                  <w:r>
                    <w:rPr>
                      <w:b w:val="0"/>
                      <w:bCs w:val="0"/>
                      <w:u w:val="none"/>
                    </w:rPr>
                    <w:t>汽车运输</w:t>
                  </w:r>
                </w:p>
              </w:tc>
              <w:tc>
                <w:tcPr>
                  <w:tcW w:w="717" w:type="dxa"/>
                  <w:tcBorders>
                    <w:tl2br w:val="nil"/>
                    <w:tr2bl w:val="nil"/>
                  </w:tcBorders>
                  <w:shd w:val="clear" w:color="auto" w:fill="auto"/>
                  <w:noWrap/>
                  <w:vAlign w:val="center"/>
                </w:tcPr>
                <w:p w14:paraId="3059AD2A">
                  <w:pPr>
                    <w:pStyle w:val="45"/>
                    <w:rPr>
                      <w:rFonts w:hint="default"/>
                      <w:b w:val="0"/>
                      <w:bCs w:val="0"/>
                      <w:u w:val="none"/>
                    </w:rPr>
                  </w:pPr>
                  <w:r>
                    <w:rPr>
                      <w:b w:val="0"/>
                      <w:bCs w:val="0"/>
                      <w:u w:val="none"/>
                    </w:rPr>
                    <w:t>24.3t</w:t>
                  </w:r>
                </w:p>
              </w:tc>
              <w:tc>
                <w:tcPr>
                  <w:tcW w:w="1520" w:type="dxa"/>
                  <w:tcBorders>
                    <w:tl2br w:val="nil"/>
                    <w:tr2bl w:val="nil"/>
                  </w:tcBorders>
                  <w:shd w:val="clear" w:color="auto" w:fill="auto"/>
                  <w:vAlign w:val="center"/>
                </w:tcPr>
                <w:p w14:paraId="7B54FB9F">
                  <w:pPr>
                    <w:pStyle w:val="45"/>
                    <w:rPr>
                      <w:rFonts w:hint="default"/>
                      <w:b w:val="0"/>
                      <w:bCs w:val="0"/>
                      <w:u w:val="none"/>
                    </w:rPr>
                  </w:pPr>
                  <w:r>
                    <w:rPr>
                      <w:b w:val="0"/>
                      <w:bCs w:val="0"/>
                      <w:u w:val="none"/>
                    </w:rPr>
                    <w:t>外购，用于管道吹扫试压检漏以及仪表气源</w:t>
                  </w:r>
                </w:p>
              </w:tc>
            </w:tr>
          </w:tbl>
          <w:p w14:paraId="45BBDD30">
            <w:pPr>
              <w:pStyle w:val="6"/>
              <w:numPr>
                <w:ilvl w:val="2"/>
                <w:numId w:val="4"/>
              </w:numPr>
              <w:rPr>
                <w:b w:val="0"/>
                <w:bCs w:val="0"/>
                <w:u w:val="none"/>
              </w:rPr>
            </w:pPr>
            <w:r>
              <w:rPr>
                <w:b w:val="0"/>
                <w:bCs w:val="0"/>
                <w:u w:val="none"/>
              </w:rPr>
              <w:t>理化性质</w:t>
            </w:r>
          </w:p>
          <w:p w14:paraId="53214344">
            <w:pPr>
              <w:pStyle w:val="5"/>
              <w:rPr>
                <w:rFonts w:hint="default"/>
                <w:b w:val="0"/>
                <w:bCs w:val="0"/>
                <w:u w:val="none"/>
              </w:rPr>
            </w:pPr>
            <w:r>
              <w:rPr>
                <w:rFonts w:hint="default"/>
                <w:b w:val="0"/>
                <w:bCs w:val="0"/>
                <w:u w:val="none"/>
              </w:rPr>
              <w:t>本项目涉及各种原辅材料</w:t>
            </w:r>
            <w:r>
              <w:rPr>
                <w:b w:val="0"/>
                <w:bCs w:val="0"/>
                <w:u w:val="none"/>
              </w:rPr>
              <w:t>及产品</w:t>
            </w:r>
            <w:r>
              <w:rPr>
                <w:rFonts w:hint="default"/>
                <w:b w:val="0"/>
                <w:bCs w:val="0"/>
                <w:u w:val="none"/>
              </w:rPr>
              <w:t>理化特性见下表。</w:t>
            </w:r>
          </w:p>
          <w:p w14:paraId="3E1E76D2">
            <w:pPr>
              <w:pStyle w:val="44"/>
              <w:numPr>
                <w:ilvl w:val="0"/>
                <w:numId w:val="2"/>
              </w:numPr>
              <w:rPr>
                <w:rFonts w:hint="default"/>
                <w:b w:val="0"/>
                <w:bCs w:val="0"/>
                <w:u w:val="none"/>
              </w:rPr>
            </w:pPr>
            <w:r>
              <w:rPr>
                <w:rFonts w:hint="default"/>
                <w:b w:val="0"/>
                <w:bCs w:val="0"/>
                <w:u w:val="none"/>
              </w:rPr>
              <w:t>本项目主要原辅材料理化性质一览表</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16"/>
              <w:gridCol w:w="682"/>
              <w:gridCol w:w="6468"/>
            </w:tblGrid>
            <w:tr w14:paraId="69AFCAF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25" w:type="dxa"/>
                  <w:tcBorders>
                    <w:tl2br w:val="nil"/>
                    <w:tr2bl w:val="nil"/>
                  </w:tcBorders>
                  <w:shd w:val="clear" w:color="auto" w:fill="auto"/>
                  <w:vAlign w:val="center"/>
                </w:tcPr>
                <w:p w14:paraId="31C13E71">
                  <w:pPr>
                    <w:pStyle w:val="45"/>
                    <w:rPr>
                      <w:rFonts w:hint="default"/>
                      <w:b w:val="0"/>
                      <w:bCs w:val="0"/>
                      <w:u w:val="none"/>
                    </w:rPr>
                  </w:pPr>
                  <w:r>
                    <w:rPr>
                      <w:b w:val="0"/>
                      <w:bCs w:val="0"/>
                      <w:u w:val="none"/>
                    </w:rPr>
                    <w:t>序号</w:t>
                  </w:r>
                </w:p>
              </w:tc>
              <w:tc>
                <w:tcPr>
                  <w:tcW w:w="703" w:type="dxa"/>
                  <w:tcBorders>
                    <w:tl2br w:val="nil"/>
                    <w:tr2bl w:val="nil"/>
                  </w:tcBorders>
                  <w:shd w:val="clear" w:color="auto" w:fill="auto"/>
                  <w:vAlign w:val="center"/>
                </w:tcPr>
                <w:p w14:paraId="5D853AF5">
                  <w:pPr>
                    <w:pStyle w:val="45"/>
                    <w:rPr>
                      <w:rFonts w:hint="default"/>
                      <w:b w:val="0"/>
                      <w:bCs w:val="0"/>
                      <w:u w:val="none"/>
                    </w:rPr>
                  </w:pPr>
                  <w:r>
                    <w:rPr>
                      <w:b w:val="0"/>
                      <w:bCs w:val="0"/>
                      <w:u w:val="none"/>
                    </w:rPr>
                    <w:t>名称</w:t>
                  </w:r>
                </w:p>
              </w:tc>
              <w:tc>
                <w:tcPr>
                  <w:tcW w:w="6762" w:type="dxa"/>
                  <w:tcBorders>
                    <w:tl2br w:val="nil"/>
                    <w:tr2bl w:val="nil"/>
                  </w:tcBorders>
                  <w:shd w:val="clear" w:color="auto" w:fill="auto"/>
                  <w:vAlign w:val="center"/>
                </w:tcPr>
                <w:p w14:paraId="5B33B4E6">
                  <w:pPr>
                    <w:pStyle w:val="45"/>
                    <w:rPr>
                      <w:rFonts w:hint="default"/>
                      <w:b w:val="0"/>
                      <w:bCs w:val="0"/>
                      <w:u w:val="none"/>
                    </w:rPr>
                  </w:pPr>
                  <w:r>
                    <w:rPr>
                      <w:b w:val="0"/>
                      <w:bCs w:val="0"/>
                      <w:u w:val="none"/>
                    </w:rPr>
                    <w:t>性质</w:t>
                  </w:r>
                </w:p>
              </w:tc>
            </w:tr>
            <w:tr w14:paraId="66D5536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25" w:type="dxa"/>
                  <w:tcBorders>
                    <w:tl2br w:val="nil"/>
                    <w:tr2bl w:val="nil"/>
                  </w:tcBorders>
                  <w:shd w:val="clear" w:color="auto" w:fill="auto"/>
                  <w:vAlign w:val="center"/>
                </w:tcPr>
                <w:p w14:paraId="180A901F">
                  <w:pPr>
                    <w:pStyle w:val="45"/>
                    <w:rPr>
                      <w:rFonts w:hint="default"/>
                      <w:b w:val="0"/>
                      <w:bCs w:val="0"/>
                      <w:u w:val="none"/>
                    </w:rPr>
                  </w:pPr>
                  <w:r>
                    <w:rPr>
                      <w:b w:val="0"/>
                      <w:bCs w:val="0"/>
                      <w:u w:val="none"/>
                    </w:rPr>
                    <w:t>1</w:t>
                  </w:r>
                </w:p>
              </w:tc>
              <w:tc>
                <w:tcPr>
                  <w:tcW w:w="703" w:type="dxa"/>
                  <w:tcBorders>
                    <w:tl2br w:val="nil"/>
                    <w:tr2bl w:val="nil"/>
                  </w:tcBorders>
                  <w:shd w:val="clear" w:color="auto" w:fill="auto"/>
                  <w:vAlign w:val="center"/>
                </w:tcPr>
                <w:p w14:paraId="6847AAAF">
                  <w:pPr>
                    <w:pStyle w:val="45"/>
                    <w:rPr>
                      <w:rFonts w:hint="default"/>
                      <w:b w:val="0"/>
                      <w:bCs w:val="0"/>
                      <w:u w:val="none"/>
                    </w:rPr>
                  </w:pPr>
                  <w:r>
                    <w:rPr>
                      <w:b w:val="0"/>
                      <w:bCs w:val="0"/>
                      <w:u w:val="none"/>
                    </w:rPr>
                    <w:t>液态CO</w:t>
                  </w:r>
                  <w:r>
                    <w:rPr>
                      <w:b w:val="0"/>
                      <w:bCs w:val="0"/>
                      <w:u w:val="none"/>
                      <w:vertAlign w:val="subscript"/>
                    </w:rPr>
                    <w:t>2</w:t>
                  </w:r>
                </w:p>
              </w:tc>
              <w:tc>
                <w:tcPr>
                  <w:tcW w:w="6762" w:type="dxa"/>
                  <w:tcBorders>
                    <w:tl2br w:val="nil"/>
                    <w:tr2bl w:val="nil"/>
                  </w:tcBorders>
                  <w:shd w:val="clear" w:color="auto" w:fill="auto"/>
                  <w:vAlign w:val="center"/>
                </w:tcPr>
                <w:p w14:paraId="206BE8F9">
                  <w:pPr>
                    <w:pStyle w:val="45"/>
                    <w:rPr>
                      <w:rFonts w:hint="default"/>
                      <w:b w:val="0"/>
                      <w:bCs w:val="0"/>
                      <w:u w:val="none"/>
                    </w:rPr>
                  </w:pPr>
                  <w:r>
                    <w:rPr>
                      <w:b w:val="0"/>
                      <w:bCs w:val="0"/>
                      <w:u w:val="none"/>
                    </w:rPr>
                    <w:t>无色无臭液化气体，分子量为44，相对密度位（空气-1）：1.53，CAS号位124-38-9。溶于水、烃类等多数有机溶剂。在低浓度时，对呼吸中枢呈兴奋作用，高浓度时则产生抑制甚至麻痹作用。中毒机制中还兼有缺氧的因素。急性中毒：人进入高浓度二氧化碳环境，在几秒钟内迅速昏迷倒下，反射消失、瞳孔扩大或缩小、大小便失禁、呕吐等，更严重者出现呼吸停止及休克，甚至死亡。液态二氧化碳在常压下迅速汽化，能造成-80～-43℃低温，引起皮肤和眼晴严重的冻伤。慢性影响：经常接触较高浓度的二氧化碳者，可有头晕、头痛、失眠、易兴奋、无力等神经功能紊乱等。CO</w:t>
                  </w:r>
                  <w:r>
                    <w:rPr>
                      <w:b w:val="0"/>
                      <w:bCs w:val="0"/>
                      <w:u w:val="none"/>
                      <w:vertAlign w:val="subscript"/>
                    </w:rPr>
                    <w:t>2</w:t>
                  </w:r>
                  <w:r>
                    <w:rPr>
                      <w:b w:val="0"/>
                      <w:bCs w:val="0"/>
                      <w:u w:val="none"/>
                    </w:rPr>
                    <w:t>不燃，但在日光暴晒下，或搬运时猛烈摔甩，或者遇高热，容器内压增大，有开裂和爆炸的危险。</w:t>
                  </w:r>
                </w:p>
              </w:tc>
            </w:tr>
            <w:tr w14:paraId="5A3896B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25" w:type="dxa"/>
                  <w:tcBorders>
                    <w:tl2br w:val="nil"/>
                    <w:tr2bl w:val="nil"/>
                  </w:tcBorders>
                  <w:shd w:val="clear" w:color="auto" w:fill="auto"/>
                  <w:vAlign w:val="center"/>
                </w:tcPr>
                <w:p w14:paraId="20EE5491">
                  <w:pPr>
                    <w:pStyle w:val="45"/>
                    <w:rPr>
                      <w:rFonts w:hint="default"/>
                      <w:b w:val="0"/>
                      <w:bCs w:val="0"/>
                      <w:u w:val="none"/>
                    </w:rPr>
                  </w:pPr>
                  <w:r>
                    <w:rPr>
                      <w:b w:val="0"/>
                      <w:bCs w:val="0"/>
                      <w:u w:val="none"/>
                    </w:rPr>
                    <w:t>2</w:t>
                  </w:r>
                </w:p>
              </w:tc>
              <w:tc>
                <w:tcPr>
                  <w:tcW w:w="703" w:type="dxa"/>
                  <w:tcBorders>
                    <w:tl2br w:val="nil"/>
                    <w:tr2bl w:val="nil"/>
                  </w:tcBorders>
                  <w:shd w:val="clear" w:color="auto" w:fill="auto"/>
                  <w:vAlign w:val="center"/>
                </w:tcPr>
                <w:p w14:paraId="722EFB97">
                  <w:pPr>
                    <w:pStyle w:val="45"/>
                    <w:rPr>
                      <w:rFonts w:hint="default"/>
                      <w:b w:val="0"/>
                      <w:bCs w:val="0"/>
                      <w:u w:val="none"/>
                    </w:rPr>
                  </w:pPr>
                  <w:r>
                    <w:rPr>
                      <w:b w:val="0"/>
                      <w:bCs w:val="0"/>
                      <w:u w:val="none"/>
                    </w:rPr>
                    <w:t>液氨</w:t>
                  </w:r>
                </w:p>
              </w:tc>
              <w:tc>
                <w:tcPr>
                  <w:tcW w:w="6762" w:type="dxa"/>
                  <w:tcBorders>
                    <w:tl2br w:val="nil"/>
                    <w:tr2bl w:val="nil"/>
                  </w:tcBorders>
                  <w:shd w:val="clear" w:color="auto" w:fill="auto"/>
                  <w:vAlign w:val="center"/>
                </w:tcPr>
                <w:p w14:paraId="0F76C38C">
                  <w:pPr>
                    <w:pStyle w:val="45"/>
                    <w:rPr>
                      <w:rFonts w:hint="default"/>
                      <w:b w:val="0"/>
                      <w:bCs w:val="0"/>
                      <w:u w:val="none"/>
                    </w:rPr>
                  </w:pPr>
                  <w:r>
                    <w:rPr>
                      <w:b w:val="0"/>
                      <w:bCs w:val="0"/>
                      <w:u w:val="none"/>
                    </w:rPr>
                    <w:t>常温常压下为无色有刺激性恶臭的气体，易溶于水、乙醇、乙醚。分子量17，熔点-77.7℃，沸点-33.5℃，相对密度(水=1):0.60(25℃)，气体相对密度(空气=1):0.588，饱和蒸气压(KPa):506.62(4.7℃)，临界温度(℃):132.5；临界压力(MPa):11.4，易燃，与空气混合形成爆炸性混合物，空气中爆炸极限：15.7～27.4%，高热能引起燃烧爆炸，引燃点651℃。</w:t>
                  </w:r>
                </w:p>
              </w:tc>
            </w:tr>
            <w:tr w14:paraId="6DA1F18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25" w:type="dxa"/>
                  <w:tcBorders>
                    <w:tl2br w:val="nil"/>
                    <w:tr2bl w:val="nil"/>
                  </w:tcBorders>
                  <w:shd w:val="clear" w:color="auto" w:fill="auto"/>
                  <w:vAlign w:val="center"/>
                </w:tcPr>
                <w:p w14:paraId="47FAE7E9">
                  <w:pPr>
                    <w:pStyle w:val="45"/>
                    <w:rPr>
                      <w:rFonts w:hint="default"/>
                      <w:b w:val="0"/>
                      <w:bCs w:val="0"/>
                      <w:u w:val="none"/>
                    </w:rPr>
                  </w:pPr>
                  <w:r>
                    <w:rPr>
                      <w:b w:val="0"/>
                      <w:bCs w:val="0"/>
                      <w:u w:val="none"/>
                    </w:rPr>
                    <w:t>3</w:t>
                  </w:r>
                </w:p>
              </w:tc>
              <w:tc>
                <w:tcPr>
                  <w:tcW w:w="703" w:type="dxa"/>
                  <w:tcBorders>
                    <w:tl2br w:val="nil"/>
                    <w:tr2bl w:val="nil"/>
                  </w:tcBorders>
                  <w:shd w:val="clear" w:color="auto" w:fill="auto"/>
                  <w:vAlign w:val="center"/>
                </w:tcPr>
                <w:p w14:paraId="7F9FB207">
                  <w:pPr>
                    <w:pStyle w:val="45"/>
                    <w:rPr>
                      <w:rFonts w:hint="default"/>
                      <w:b w:val="0"/>
                      <w:bCs w:val="0"/>
                      <w:u w:val="none"/>
                    </w:rPr>
                  </w:pPr>
                  <w:r>
                    <w:rPr>
                      <w:b w:val="0"/>
                      <w:bCs w:val="0"/>
                      <w:u w:val="none"/>
                    </w:rPr>
                    <w:t>氮气</w:t>
                  </w:r>
                </w:p>
              </w:tc>
              <w:tc>
                <w:tcPr>
                  <w:tcW w:w="6762" w:type="dxa"/>
                  <w:tcBorders>
                    <w:tl2br w:val="nil"/>
                    <w:tr2bl w:val="nil"/>
                  </w:tcBorders>
                  <w:shd w:val="clear" w:color="auto" w:fill="auto"/>
                  <w:vAlign w:val="center"/>
                </w:tcPr>
                <w:p w14:paraId="2C7DB553">
                  <w:pPr>
                    <w:pStyle w:val="45"/>
                    <w:rPr>
                      <w:rFonts w:hint="default"/>
                      <w:b w:val="0"/>
                      <w:bCs w:val="0"/>
                      <w:u w:val="none"/>
                    </w:rPr>
                  </w:pPr>
                  <w:r>
                    <w:rPr>
                      <w:b w:val="0"/>
                      <w:bCs w:val="0"/>
                      <w:u w:val="none"/>
                    </w:rPr>
                    <w:t>氮气，化学式为N</w:t>
                  </w:r>
                  <w:r>
                    <w:rPr>
                      <w:b w:val="0"/>
                      <w:bCs w:val="0"/>
                      <w:u w:val="none"/>
                      <w:vertAlign w:val="subscript"/>
                    </w:rPr>
                    <w:t>2</w:t>
                  </w:r>
                  <w:r>
                    <w:rPr>
                      <w:b w:val="0"/>
                      <w:bCs w:val="0"/>
                      <w:u w:val="none"/>
                    </w:rPr>
                    <w:t>，为无色无味气体。氮气化学性质很不活泼，在高温高压及催化剂条件下才能和氢气反应生成氨气；在放电的情况下才能和氧气化合生成一氧化氮；2个N原子以叁键结合成为氮气分子，包含1个σ键和2个π键，因为在化学反应中首先受到攻击的是π键，而在N</w:t>
                  </w:r>
                  <w:r>
                    <w:rPr>
                      <w:rFonts w:hint="default"/>
                      <w:b w:val="0"/>
                      <w:bCs w:val="0"/>
                      <w:u w:val="none"/>
                    </w:rPr>
                    <w:t>₂</w:t>
                  </w:r>
                  <w:r>
                    <w:rPr>
                      <w:b w:val="0"/>
                      <w:bCs w:val="0"/>
                      <w:u w:val="none"/>
                    </w:rPr>
                    <w:t>分子中π键的能级比σ键低，打开π键困难，因而使N</w:t>
                  </w:r>
                  <w:r>
                    <w:rPr>
                      <w:rFonts w:hint="default"/>
                      <w:b w:val="0"/>
                      <w:bCs w:val="0"/>
                      <w:u w:val="none"/>
                    </w:rPr>
                    <w:t>₂</w:t>
                  </w:r>
                  <w:r>
                    <w:rPr>
                      <w:b w:val="0"/>
                      <w:bCs w:val="0"/>
                      <w:u w:val="none"/>
                    </w:rPr>
                    <w:t>难以参与化学反应。</w:t>
                  </w:r>
                </w:p>
              </w:tc>
            </w:tr>
            <w:tr w14:paraId="11BD244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25" w:type="dxa"/>
                  <w:tcBorders>
                    <w:tl2br w:val="nil"/>
                    <w:tr2bl w:val="nil"/>
                  </w:tcBorders>
                  <w:shd w:val="clear" w:color="auto" w:fill="auto"/>
                  <w:vAlign w:val="center"/>
                </w:tcPr>
                <w:p w14:paraId="78BB2FEA">
                  <w:pPr>
                    <w:pStyle w:val="45"/>
                    <w:rPr>
                      <w:rFonts w:hint="default"/>
                      <w:b w:val="0"/>
                      <w:bCs w:val="0"/>
                      <w:u w:val="none"/>
                    </w:rPr>
                  </w:pPr>
                  <w:r>
                    <w:rPr>
                      <w:b w:val="0"/>
                      <w:bCs w:val="0"/>
                      <w:u w:val="none"/>
                    </w:rPr>
                    <w:t>4</w:t>
                  </w:r>
                </w:p>
              </w:tc>
              <w:tc>
                <w:tcPr>
                  <w:tcW w:w="703" w:type="dxa"/>
                  <w:tcBorders>
                    <w:tl2br w:val="nil"/>
                    <w:tr2bl w:val="nil"/>
                  </w:tcBorders>
                  <w:shd w:val="clear" w:color="auto" w:fill="auto"/>
                  <w:vAlign w:val="center"/>
                </w:tcPr>
                <w:p w14:paraId="402A11A1">
                  <w:pPr>
                    <w:pStyle w:val="45"/>
                    <w:rPr>
                      <w:rFonts w:hint="default"/>
                      <w:b w:val="0"/>
                      <w:bCs w:val="0"/>
                      <w:u w:val="none"/>
                    </w:rPr>
                  </w:pPr>
                  <w:r>
                    <w:rPr>
                      <w:b w:val="0"/>
                      <w:bCs w:val="0"/>
                      <w:u w:val="none"/>
                    </w:rPr>
                    <w:t>氨水</w:t>
                  </w:r>
                </w:p>
              </w:tc>
              <w:tc>
                <w:tcPr>
                  <w:tcW w:w="6762" w:type="dxa"/>
                  <w:tcBorders>
                    <w:tl2br w:val="nil"/>
                    <w:tr2bl w:val="nil"/>
                  </w:tcBorders>
                  <w:shd w:val="clear" w:color="auto" w:fill="auto"/>
                  <w:vAlign w:val="center"/>
                </w:tcPr>
                <w:p w14:paraId="28F31D70">
                  <w:pPr>
                    <w:pStyle w:val="45"/>
                    <w:rPr>
                      <w:rFonts w:hint="default"/>
                      <w:b w:val="0"/>
                      <w:bCs w:val="0"/>
                      <w:u w:val="none"/>
                    </w:rPr>
                  </w:pPr>
                  <w:r>
                    <w:rPr>
                      <w:b w:val="0"/>
                      <w:bCs w:val="0"/>
                      <w:u w:val="none"/>
                    </w:rPr>
                    <w:t>无色透明液体，有强烈的刺激性臭味，相对密度（水=1）：0.91。溶于水、醇。易分解放出氨气，温度越高，分解速度越快，可形成爆炸性气氛。吸入后对鼻、喉和肺有刺激性，引起咳嗽、气短和哮喘等；重者发生喉头水肿、肺水肿及心、肝、肾损害。溅入眼内可造成灼伤。皮肤接触可致灼伤。口服灼伤消化道。慢性影响：反复低浓度接触，可引起支气管炎；可致皮炎。储存时库温不宜超过30℃。保持容器密封。应与酸类、金属粉末等分开存放，切忌混储。储区应备有泄漏应急处理设备和合适的收容材料。</w:t>
                  </w:r>
                </w:p>
              </w:tc>
            </w:tr>
            <w:tr w14:paraId="11B68E2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25" w:type="dxa"/>
                  <w:tcBorders>
                    <w:tl2br w:val="nil"/>
                    <w:tr2bl w:val="nil"/>
                  </w:tcBorders>
                  <w:shd w:val="clear" w:color="auto" w:fill="auto"/>
                  <w:vAlign w:val="center"/>
                </w:tcPr>
                <w:p w14:paraId="2024D843">
                  <w:pPr>
                    <w:pStyle w:val="45"/>
                    <w:rPr>
                      <w:rFonts w:hint="default"/>
                      <w:b w:val="0"/>
                      <w:bCs w:val="0"/>
                      <w:u w:val="none"/>
                    </w:rPr>
                  </w:pPr>
                  <w:r>
                    <w:rPr>
                      <w:b w:val="0"/>
                      <w:bCs w:val="0"/>
                      <w:u w:val="none"/>
                    </w:rPr>
                    <w:t>5</w:t>
                  </w:r>
                </w:p>
              </w:tc>
              <w:tc>
                <w:tcPr>
                  <w:tcW w:w="703" w:type="dxa"/>
                  <w:tcBorders>
                    <w:tl2br w:val="nil"/>
                    <w:tr2bl w:val="nil"/>
                  </w:tcBorders>
                  <w:shd w:val="clear" w:color="auto" w:fill="auto"/>
                  <w:vAlign w:val="center"/>
                </w:tcPr>
                <w:p w14:paraId="4089457A">
                  <w:pPr>
                    <w:pStyle w:val="45"/>
                    <w:rPr>
                      <w:rFonts w:hint="default"/>
                      <w:b w:val="0"/>
                      <w:bCs w:val="0"/>
                      <w:u w:val="none"/>
                    </w:rPr>
                  </w:pPr>
                  <w:r>
                    <w:rPr>
                      <w:b w:val="0"/>
                      <w:bCs w:val="0"/>
                      <w:u w:val="none"/>
                    </w:rPr>
                    <w:t>润滑油</w:t>
                  </w:r>
                </w:p>
              </w:tc>
              <w:tc>
                <w:tcPr>
                  <w:tcW w:w="6762" w:type="dxa"/>
                  <w:tcBorders>
                    <w:tl2br w:val="nil"/>
                    <w:tr2bl w:val="nil"/>
                  </w:tcBorders>
                  <w:shd w:val="clear" w:color="auto" w:fill="auto"/>
                  <w:vAlign w:val="center"/>
                </w:tcPr>
                <w:p w14:paraId="6D3B2991">
                  <w:pPr>
                    <w:pStyle w:val="45"/>
                    <w:rPr>
                      <w:rFonts w:hint="default"/>
                      <w:b w:val="0"/>
                      <w:bCs w:val="0"/>
                      <w:u w:val="none"/>
                    </w:rPr>
                  </w:pPr>
                  <w:r>
                    <w:rPr>
                      <w:b w:val="0"/>
                      <w:bCs w:val="0"/>
                      <w:u w:val="none"/>
                    </w:rPr>
                    <w:t>润滑油是一种外观呈红褐色具有防锈功能的油溶剂，由油溶性缓蚀剂、基础油和辅助添加剂等组成。</w:t>
                  </w:r>
                </w:p>
              </w:tc>
            </w:tr>
            <w:tr w14:paraId="79119A5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25" w:type="dxa"/>
                  <w:tcBorders>
                    <w:tl2br w:val="nil"/>
                    <w:tr2bl w:val="nil"/>
                  </w:tcBorders>
                  <w:shd w:val="clear" w:color="auto" w:fill="auto"/>
                  <w:vAlign w:val="center"/>
                </w:tcPr>
                <w:p w14:paraId="23770B36">
                  <w:pPr>
                    <w:pStyle w:val="45"/>
                    <w:rPr>
                      <w:rFonts w:hint="default"/>
                      <w:b w:val="0"/>
                      <w:bCs w:val="0"/>
                      <w:u w:val="none"/>
                    </w:rPr>
                  </w:pPr>
                  <w:r>
                    <w:rPr>
                      <w:b w:val="0"/>
                      <w:bCs w:val="0"/>
                      <w:u w:val="none"/>
                    </w:rPr>
                    <w:t>6</w:t>
                  </w:r>
                </w:p>
              </w:tc>
              <w:tc>
                <w:tcPr>
                  <w:tcW w:w="703" w:type="dxa"/>
                  <w:tcBorders>
                    <w:tl2br w:val="nil"/>
                    <w:tr2bl w:val="nil"/>
                  </w:tcBorders>
                  <w:shd w:val="clear" w:color="auto" w:fill="auto"/>
                  <w:vAlign w:val="center"/>
                </w:tcPr>
                <w:p w14:paraId="28F5E931">
                  <w:pPr>
                    <w:pStyle w:val="45"/>
                    <w:rPr>
                      <w:rFonts w:hint="default"/>
                      <w:b w:val="0"/>
                      <w:bCs w:val="0"/>
                      <w:u w:val="none"/>
                    </w:rPr>
                  </w:pPr>
                  <w:r>
                    <w:rPr>
                      <w:b w:val="0"/>
                      <w:bCs w:val="0"/>
                      <w:u w:val="none"/>
                    </w:rPr>
                    <w:t>干冰</w:t>
                  </w:r>
                </w:p>
              </w:tc>
              <w:tc>
                <w:tcPr>
                  <w:tcW w:w="6762" w:type="dxa"/>
                  <w:tcBorders>
                    <w:tl2br w:val="nil"/>
                    <w:tr2bl w:val="nil"/>
                  </w:tcBorders>
                  <w:shd w:val="clear" w:color="auto" w:fill="auto"/>
                  <w:vAlign w:val="center"/>
                </w:tcPr>
                <w:p w14:paraId="7CFFB6B8">
                  <w:pPr>
                    <w:pStyle w:val="45"/>
                    <w:rPr>
                      <w:rFonts w:hint="default"/>
                      <w:b w:val="0"/>
                      <w:bCs w:val="0"/>
                      <w:u w:val="none"/>
                    </w:rPr>
                  </w:pPr>
                  <w:r>
                    <w:rPr>
                      <w:b w:val="0"/>
                      <w:bCs w:val="0"/>
                      <w:u w:val="none"/>
                    </w:rPr>
                    <w:t>干冰为固体二氧化碳，白色晶体，常温下易升华，汽化热高，在常压下升华时可使周围温度迅速下降，因此干冰在空气中升华时会液化甚至进一步凝结空气中的水蒸气，形成的水蒸气液滴或小冰晶附着在空气中的灰尘上形成我们可见的白色烟雾。干冰的化学性质稳定，无味无毒，不可燃烧，也不支持燃烧。但空气中若二氧化碳含量过高会刺激呼吸系统引起呼吸加快产生窒息的危险（即缺氧）</w:t>
                  </w:r>
                </w:p>
              </w:tc>
            </w:tr>
            <w:tr w14:paraId="73692E9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25" w:type="dxa"/>
                  <w:tcBorders>
                    <w:tl2br w:val="nil"/>
                    <w:tr2bl w:val="nil"/>
                  </w:tcBorders>
                  <w:shd w:val="clear" w:color="auto" w:fill="auto"/>
                  <w:vAlign w:val="center"/>
                </w:tcPr>
                <w:p w14:paraId="335AF238">
                  <w:pPr>
                    <w:pStyle w:val="45"/>
                    <w:rPr>
                      <w:rFonts w:hint="default"/>
                      <w:b w:val="0"/>
                      <w:bCs w:val="0"/>
                      <w:u w:val="none"/>
                    </w:rPr>
                  </w:pPr>
                  <w:r>
                    <w:rPr>
                      <w:b w:val="0"/>
                      <w:bCs w:val="0"/>
                      <w:u w:val="none"/>
                    </w:rPr>
                    <w:t>7</w:t>
                  </w:r>
                </w:p>
              </w:tc>
              <w:tc>
                <w:tcPr>
                  <w:tcW w:w="703" w:type="dxa"/>
                  <w:tcBorders>
                    <w:tl2br w:val="nil"/>
                    <w:tr2bl w:val="nil"/>
                  </w:tcBorders>
                  <w:shd w:val="clear" w:color="auto" w:fill="auto"/>
                  <w:vAlign w:val="center"/>
                </w:tcPr>
                <w:p w14:paraId="430B1680">
                  <w:pPr>
                    <w:pStyle w:val="45"/>
                    <w:rPr>
                      <w:rFonts w:hint="default"/>
                      <w:b w:val="0"/>
                      <w:bCs w:val="0"/>
                      <w:u w:val="none"/>
                    </w:rPr>
                  </w:pPr>
                  <w:r>
                    <w:rPr>
                      <w:b w:val="0"/>
                      <w:bCs w:val="0"/>
                      <w:u w:val="none"/>
                    </w:rPr>
                    <w:t>R507制冷剂</w:t>
                  </w:r>
                </w:p>
              </w:tc>
              <w:tc>
                <w:tcPr>
                  <w:tcW w:w="6762" w:type="dxa"/>
                  <w:tcBorders>
                    <w:tl2br w:val="nil"/>
                    <w:tr2bl w:val="nil"/>
                  </w:tcBorders>
                  <w:shd w:val="clear" w:color="auto" w:fill="auto"/>
                  <w:vAlign w:val="center"/>
                </w:tcPr>
                <w:p w14:paraId="1B6B0345">
                  <w:pPr>
                    <w:pStyle w:val="45"/>
                    <w:rPr>
                      <w:rFonts w:hint="default"/>
                      <w:b w:val="0"/>
                      <w:bCs w:val="0"/>
                      <w:u w:val="none"/>
                    </w:rPr>
                  </w:pPr>
                  <w:r>
                    <w:rPr>
                      <w:b w:val="0"/>
                      <w:bCs w:val="0"/>
                      <w:u w:val="none"/>
                    </w:rPr>
                    <w:t>R507是R-502</w:t>
                  </w:r>
                  <w:r>
                    <w:rPr>
                      <w:b w:val="0"/>
                      <w:bCs w:val="0"/>
                      <w:u w:val="none"/>
                    </w:rPr>
                    <w:fldChar w:fldCharType="begin"/>
                  </w:r>
                  <w:r>
                    <w:rPr>
                      <w:b w:val="0"/>
                      <w:bCs w:val="0"/>
                      <w:u w:val="none"/>
                    </w:rPr>
                    <w:instrText xml:space="preserve"> HYPERLINK "https://baike.baidu.com/item/%E5%88%B6%E5%86%B7%E5%89%82/2395745?fromModule=lemma_inlink" \t "https://baike.baidu.com/item/R507/_blank" </w:instrText>
                  </w:r>
                  <w:r>
                    <w:rPr>
                      <w:b w:val="0"/>
                      <w:bCs w:val="0"/>
                      <w:u w:val="none"/>
                    </w:rPr>
                    <w:fldChar w:fldCharType="separate"/>
                  </w:r>
                  <w:r>
                    <w:rPr>
                      <w:rFonts w:hint="default"/>
                      <w:b w:val="0"/>
                      <w:bCs w:val="0"/>
                      <w:u w:val="none"/>
                    </w:rPr>
                    <w:t>制冷剂</w:t>
                  </w:r>
                  <w:r>
                    <w:rPr>
                      <w:rFonts w:hint="default"/>
                      <w:b w:val="0"/>
                      <w:bCs w:val="0"/>
                      <w:u w:val="none"/>
                    </w:rPr>
                    <w:fldChar w:fldCharType="end"/>
                  </w:r>
                  <w:r>
                    <w:rPr>
                      <w:rFonts w:hint="default"/>
                      <w:b w:val="0"/>
                      <w:bCs w:val="0"/>
                      <w:u w:val="none"/>
                    </w:rPr>
                    <w:t>的长期</w:t>
                  </w:r>
                  <w:r>
                    <w:rPr>
                      <w:b w:val="0"/>
                      <w:bCs w:val="0"/>
                      <w:u w:val="none"/>
                    </w:rPr>
                    <w:fldChar w:fldCharType="begin"/>
                  </w:r>
                  <w:r>
                    <w:rPr>
                      <w:b w:val="0"/>
                      <w:bCs w:val="0"/>
                      <w:u w:val="none"/>
                    </w:rPr>
                    <w:instrText xml:space="preserve"> HYPERLINK "https://baike.baidu.com/item/%E6%9B%BF%E4%BB%A3%E5%93%81/8249884?fromModule=lemma_inlink" \t "https://baike.baidu.com/item/R507/_blank" </w:instrText>
                  </w:r>
                  <w:r>
                    <w:rPr>
                      <w:b w:val="0"/>
                      <w:bCs w:val="0"/>
                      <w:u w:val="none"/>
                    </w:rPr>
                    <w:fldChar w:fldCharType="separate"/>
                  </w:r>
                  <w:r>
                    <w:rPr>
                      <w:rFonts w:hint="default"/>
                      <w:b w:val="0"/>
                      <w:bCs w:val="0"/>
                      <w:u w:val="none"/>
                    </w:rPr>
                    <w:t>替代品</w:t>
                  </w:r>
                  <w:r>
                    <w:rPr>
                      <w:rFonts w:hint="default"/>
                      <w:b w:val="0"/>
                      <w:bCs w:val="0"/>
                      <w:u w:val="none"/>
                    </w:rPr>
                    <w:fldChar w:fldCharType="end"/>
                  </w:r>
                  <w:r>
                    <w:rPr>
                      <w:b w:val="0"/>
                      <w:bCs w:val="0"/>
                      <w:u w:val="none"/>
                    </w:rPr>
                    <w:t>，属于</w:t>
                  </w:r>
                  <w:r>
                    <w:rPr>
                      <w:rFonts w:hint="default"/>
                      <w:b w:val="0"/>
                      <w:bCs w:val="0"/>
                      <w:u w:val="none"/>
                    </w:rPr>
                    <w:t>HFC类物质，</w:t>
                  </w:r>
                  <w:r>
                    <w:rPr>
                      <w:rFonts w:hint="default"/>
                      <w:b w:val="0"/>
                      <w:bCs w:val="0"/>
                      <w:u w:val="none"/>
                    </w:rPr>
                    <w:fldChar w:fldCharType="begin"/>
                  </w:r>
                  <w:r>
                    <w:rPr>
                      <w:rFonts w:hint="default"/>
                      <w:b w:val="0"/>
                      <w:bCs w:val="0"/>
                      <w:u w:val="none"/>
                    </w:rPr>
                    <w:instrText xml:space="preserve"> HYPERLINK "https://baike.baidu.com/item/ODP/5007688?fromModule=lemma_inlink" \t "https://baike.baidu.com/item/R507/_blank" </w:instrText>
                  </w:r>
                  <w:r>
                    <w:rPr>
                      <w:rFonts w:hint="default"/>
                      <w:b w:val="0"/>
                      <w:bCs w:val="0"/>
                      <w:u w:val="none"/>
                    </w:rPr>
                    <w:fldChar w:fldCharType="separate"/>
                  </w:r>
                  <w:r>
                    <w:rPr>
                      <w:rFonts w:hint="default"/>
                      <w:b w:val="0"/>
                      <w:bCs w:val="0"/>
                      <w:u w:val="none"/>
                    </w:rPr>
                    <w:t>ODP</w:t>
                  </w:r>
                  <w:r>
                    <w:rPr>
                      <w:rFonts w:hint="default"/>
                      <w:b w:val="0"/>
                      <w:bCs w:val="0"/>
                      <w:u w:val="none"/>
                    </w:rPr>
                    <w:fldChar w:fldCharType="end"/>
                  </w:r>
                  <w:r>
                    <w:rPr>
                      <w:rFonts w:hint="default"/>
                      <w:b w:val="0"/>
                      <w:bCs w:val="0"/>
                      <w:u w:val="none"/>
                    </w:rPr>
                    <w:t>值为零，不含任何破坏臭氧层的物质。R507的</w:t>
                  </w:r>
                  <w:r>
                    <w:rPr>
                      <w:rFonts w:hint="default"/>
                      <w:b w:val="0"/>
                      <w:bCs w:val="0"/>
                      <w:u w:val="none"/>
                    </w:rPr>
                    <w:fldChar w:fldCharType="begin"/>
                  </w:r>
                  <w:r>
                    <w:rPr>
                      <w:rFonts w:hint="default"/>
                      <w:b w:val="0"/>
                      <w:bCs w:val="0"/>
                      <w:u w:val="none"/>
                    </w:rPr>
                    <w:instrText xml:space="preserve"> HYPERLINK "https://baike.baidu.com/item/%E6%A0%87%E5%87%86%E6%B2%B8%E7%82%B9/22225605?fromModule=lemma_inlink" \t "https://baike.baidu.com/item/R507/_blank" </w:instrText>
                  </w:r>
                  <w:r>
                    <w:rPr>
                      <w:rFonts w:hint="default"/>
                      <w:b w:val="0"/>
                      <w:bCs w:val="0"/>
                      <w:u w:val="none"/>
                    </w:rPr>
                    <w:fldChar w:fldCharType="separate"/>
                  </w:r>
                  <w:r>
                    <w:rPr>
                      <w:rFonts w:hint="default"/>
                      <w:b w:val="0"/>
                      <w:bCs w:val="0"/>
                      <w:u w:val="none"/>
                    </w:rPr>
                    <w:t>标准沸点</w:t>
                  </w:r>
                  <w:r>
                    <w:rPr>
                      <w:rFonts w:hint="default"/>
                      <w:b w:val="0"/>
                      <w:bCs w:val="0"/>
                      <w:u w:val="none"/>
                    </w:rPr>
                    <w:fldChar w:fldCharType="end"/>
                  </w:r>
                  <w:r>
                    <w:rPr>
                      <w:rFonts w:hint="default"/>
                      <w:b w:val="0"/>
                      <w:bCs w:val="0"/>
                      <w:u w:val="none"/>
                    </w:rPr>
                    <w:t>为-46.7°C</w:t>
                  </w:r>
                  <w:r>
                    <w:rPr>
                      <w:b w:val="0"/>
                      <w:bCs w:val="0"/>
                      <w:u w:val="none"/>
                    </w:rPr>
                    <w:t>，临界温度，70.9℃、临界压力3794MPa、饱和蒸气压（25℃）1287kPa汽。无毒不可燃。储存时应远离火种、热源、避免阳光直接曝晒，通常储放于阴凉、干燥和通风的仓库内</w:t>
                  </w:r>
                </w:p>
              </w:tc>
            </w:tr>
            <w:tr w14:paraId="25DA006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25" w:type="dxa"/>
                  <w:tcBorders>
                    <w:tl2br w:val="nil"/>
                    <w:tr2bl w:val="nil"/>
                  </w:tcBorders>
                  <w:shd w:val="clear" w:color="auto" w:fill="auto"/>
                  <w:vAlign w:val="center"/>
                </w:tcPr>
                <w:p w14:paraId="252CCCAB">
                  <w:pPr>
                    <w:pStyle w:val="45"/>
                    <w:rPr>
                      <w:rFonts w:hint="default"/>
                      <w:b w:val="0"/>
                      <w:bCs w:val="0"/>
                      <w:u w:val="none"/>
                    </w:rPr>
                  </w:pPr>
                  <w:r>
                    <w:rPr>
                      <w:b w:val="0"/>
                      <w:bCs w:val="0"/>
                      <w:u w:val="none"/>
                    </w:rPr>
                    <w:t>8</w:t>
                  </w:r>
                </w:p>
              </w:tc>
              <w:tc>
                <w:tcPr>
                  <w:tcW w:w="703" w:type="dxa"/>
                  <w:tcBorders>
                    <w:tl2br w:val="nil"/>
                    <w:tr2bl w:val="nil"/>
                  </w:tcBorders>
                  <w:shd w:val="clear" w:color="auto" w:fill="auto"/>
                  <w:vAlign w:val="center"/>
                </w:tcPr>
                <w:p w14:paraId="42B47AFC">
                  <w:pPr>
                    <w:pStyle w:val="45"/>
                    <w:rPr>
                      <w:rFonts w:hint="default"/>
                      <w:b w:val="0"/>
                      <w:bCs w:val="0"/>
                      <w:u w:val="none"/>
                    </w:rPr>
                  </w:pPr>
                  <w:r>
                    <w:rPr>
                      <w:b w:val="0"/>
                      <w:bCs w:val="0"/>
                      <w:u w:val="none"/>
                    </w:rPr>
                    <w:t>脱硫剂</w:t>
                  </w:r>
                </w:p>
              </w:tc>
              <w:tc>
                <w:tcPr>
                  <w:tcW w:w="6762" w:type="dxa"/>
                  <w:tcBorders>
                    <w:tl2br w:val="nil"/>
                    <w:tr2bl w:val="nil"/>
                  </w:tcBorders>
                  <w:shd w:val="clear" w:color="auto" w:fill="auto"/>
                  <w:vAlign w:val="center"/>
                </w:tcPr>
                <w:p w14:paraId="20DEFE99">
                  <w:pPr>
                    <w:pStyle w:val="45"/>
                    <w:rPr>
                      <w:rFonts w:hint="default"/>
                      <w:b w:val="0"/>
                      <w:bCs w:val="0"/>
                      <w:u w:val="none"/>
                    </w:rPr>
                  </w:pPr>
                  <w:r>
                    <w:rPr>
                      <w:b w:val="0"/>
                      <w:bCs w:val="0"/>
                      <w:szCs w:val="18"/>
                      <w:u w:val="none"/>
                    </w:rPr>
                    <w:t>本项目采用脱硫活性炭作为脱硫剂，脱硫活性炭是一种含硫材料制成的外观呈黑色、无味、无毒，内部孔隙结构发达。比表面积大，吸附能力强的一类微晶质</w:t>
                  </w:r>
                  <w:r>
                    <w:rPr>
                      <w:b w:val="0"/>
                      <w:bCs w:val="0"/>
                      <w:u w:val="none"/>
                    </w:rPr>
                    <w:fldChar w:fldCharType="begin"/>
                  </w:r>
                  <w:r>
                    <w:rPr>
                      <w:b w:val="0"/>
                      <w:bCs w:val="0"/>
                      <w:u w:val="none"/>
                    </w:rPr>
                    <w:instrText xml:space="preserve"> HYPERLINK "https://baike.baidu.com/item/%E7%A2%B3%E7%B4%A0%E6%9D%90%E6%96%99/12607344?fromModule=lemma_inlink" \t "https://baike.baidu.com/item/%E8%84%B1%E7%A1%AB%E6%B4%BB%E6%80%A7%E7%82%AD/_blank" </w:instrText>
                  </w:r>
                  <w:r>
                    <w:rPr>
                      <w:b w:val="0"/>
                      <w:bCs w:val="0"/>
                      <w:u w:val="none"/>
                    </w:rPr>
                    <w:fldChar w:fldCharType="separate"/>
                  </w:r>
                  <w:r>
                    <w:rPr>
                      <w:b w:val="0"/>
                      <w:bCs w:val="0"/>
                      <w:szCs w:val="18"/>
                      <w:u w:val="none"/>
                    </w:rPr>
                    <w:t>碳素材料</w:t>
                  </w:r>
                  <w:r>
                    <w:rPr>
                      <w:b w:val="0"/>
                      <w:bCs w:val="0"/>
                      <w:szCs w:val="18"/>
                      <w:u w:val="none"/>
                    </w:rPr>
                    <w:fldChar w:fldCharType="end"/>
                  </w:r>
                  <w:r>
                    <w:rPr>
                      <w:b w:val="0"/>
                      <w:bCs w:val="0"/>
                      <w:szCs w:val="18"/>
                      <w:u w:val="none"/>
                    </w:rPr>
                    <w:t>，是一种常用的吸附剂。其中活性炭粗脱硫剂为普通活性炭脱硫剂，活性炭精脱硫剂为改性活性炭，由活性炭在金属盐溶液浸渍后，再经干燥、焙烧、过筛制备而成。</w:t>
                  </w:r>
                </w:p>
              </w:tc>
            </w:tr>
          </w:tbl>
          <w:p w14:paraId="374D9069">
            <w:pPr>
              <w:pStyle w:val="6"/>
              <w:numPr>
                <w:ilvl w:val="2"/>
                <w:numId w:val="4"/>
              </w:numPr>
              <w:rPr>
                <w:b w:val="0"/>
                <w:bCs w:val="0"/>
                <w:u w:val="none"/>
              </w:rPr>
            </w:pPr>
            <w:r>
              <w:rPr>
                <w:b w:val="0"/>
                <w:bCs w:val="0"/>
                <w:u w:val="none"/>
              </w:rPr>
              <w:t>主要</w:t>
            </w:r>
            <w:r>
              <w:rPr>
                <w:rFonts w:hint="eastAsia"/>
                <w:b w:val="0"/>
                <w:bCs w:val="0"/>
                <w:u w:val="none"/>
              </w:rPr>
              <w:t>原料</w:t>
            </w:r>
            <w:r>
              <w:rPr>
                <w:b w:val="0"/>
                <w:bCs w:val="0"/>
                <w:u w:val="none"/>
              </w:rPr>
              <w:t>成分分析</w:t>
            </w:r>
          </w:p>
          <w:p w14:paraId="35A9D9B2">
            <w:pPr>
              <w:pStyle w:val="5"/>
              <w:rPr>
                <w:rFonts w:hint="default"/>
                <w:b w:val="0"/>
                <w:bCs w:val="0"/>
                <w:u w:val="none"/>
              </w:rPr>
            </w:pPr>
            <w:r>
              <w:rPr>
                <w:b w:val="0"/>
                <w:bCs w:val="0"/>
                <w:u w:val="none"/>
              </w:rPr>
              <w:t>本项目二氧化碳原料气来自平顶山尼龙新材料开发区河南神马氢化学有限责任公司净化装置尾气，根据化学工业气体质量监督检验中心出具的《二氧化碳原料气 检验监测报告》（NO.2024-0119），</w:t>
            </w:r>
            <w:r>
              <w:rPr>
                <w:rFonts w:hint="default"/>
                <w:b w:val="0"/>
                <w:bCs w:val="0"/>
                <w:u w:val="none"/>
              </w:rPr>
              <w:t>二氧化碳原料气成分</w:t>
            </w:r>
            <w:r>
              <w:rPr>
                <w:b w:val="0"/>
                <w:bCs w:val="0"/>
                <w:u w:val="none"/>
              </w:rPr>
              <w:t>见下表。</w:t>
            </w:r>
          </w:p>
          <w:p w14:paraId="50115B6D">
            <w:pPr>
              <w:pStyle w:val="44"/>
              <w:numPr>
                <w:ilvl w:val="0"/>
                <w:numId w:val="2"/>
              </w:numPr>
              <w:rPr>
                <w:rFonts w:hint="default"/>
                <w:b w:val="0"/>
                <w:bCs w:val="0"/>
                <w:u w:val="none"/>
              </w:rPr>
            </w:pPr>
            <w:r>
              <w:rPr>
                <w:rFonts w:hint="default"/>
                <w:b w:val="0"/>
                <w:bCs w:val="0"/>
                <w:u w:val="none"/>
              </w:rPr>
              <w:t>二氧化碳原料气成分一览表</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712"/>
              <w:gridCol w:w="2854"/>
            </w:tblGrid>
            <w:tr w14:paraId="6A077CE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3" w:type="pct"/>
                  <w:tcBorders>
                    <w:tl2br w:val="nil"/>
                    <w:tr2bl w:val="nil"/>
                  </w:tcBorders>
                  <w:shd w:val="clear" w:color="auto" w:fill="auto"/>
                  <w:vAlign w:val="center"/>
                </w:tcPr>
                <w:p w14:paraId="44ED55AA">
                  <w:pPr>
                    <w:pStyle w:val="45"/>
                    <w:rPr>
                      <w:rFonts w:hint="default"/>
                      <w:b w:val="0"/>
                      <w:bCs w:val="0"/>
                      <w:u w:val="none"/>
                    </w:rPr>
                  </w:pPr>
                  <w:r>
                    <w:rPr>
                      <w:b w:val="0"/>
                      <w:bCs w:val="0"/>
                      <w:u w:val="none"/>
                    </w:rPr>
                    <w:t>组分</w:t>
                  </w:r>
                </w:p>
              </w:tc>
              <w:tc>
                <w:tcPr>
                  <w:tcW w:w="1886" w:type="pct"/>
                  <w:tcBorders>
                    <w:tl2br w:val="nil"/>
                    <w:tr2bl w:val="nil"/>
                  </w:tcBorders>
                  <w:shd w:val="clear" w:color="auto" w:fill="auto"/>
                  <w:vAlign w:val="center"/>
                </w:tcPr>
                <w:p w14:paraId="5FFC3844">
                  <w:pPr>
                    <w:pStyle w:val="45"/>
                    <w:rPr>
                      <w:rFonts w:hint="default"/>
                      <w:b w:val="0"/>
                      <w:bCs w:val="0"/>
                      <w:u w:val="none"/>
                    </w:rPr>
                  </w:pPr>
                  <w:r>
                    <w:rPr>
                      <w:b w:val="0"/>
                      <w:bCs w:val="0"/>
                      <w:u w:val="none"/>
                    </w:rPr>
                    <w:t>原料气（CO</w:t>
                  </w:r>
                  <w:r>
                    <w:rPr>
                      <w:b w:val="0"/>
                      <w:bCs w:val="0"/>
                      <w:u w:val="none"/>
                      <w:vertAlign w:val="subscript"/>
                    </w:rPr>
                    <w:t>2</w:t>
                  </w:r>
                  <w:r>
                    <w:rPr>
                      <w:b w:val="0"/>
                      <w:bCs w:val="0"/>
                      <w:u w:val="none"/>
                    </w:rPr>
                    <w:t>）体积分数</w:t>
                  </w:r>
                </w:p>
              </w:tc>
            </w:tr>
            <w:tr w14:paraId="72CE07B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3" w:type="pct"/>
                  <w:tcBorders>
                    <w:tl2br w:val="nil"/>
                    <w:tr2bl w:val="nil"/>
                  </w:tcBorders>
                  <w:shd w:val="clear" w:color="auto" w:fill="auto"/>
                  <w:noWrap/>
                  <w:vAlign w:val="center"/>
                </w:tcPr>
                <w:p w14:paraId="3C5012A5">
                  <w:pPr>
                    <w:pStyle w:val="45"/>
                    <w:rPr>
                      <w:rFonts w:hint="default"/>
                      <w:b w:val="0"/>
                      <w:bCs w:val="0"/>
                      <w:u w:val="none"/>
                    </w:rPr>
                  </w:pPr>
                  <w:r>
                    <w:rPr>
                      <w:b w:val="0"/>
                      <w:bCs w:val="0"/>
                      <w:u w:val="none"/>
                    </w:rPr>
                    <w:t>二氧化碳，10</w:t>
                  </w:r>
                  <w:r>
                    <w:rPr>
                      <w:b w:val="0"/>
                      <w:bCs w:val="0"/>
                      <w:u w:val="none"/>
                      <w:vertAlign w:val="superscript"/>
                    </w:rPr>
                    <w:t>-2</w:t>
                  </w:r>
                  <w:r>
                    <w:rPr>
                      <w:b w:val="0"/>
                      <w:bCs w:val="0"/>
                      <w:u w:val="none"/>
                    </w:rPr>
                    <w:t>V/V</w:t>
                  </w:r>
                </w:p>
              </w:tc>
              <w:tc>
                <w:tcPr>
                  <w:tcW w:w="1886" w:type="pct"/>
                  <w:tcBorders>
                    <w:tl2br w:val="nil"/>
                    <w:tr2bl w:val="nil"/>
                  </w:tcBorders>
                  <w:shd w:val="clear" w:color="auto" w:fill="auto"/>
                  <w:noWrap/>
                  <w:vAlign w:val="center"/>
                </w:tcPr>
                <w:p w14:paraId="66E82486">
                  <w:pPr>
                    <w:pStyle w:val="45"/>
                    <w:rPr>
                      <w:rFonts w:hint="default"/>
                      <w:b w:val="0"/>
                      <w:bCs w:val="0"/>
                      <w:u w:val="none"/>
                    </w:rPr>
                  </w:pPr>
                  <w:r>
                    <w:rPr>
                      <w:b w:val="0"/>
                      <w:bCs w:val="0"/>
                      <w:u w:val="none"/>
                    </w:rPr>
                    <w:t>98.5</w:t>
                  </w:r>
                </w:p>
              </w:tc>
            </w:tr>
            <w:tr w14:paraId="395EAE0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3" w:type="pct"/>
                  <w:tcBorders>
                    <w:tl2br w:val="nil"/>
                    <w:tr2bl w:val="nil"/>
                  </w:tcBorders>
                  <w:shd w:val="clear" w:color="auto" w:fill="auto"/>
                  <w:noWrap/>
                  <w:vAlign w:val="center"/>
                </w:tcPr>
                <w:p w14:paraId="6509D110">
                  <w:pPr>
                    <w:pStyle w:val="45"/>
                    <w:rPr>
                      <w:rFonts w:hint="default"/>
                      <w:b w:val="0"/>
                      <w:bCs w:val="0"/>
                      <w:u w:val="none"/>
                    </w:rPr>
                  </w:pPr>
                  <w:r>
                    <w:rPr>
                      <w:b w:val="0"/>
                      <w:bCs w:val="0"/>
                      <w:u w:val="none"/>
                    </w:rPr>
                    <w:t>氧，10</w:t>
                  </w:r>
                  <w:r>
                    <w:rPr>
                      <w:b w:val="0"/>
                      <w:bCs w:val="0"/>
                      <w:u w:val="none"/>
                      <w:vertAlign w:val="superscript"/>
                    </w:rPr>
                    <w:t>-2</w:t>
                  </w:r>
                  <w:r>
                    <w:rPr>
                      <w:b w:val="0"/>
                      <w:bCs w:val="0"/>
                      <w:u w:val="none"/>
                    </w:rPr>
                    <w:t>V/V</w:t>
                  </w:r>
                </w:p>
              </w:tc>
              <w:tc>
                <w:tcPr>
                  <w:tcW w:w="1886" w:type="pct"/>
                  <w:tcBorders>
                    <w:tl2br w:val="nil"/>
                    <w:tr2bl w:val="nil"/>
                  </w:tcBorders>
                  <w:shd w:val="clear" w:color="auto" w:fill="auto"/>
                  <w:noWrap/>
                  <w:vAlign w:val="center"/>
                </w:tcPr>
                <w:p w14:paraId="44A642D5">
                  <w:pPr>
                    <w:pStyle w:val="45"/>
                    <w:rPr>
                      <w:rFonts w:hint="default"/>
                      <w:b w:val="0"/>
                      <w:bCs w:val="0"/>
                      <w:u w:val="none"/>
                    </w:rPr>
                  </w:pPr>
                  <w:r>
                    <w:rPr>
                      <w:b w:val="0"/>
                      <w:bCs w:val="0"/>
                      <w:u w:val="none"/>
                    </w:rPr>
                    <w:t>0.113</w:t>
                  </w:r>
                </w:p>
              </w:tc>
            </w:tr>
            <w:tr w14:paraId="424EF94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3" w:type="pct"/>
                  <w:tcBorders>
                    <w:tl2br w:val="nil"/>
                    <w:tr2bl w:val="nil"/>
                  </w:tcBorders>
                  <w:shd w:val="clear" w:color="auto" w:fill="auto"/>
                  <w:noWrap/>
                  <w:vAlign w:val="center"/>
                </w:tcPr>
                <w:p w14:paraId="004856A3">
                  <w:pPr>
                    <w:pStyle w:val="45"/>
                    <w:rPr>
                      <w:rFonts w:hint="default"/>
                      <w:b w:val="0"/>
                      <w:bCs w:val="0"/>
                      <w:u w:val="none"/>
                    </w:rPr>
                  </w:pPr>
                  <w:r>
                    <w:rPr>
                      <w:b w:val="0"/>
                      <w:bCs w:val="0"/>
                      <w:u w:val="none"/>
                    </w:rPr>
                    <w:t>氮，10</w:t>
                  </w:r>
                  <w:r>
                    <w:rPr>
                      <w:b w:val="0"/>
                      <w:bCs w:val="0"/>
                      <w:u w:val="none"/>
                      <w:vertAlign w:val="superscript"/>
                    </w:rPr>
                    <w:t>-2</w:t>
                  </w:r>
                  <w:r>
                    <w:rPr>
                      <w:b w:val="0"/>
                      <w:bCs w:val="0"/>
                      <w:u w:val="none"/>
                    </w:rPr>
                    <w:t>V/V</w:t>
                  </w:r>
                </w:p>
              </w:tc>
              <w:tc>
                <w:tcPr>
                  <w:tcW w:w="1886" w:type="pct"/>
                  <w:tcBorders>
                    <w:tl2br w:val="nil"/>
                    <w:tr2bl w:val="nil"/>
                  </w:tcBorders>
                  <w:shd w:val="clear" w:color="auto" w:fill="auto"/>
                  <w:noWrap/>
                  <w:vAlign w:val="center"/>
                </w:tcPr>
                <w:p w14:paraId="72304EE1">
                  <w:pPr>
                    <w:pStyle w:val="45"/>
                    <w:rPr>
                      <w:rFonts w:hint="default"/>
                      <w:b w:val="0"/>
                      <w:bCs w:val="0"/>
                      <w:u w:val="none"/>
                    </w:rPr>
                  </w:pPr>
                  <w:r>
                    <w:rPr>
                      <w:b w:val="0"/>
                      <w:bCs w:val="0"/>
                      <w:u w:val="none"/>
                    </w:rPr>
                    <w:t>1.36</w:t>
                  </w:r>
                </w:p>
              </w:tc>
            </w:tr>
            <w:tr w14:paraId="430F263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3" w:type="pct"/>
                  <w:tcBorders>
                    <w:tl2br w:val="nil"/>
                    <w:tr2bl w:val="nil"/>
                  </w:tcBorders>
                  <w:shd w:val="clear" w:color="auto" w:fill="auto"/>
                  <w:noWrap/>
                  <w:vAlign w:val="center"/>
                </w:tcPr>
                <w:p w14:paraId="6ABD5A60">
                  <w:pPr>
                    <w:pStyle w:val="45"/>
                    <w:rPr>
                      <w:rFonts w:hint="default"/>
                      <w:b w:val="0"/>
                      <w:bCs w:val="0"/>
                      <w:u w:val="none"/>
                    </w:rPr>
                  </w:pPr>
                  <w:r>
                    <w:rPr>
                      <w:b w:val="0"/>
                      <w:bCs w:val="0"/>
                      <w:u w:val="none"/>
                    </w:rPr>
                    <w:t>甲醇，10</w:t>
                  </w:r>
                  <w:r>
                    <w:rPr>
                      <w:b w:val="0"/>
                      <w:bCs w:val="0"/>
                      <w:u w:val="none"/>
                      <w:vertAlign w:val="superscript"/>
                    </w:rPr>
                    <w:t>-6</w:t>
                  </w:r>
                  <w:r>
                    <w:rPr>
                      <w:b w:val="0"/>
                      <w:bCs w:val="0"/>
                      <w:u w:val="none"/>
                    </w:rPr>
                    <w:t>V/V</w:t>
                  </w:r>
                </w:p>
              </w:tc>
              <w:tc>
                <w:tcPr>
                  <w:tcW w:w="1886" w:type="pct"/>
                  <w:tcBorders>
                    <w:tl2br w:val="nil"/>
                    <w:tr2bl w:val="nil"/>
                  </w:tcBorders>
                  <w:shd w:val="clear" w:color="auto" w:fill="auto"/>
                  <w:noWrap/>
                  <w:vAlign w:val="center"/>
                </w:tcPr>
                <w:p w14:paraId="7D41094F">
                  <w:pPr>
                    <w:pStyle w:val="45"/>
                    <w:rPr>
                      <w:rFonts w:hint="default"/>
                      <w:b w:val="0"/>
                      <w:bCs w:val="0"/>
                      <w:u w:val="none"/>
                    </w:rPr>
                  </w:pPr>
                  <w:r>
                    <w:rPr>
                      <w:b w:val="0"/>
                      <w:bCs w:val="0"/>
                      <w:u w:val="none"/>
                    </w:rPr>
                    <w:t>2.82</w:t>
                  </w:r>
                </w:p>
              </w:tc>
            </w:tr>
            <w:tr w14:paraId="7C13E4F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3" w:type="pct"/>
                  <w:tcBorders>
                    <w:tl2br w:val="nil"/>
                    <w:tr2bl w:val="nil"/>
                  </w:tcBorders>
                  <w:shd w:val="clear" w:color="auto" w:fill="auto"/>
                  <w:noWrap/>
                  <w:vAlign w:val="center"/>
                </w:tcPr>
                <w:p w14:paraId="373AECD2">
                  <w:pPr>
                    <w:pStyle w:val="45"/>
                    <w:rPr>
                      <w:rFonts w:hint="default"/>
                      <w:b w:val="0"/>
                      <w:bCs w:val="0"/>
                      <w:u w:val="none"/>
                    </w:rPr>
                  </w:pPr>
                  <w:r>
                    <w:rPr>
                      <w:b w:val="0"/>
                      <w:bCs w:val="0"/>
                      <w:u w:val="none"/>
                    </w:rPr>
                    <w:t>甲烷，10</w:t>
                  </w:r>
                  <w:r>
                    <w:rPr>
                      <w:b w:val="0"/>
                      <w:bCs w:val="0"/>
                      <w:u w:val="none"/>
                      <w:vertAlign w:val="superscript"/>
                    </w:rPr>
                    <w:t>-2</w:t>
                  </w:r>
                  <w:r>
                    <w:rPr>
                      <w:b w:val="0"/>
                      <w:bCs w:val="0"/>
                      <w:u w:val="none"/>
                    </w:rPr>
                    <w:t>V/V</w:t>
                  </w:r>
                </w:p>
              </w:tc>
              <w:tc>
                <w:tcPr>
                  <w:tcW w:w="1886" w:type="pct"/>
                  <w:tcBorders>
                    <w:tl2br w:val="nil"/>
                    <w:tr2bl w:val="nil"/>
                  </w:tcBorders>
                  <w:shd w:val="clear" w:color="auto" w:fill="auto"/>
                  <w:noWrap/>
                  <w:vAlign w:val="center"/>
                </w:tcPr>
                <w:p w14:paraId="6A9BF506">
                  <w:pPr>
                    <w:pStyle w:val="45"/>
                    <w:rPr>
                      <w:rFonts w:hint="default"/>
                      <w:b w:val="0"/>
                      <w:bCs w:val="0"/>
                      <w:u w:val="none"/>
                    </w:rPr>
                  </w:pPr>
                  <w:r>
                    <w:rPr>
                      <w:b w:val="0"/>
                      <w:bCs w:val="0"/>
                      <w:u w:val="none"/>
                    </w:rPr>
                    <w:t>ND（未检出）</w:t>
                  </w:r>
                </w:p>
              </w:tc>
            </w:tr>
            <w:tr w14:paraId="339709C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3" w:type="pct"/>
                  <w:tcBorders>
                    <w:tl2br w:val="nil"/>
                    <w:tr2bl w:val="nil"/>
                  </w:tcBorders>
                  <w:shd w:val="clear" w:color="auto" w:fill="auto"/>
                  <w:noWrap/>
                  <w:vAlign w:val="center"/>
                </w:tcPr>
                <w:p w14:paraId="2244706A">
                  <w:pPr>
                    <w:pStyle w:val="45"/>
                    <w:rPr>
                      <w:rFonts w:hint="default"/>
                      <w:b w:val="0"/>
                      <w:bCs w:val="0"/>
                      <w:u w:val="none"/>
                    </w:rPr>
                  </w:pPr>
                  <w:r>
                    <w:rPr>
                      <w:b w:val="0"/>
                      <w:bCs w:val="0"/>
                      <w:u w:val="none"/>
                    </w:rPr>
                    <w:t>一氧化碳，10</w:t>
                  </w:r>
                  <w:r>
                    <w:rPr>
                      <w:b w:val="0"/>
                      <w:bCs w:val="0"/>
                      <w:u w:val="none"/>
                      <w:vertAlign w:val="superscript"/>
                    </w:rPr>
                    <w:t>-2</w:t>
                  </w:r>
                  <w:r>
                    <w:rPr>
                      <w:b w:val="0"/>
                      <w:bCs w:val="0"/>
                      <w:u w:val="none"/>
                    </w:rPr>
                    <w:t>V/V</w:t>
                  </w:r>
                </w:p>
              </w:tc>
              <w:tc>
                <w:tcPr>
                  <w:tcW w:w="1886" w:type="pct"/>
                  <w:tcBorders>
                    <w:tl2br w:val="nil"/>
                    <w:tr2bl w:val="nil"/>
                  </w:tcBorders>
                  <w:shd w:val="clear" w:color="auto" w:fill="auto"/>
                  <w:noWrap/>
                  <w:vAlign w:val="center"/>
                </w:tcPr>
                <w:p w14:paraId="36995678">
                  <w:pPr>
                    <w:pStyle w:val="45"/>
                    <w:rPr>
                      <w:rFonts w:hint="default"/>
                      <w:b w:val="0"/>
                      <w:bCs w:val="0"/>
                      <w:u w:val="none"/>
                    </w:rPr>
                  </w:pPr>
                  <w:r>
                    <w:rPr>
                      <w:b w:val="0"/>
                      <w:bCs w:val="0"/>
                      <w:u w:val="none"/>
                    </w:rPr>
                    <w:t>0.01</w:t>
                  </w:r>
                </w:p>
              </w:tc>
            </w:tr>
            <w:tr w14:paraId="6E57EA9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3" w:type="pct"/>
                  <w:tcBorders>
                    <w:tl2br w:val="nil"/>
                    <w:tr2bl w:val="nil"/>
                  </w:tcBorders>
                  <w:shd w:val="clear" w:color="auto" w:fill="auto"/>
                  <w:noWrap/>
                  <w:vAlign w:val="center"/>
                </w:tcPr>
                <w:p w14:paraId="445E8BAE">
                  <w:pPr>
                    <w:pStyle w:val="45"/>
                    <w:rPr>
                      <w:rFonts w:hint="default"/>
                      <w:b w:val="0"/>
                      <w:bCs w:val="0"/>
                      <w:u w:val="none"/>
                    </w:rPr>
                  </w:pPr>
                  <w:r>
                    <w:rPr>
                      <w:b w:val="0"/>
                      <w:bCs w:val="0"/>
                      <w:u w:val="none"/>
                    </w:rPr>
                    <w:t>氢，10</w:t>
                  </w:r>
                  <w:r>
                    <w:rPr>
                      <w:b w:val="0"/>
                      <w:bCs w:val="0"/>
                      <w:u w:val="none"/>
                      <w:vertAlign w:val="superscript"/>
                    </w:rPr>
                    <w:t>-2</w:t>
                  </w:r>
                  <w:r>
                    <w:rPr>
                      <w:b w:val="0"/>
                      <w:bCs w:val="0"/>
                      <w:u w:val="none"/>
                    </w:rPr>
                    <w:t>V/V</w:t>
                  </w:r>
                </w:p>
              </w:tc>
              <w:tc>
                <w:tcPr>
                  <w:tcW w:w="1886" w:type="pct"/>
                  <w:tcBorders>
                    <w:tl2br w:val="nil"/>
                    <w:tr2bl w:val="nil"/>
                  </w:tcBorders>
                  <w:shd w:val="clear" w:color="auto" w:fill="auto"/>
                  <w:noWrap/>
                  <w:vAlign w:val="center"/>
                </w:tcPr>
                <w:p w14:paraId="7A216621">
                  <w:pPr>
                    <w:pStyle w:val="45"/>
                    <w:rPr>
                      <w:rFonts w:hint="default"/>
                      <w:b w:val="0"/>
                      <w:bCs w:val="0"/>
                      <w:u w:val="none"/>
                    </w:rPr>
                  </w:pPr>
                  <w:r>
                    <w:rPr>
                      <w:b w:val="0"/>
                      <w:bCs w:val="0"/>
                      <w:u w:val="none"/>
                    </w:rPr>
                    <w:t>ND（未检出）</w:t>
                  </w:r>
                </w:p>
              </w:tc>
            </w:tr>
            <w:tr w14:paraId="6ADD93E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3" w:type="pct"/>
                  <w:tcBorders>
                    <w:tl2br w:val="nil"/>
                    <w:tr2bl w:val="nil"/>
                  </w:tcBorders>
                  <w:shd w:val="clear" w:color="auto" w:fill="auto"/>
                  <w:noWrap/>
                  <w:vAlign w:val="center"/>
                </w:tcPr>
                <w:p w14:paraId="3DD04ECB">
                  <w:pPr>
                    <w:pStyle w:val="45"/>
                    <w:rPr>
                      <w:rFonts w:hint="default"/>
                      <w:b w:val="0"/>
                      <w:bCs w:val="0"/>
                      <w:u w:val="none"/>
                    </w:rPr>
                  </w:pPr>
                  <w:r>
                    <w:rPr>
                      <w:b w:val="0"/>
                      <w:bCs w:val="0"/>
                      <w:u w:val="none"/>
                    </w:rPr>
                    <w:t>硫化氢，10</w:t>
                  </w:r>
                  <w:r>
                    <w:rPr>
                      <w:b w:val="0"/>
                      <w:bCs w:val="0"/>
                      <w:u w:val="none"/>
                      <w:vertAlign w:val="superscript"/>
                    </w:rPr>
                    <w:t>-6</w:t>
                  </w:r>
                  <w:r>
                    <w:rPr>
                      <w:b w:val="0"/>
                      <w:bCs w:val="0"/>
                      <w:u w:val="none"/>
                    </w:rPr>
                    <w:t>V/V</w:t>
                  </w:r>
                </w:p>
              </w:tc>
              <w:tc>
                <w:tcPr>
                  <w:tcW w:w="1886" w:type="pct"/>
                  <w:tcBorders>
                    <w:tl2br w:val="nil"/>
                    <w:tr2bl w:val="nil"/>
                  </w:tcBorders>
                  <w:shd w:val="clear" w:color="auto" w:fill="auto"/>
                  <w:noWrap/>
                  <w:vAlign w:val="center"/>
                </w:tcPr>
                <w:p w14:paraId="7B6B9FC7">
                  <w:pPr>
                    <w:pStyle w:val="45"/>
                    <w:rPr>
                      <w:rFonts w:hint="default"/>
                      <w:b w:val="0"/>
                      <w:bCs w:val="0"/>
                      <w:u w:val="none"/>
                    </w:rPr>
                  </w:pPr>
                  <w:r>
                    <w:rPr>
                      <w:b w:val="0"/>
                      <w:bCs w:val="0"/>
                      <w:u w:val="none"/>
                    </w:rPr>
                    <w:t>3.89</w:t>
                  </w:r>
                </w:p>
              </w:tc>
            </w:tr>
            <w:tr w14:paraId="4C467E7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3" w:type="pct"/>
                  <w:tcBorders>
                    <w:tl2br w:val="nil"/>
                    <w:tr2bl w:val="nil"/>
                  </w:tcBorders>
                  <w:shd w:val="clear" w:color="auto" w:fill="auto"/>
                  <w:noWrap/>
                  <w:vAlign w:val="center"/>
                </w:tcPr>
                <w:p w14:paraId="51809DAC">
                  <w:pPr>
                    <w:pStyle w:val="45"/>
                    <w:rPr>
                      <w:rFonts w:hint="default"/>
                      <w:b w:val="0"/>
                      <w:bCs w:val="0"/>
                      <w:u w:val="none"/>
                    </w:rPr>
                  </w:pPr>
                  <w:r>
                    <w:rPr>
                      <w:b w:val="0"/>
                      <w:bCs w:val="0"/>
                      <w:u w:val="none"/>
                    </w:rPr>
                    <w:t>羟基硫，10</w:t>
                  </w:r>
                  <w:r>
                    <w:rPr>
                      <w:b w:val="0"/>
                      <w:bCs w:val="0"/>
                      <w:u w:val="none"/>
                      <w:vertAlign w:val="superscript"/>
                    </w:rPr>
                    <w:t>-6</w:t>
                  </w:r>
                  <w:r>
                    <w:rPr>
                      <w:b w:val="0"/>
                      <w:bCs w:val="0"/>
                      <w:u w:val="none"/>
                    </w:rPr>
                    <w:t>V/V</w:t>
                  </w:r>
                </w:p>
              </w:tc>
              <w:tc>
                <w:tcPr>
                  <w:tcW w:w="1886" w:type="pct"/>
                  <w:tcBorders>
                    <w:tl2br w:val="nil"/>
                    <w:tr2bl w:val="nil"/>
                  </w:tcBorders>
                  <w:shd w:val="clear" w:color="auto" w:fill="auto"/>
                  <w:noWrap/>
                  <w:vAlign w:val="center"/>
                </w:tcPr>
                <w:p w14:paraId="4E2DC0B3">
                  <w:pPr>
                    <w:pStyle w:val="45"/>
                    <w:rPr>
                      <w:rFonts w:hint="default"/>
                      <w:b w:val="0"/>
                      <w:bCs w:val="0"/>
                      <w:u w:val="none"/>
                    </w:rPr>
                  </w:pPr>
                  <w:r>
                    <w:rPr>
                      <w:b w:val="0"/>
                      <w:bCs w:val="0"/>
                      <w:u w:val="none"/>
                    </w:rPr>
                    <w:t>4.22</w:t>
                  </w:r>
                </w:p>
              </w:tc>
            </w:tr>
          </w:tbl>
          <w:p w14:paraId="476ED3EE">
            <w:pPr>
              <w:pStyle w:val="5"/>
              <w:rPr>
                <w:rFonts w:hint="default"/>
                <w:b w:val="0"/>
                <w:bCs w:val="0"/>
                <w:u w:val="none"/>
              </w:rPr>
            </w:pPr>
            <w:r>
              <w:rPr>
                <w:b w:val="0"/>
                <w:bCs w:val="0"/>
                <w:u w:val="none"/>
              </w:rPr>
              <w:t>本项目原料液氨来自平顶山尼龙新材料开发区河南神马氢化学有限责任公司的</w:t>
            </w:r>
            <w:r>
              <w:rPr>
                <w:rFonts w:hint="eastAsia"/>
                <w:b w:val="0"/>
                <w:bCs w:val="0"/>
                <w:u w:val="none"/>
                <w:lang w:eastAsia="zh-CN"/>
              </w:rPr>
              <w:t>优等品</w:t>
            </w:r>
            <w:r>
              <w:rPr>
                <w:b w:val="0"/>
                <w:bCs w:val="0"/>
                <w:u w:val="none"/>
              </w:rPr>
              <w:t>产品液氨，根据河南神马氢化学有限责任公司产品质量标准，原料液氨满足满足《液体无水氨》（GB/T 536-2017）优等品要求。</w:t>
            </w:r>
          </w:p>
          <w:p w14:paraId="01C5217D">
            <w:pPr>
              <w:pStyle w:val="44"/>
              <w:numPr>
                <w:ilvl w:val="0"/>
                <w:numId w:val="2"/>
              </w:numPr>
              <w:rPr>
                <w:rFonts w:hint="default"/>
                <w:b w:val="0"/>
                <w:bCs w:val="0"/>
                <w:u w:val="none"/>
              </w:rPr>
            </w:pPr>
            <w:r>
              <w:rPr>
                <w:rFonts w:hint="default"/>
                <w:b w:val="0"/>
                <w:bCs w:val="0"/>
                <w:u w:val="none"/>
              </w:rPr>
              <w:t xml:space="preserve"> 液氨原料气成分一览表</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711"/>
              <w:gridCol w:w="2855"/>
            </w:tblGrid>
            <w:tr w14:paraId="0545488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3" w:type="pct"/>
                  <w:tcBorders>
                    <w:tl2br w:val="nil"/>
                    <w:tr2bl w:val="nil"/>
                  </w:tcBorders>
                  <w:shd w:val="clear" w:color="auto" w:fill="auto"/>
                  <w:vAlign w:val="center"/>
                </w:tcPr>
                <w:p w14:paraId="02A26B97">
                  <w:pPr>
                    <w:pStyle w:val="45"/>
                    <w:rPr>
                      <w:rFonts w:hint="default"/>
                      <w:b w:val="0"/>
                      <w:bCs w:val="0"/>
                      <w:u w:val="none"/>
                    </w:rPr>
                  </w:pPr>
                  <w:r>
                    <w:rPr>
                      <w:b w:val="0"/>
                      <w:bCs w:val="0"/>
                      <w:u w:val="none"/>
                    </w:rPr>
                    <w:t>项目</w:t>
                  </w:r>
                </w:p>
              </w:tc>
              <w:tc>
                <w:tcPr>
                  <w:tcW w:w="1886" w:type="pct"/>
                  <w:tcBorders>
                    <w:tl2br w:val="nil"/>
                    <w:tr2bl w:val="nil"/>
                  </w:tcBorders>
                  <w:shd w:val="clear" w:color="auto" w:fill="auto"/>
                  <w:vAlign w:val="center"/>
                </w:tcPr>
                <w:p w14:paraId="2C0635A8">
                  <w:pPr>
                    <w:pStyle w:val="45"/>
                    <w:rPr>
                      <w:rFonts w:hint="default"/>
                      <w:b w:val="0"/>
                      <w:bCs w:val="0"/>
                      <w:u w:val="none"/>
                    </w:rPr>
                  </w:pPr>
                  <w:r>
                    <w:rPr>
                      <w:b w:val="0"/>
                      <w:bCs w:val="0"/>
                      <w:u w:val="none"/>
                    </w:rPr>
                    <w:t>指标</w:t>
                  </w:r>
                </w:p>
              </w:tc>
            </w:tr>
            <w:tr w14:paraId="6247B3E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3" w:type="pct"/>
                  <w:tcBorders>
                    <w:tl2br w:val="nil"/>
                    <w:tr2bl w:val="nil"/>
                  </w:tcBorders>
                  <w:shd w:val="clear" w:color="auto" w:fill="auto"/>
                  <w:vAlign w:val="center"/>
                </w:tcPr>
                <w:p w14:paraId="4DFCB883">
                  <w:pPr>
                    <w:pStyle w:val="45"/>
                    <w:rPr>
                      <w:rFonts w:hint="default"/>
                      <w:b w:val="0"/>
                      <w:bCs w:val="0"/>
                      <w:u w:val="none"/>
                    </w:rPr>
                  </w:pPr>
                  <w:r>
                    <w:rPr>
                      <w:b w:val="0"/>
                      <w:bCs w:val="0"/>
                      <w:u w:val="none"/>
                    </w:rPr>
                    <w:t>氨含量 /% ≥</w:t>
                  </w:r>
                </w:p>
              </w:tc>
              <w:tc>
                <w:tcPr>
                  <w:tcW w:w="1886" w:type="pct"/>
                  <w:tcBorders>
                    <w:tl2br w:val="nil"/>
                    <w:tr2bl w:val="nil"/>
                  </w:tcBorders>
                  <w:shd w:val="clear" w:color="auto" w:fill="auto"/>
                  <w:vAlign w:val="center"/>
                </w:tcPr>
                <w:p w14:paraId="733F6662">
                  <w:pPr>
                    <w:pStyle w:val="45"/>
                    <w:rPr>
                      <w:rFonts w:hint="default"/>
                      <w:b w:val="0"/>
                      <w:bCs w:val="0"/>
                      <w:u w:val="none"/>
                    </w:rPr>
                  </w:pPr>
                  <w:r>
                    <w:rPr>
                      <w:b w:val="0"/>
                      <w:bCs w:val="0"/>
                      <w:u w:val="none"/>
                    </w:rPr>
                    <w:t>99.9%</w:t>
                  </w:r>
                </w:p>
              </w:tc>
            </w:tr>
            <w:tr w14:paraId="2193EFE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3" w:type="pct"/>
                  <w:tcBorders>
                    <w:tl2br w:val="nil"/>
                    <w:tr2bl w:val="nil"/>
                  </w:tcBorders>
                  <w:shd w:val="clear" w:color="auto" w:fill="auto"/>
                  <w:vAlign w:val="center"/>
                </w:tcPr>
                <w:p w14:paraId="73CDEAA7">
                  <w:pPr>
                    <w:pStyle w:val="45"/>
                    <w:rPr>
                      <w:rFonts w:hint="default"/>
                      <w:b w:val="0"/>
                      <w:bCs w:val="0"/>
                      <w:u w:val="none"/>
                    </w:rPr>
                  </w:pPr>
                  <w:r>
                    <w:rPr>
                      <w:b w:val="0"/>
                      <w:bCs w:val="0"/>
                      <w:u w:val="none"/>
                    </w:rPr>
                    <w:t xml:space="preserve">残留物含量 /% ≤ </w:t>
                  </w:r>
                </w:p>
              </w:tc>
              <w:tc>
                <w:tcPr>
                  <w:tcW w:w="1886" w:type="pct"/>
                  <w:tcBorders>
                    <w:tl2br w:val="nil"/>
                    <w:tr2bl w:val="nil"/>
                  </w:tcBorders>
                  <w:shd w:val="clear" w:color="auto" w:fill="auto"/>
                  <w:vAlign w:val="center"/>
                </w:tcPr>
                <w:p w14:paraId="3DAFEFEB">
                  <w:pPr>
                    <w:pStyle w:val="45"/>
                    <w:rPr>
                      <w:rFonts w:hint="default"/>
                      <w:b w:val="0"/>
                      <w:bCs w:val="0"/>
                      <w:u w:val="none"/>
                    </w:rPr>
                  </w:pPr>
                  <w:r>
                    <w:rPr>
                      <w:b w:val="0"/>
                      <w:bCs w:val="0"/>
                      <w:u w:val="none"/>
                    </w:rPr>
                    <w:t>0.1（重量法）</w:t>
                  </w:r>
                </w:p>
              </w:tc>
            </w:tr>
            <w:tr w14:paraId="2B5DC04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3" w:type="pct"/>
                  <w:tcBorders>
                    <w:tl2br w:val="nil"/>
                    <w:tr2bl w:val="nil"/>
                  </w:tcBorders>
                  <w:shd w:val="clear" w:color="auto" w:fill="auto"/>
                  <w:vAlign w:val="center"/>
                </w:tcPr>
                <w:p w14:paraId="4367291D">
                  <w:pPr>
                    <w:pStyle w:val="45"/>
                    <w:rPr>
                      <w:rFonts w:hint="default"/>
                      <w:b w:val="0"/>
                      <w:bCs w:val="0"/>
                      <w:u w:val="none"/>
                    </w:rPr>
                  </w:pPr>
                  <w:r>
                    <w:rPr>
                      <w:b w:val="0"/>
                      <w:bCs w:val="0"/>
                      <w:u w:val="none"/>
                    </w:rPr>
                    <w:t xml:space="preserve">水分/%≤ </w:t>
                  </w:r>
                </w:p>
              </w:tc>
              <w:tc>
                <w:tcPr>
                  <w:tcW w:w="1886" w:type="pct"/>
                  <w:tcBorders>
                    <w:tl2br w:val="nil"/>
                    <w:tr2bl w:val="nil"/>
                  </w:tcBorders>
                  <w:shd w:val="clear" w:color="auto" w:fill="auto"/>
                  <w:vAlign w:val="center"/>
                </w:tcPr>
                <w:p w14:paraId="67A12037">
                  <w:pPr>
                    <w:pStyle w:val="45"/>
                    <w:rPr>
                      <w:rFonts w:hint="default"/>
                      <w:b w:val="0"/>
                      <w:bCs w:val="0"/>
                      <w:u w:val="none"/>
                    </w:rPr>
                  </w:pPr>
                  <w:r>
                    <w:rPr>
                      <w:b w:val="0"/>
                      <w:bCs w:val="0"/>
                      <w:u w:val="none"/>
                    </w:rPr>
                    <w:t>0.1</w:t>
                  </w:r>
                </w:p>
              </w:tc>
            </w:tr>
            <w:tr w14:paraId="3D0BEFE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3" w:type="pct"/>
                  <w:tcBorders>
                    <w:tl2br w:val="nil"/>
                    <w:tr2bl w:val="nil"/>
                  </w:tcBorders>
                  <w:shd w:val="clear" w:color="auto" w:fill="auto"/>
                  <w:vAlign w:val="center"/>
                </w:tcPr>
                <w:p w14:paraId="46A69659">
                  <w:pPr>
                    <w:pStyle w:val="45"/>
                    <w:rPr>
                      <w:rFonts w:hint="default"/>
                      <w:b w:val="0"/>
                      <w:bCs w:val="0"/>
                      <w:u w:val="none"/>
                    </w:rPr>
                  </w:pPr>
                  <w:r>
                    <w:rPr>
                      <w:b w:val="0"/>
                      <w:bCs w:val="0"/>
                      <w:u w:val="none"/>
                    </w:rPr>
                    <w:t>油含量/（mg/kg）≤</w:t>
                  </w:r>
                </w:p>
              </w:tc>
              <w:tc>
                <w:tcPr>
                  <w:tcW w:w="1886" w:type="pct"/>
                  <w:tcBorders>
                    <w:tl2br w:val="nil"/>
                    <w:tr2bl w:val="nil"/>
                  </w:tcBorders>
                  <w:shd w:val="clear" w:color="auto" w:fill="auto"/>
                  <w:vAlign w:val="center"/>
                </w:tcPr>
                <w:p w14:paraId="7FE2A866">
                  <w:pPr>
                    <w:pStyle w:val="45"/>
                    <w:rPr>
                      <w:rFonts w:hint="default"/>
                      <w:b w:val="0"/>
                      <w:bCs w:val="0"/>
                      <w:u w:val="none"/>
                    </w:rPr>
                  </w:pPr>
                  <w:r>
                    <w:rPr>
                      <w:b w:val="0"/>
                      <w:bCs w:val="0"/>
                      <w:u w:val="none"/>
                    </w:rPr>
                    <w:t>5（重量法）</w:t>
                  </w:r>
                </w:p>
                <w:p w14:paraId="3563499E">
                  <w:pPr>
                    <w:pStyle w:val="45"/>
                    <w:rPr>
                      <w:rFonts w:hint="default"/>
                      <w:b w:val="0"/>
                      <w:bCs w:val="0"/>
                      <w:u w:val="none"/>
                    </w:rPr>
                  </w:pPr>
                  <w:r>
                    <w:rPr>
                      <w:b w:val="0"/>
                      <w:bCs w:val="0"/>
                      <w:u w:val="none"/>
                    </w:rPr>
                    <w:t>2（红外光谱法）</w:t>
                  </w:r>
                </w:p>
              </w:tc>
            </w:tr>
            <w:tr w14:paraId="0491B42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113" w:type="pct"/>
                  <w:tcBorders>
                    <w:tl2br w:val="nil"/>
                    <w:tr2bl w:val="nil"/>
                  </w:tcBorders>
                  <w:shd w:val="clear" w:color="auto" w:fill="auto"/>
                  <w:vAlign w:val="center"/>
                </w:tcPr>
                <w:p w14:paraId="0DFFC2B8">
                  <w:pPr>
                    <w:pStyle w:val="45"/>
                    <w:rPr>
                      <w:rFonts w:hint="default"/>
                      <w:b w:val="0"/>
                      <w:bCs w:val="0"/>
                      <w:u w:val="none"/>
                    </w:rPr>
                  </w:pPr>
                  <w:r>
                    <w:rPr>
                      <w:b w:val="0"/>
                      <w:bCs w:val="0"/>
                      <w:u w:val="none"/>
                    </w:rPr>
                    <w:t>铁含量/（mg/kg）≤</w:t>
                  </w:r>
                </w:p>
              </w:tc>
              <w:tc>
                <w:tcPr>
                  <w:tcW w:w="1886" w:type="pct"/>
                  <w:tcBorders>
                    <w:tl2br w:val="nil"/>
                    <w:tr2bl w:val="nil"/>
                  </w:tcBorders>
                  <w:shd w:val="clear" w:color="auto" w:fill="auto"/>
                  <w:vAlign w:val="center"/>
                </w:tcPr>
                <w:p w14:paraId="27DDD719">
                  <w:pPr>
                    <w:pStyle w:val="45"/>
                    <w:rPr>
                      <w:rFonts w:hint="default"/>
                      <w:b w:val="0"/>
                      <w:bCs w:val="0"/>
                      <w:u w:val="none"/>
                    </w:rPr>
                  </w:pPr>
                  <w:r>
                    <w:rPr>
                      <w:b w:val="0"/>
                      <w:bCs w:val="0"/>
                      <w:u w:val="none"/>
                    </w:rPr>
                    <w:t>1</w:t>
                  </w:r>
                </w:p>
              </w:tc>
            </w:tr>
            <w:tr w14:paraId="21F74AD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00" w:type="pct"/>
                  <w:gridSpan w:val="2"/>
                  <w:tcBorders>
                    <w:tl2br w:val="nil"/>
                    <w:tr2bl w:val="nil"/>
                  </w:tcBorders>
                  <w:shd w:val="clear" w:color="auto" w:fill="auto"/>
                  <w:vAlign w:val="center"/>
                </w:tcPr>
                <w:p w14:paraId="64B8D604">
                  <w:pPr>
                    <w:pStyle w:val="45"/>
                    <w:jc w:val="both"/>
                    <w:rPr>
                      <w:rFonts w:hint="default"/>
                      <w:b w:val="0"/>
                      <w:bCs w:val="0"/>
                      <w:u w:val="none"/>
                    </w:rPr>
                  </w:pPr>
                  <w:r>
                    <w:rPr>
                      <w:b w:val="0"/>
                      <w:bCs w:val="0"/>
                      <w:u w:val="none"/>
                    </w:rPr>
                    <w:t>*液氨原料中不含其它挥发性有机物</w:t>
                  </w:r>
                </w:p>
              </w:tc>
            </w:tr>
          </w:tbl>
          <w:p w14:paraId="26FF0FD2">
            <w:pPr>
              <w:pStyle w:val="4"/>
              <w:numPr>
                <w:ilvl w:val="1"/>
                <w:numId w:val="3"/>
              </w:numPr>
              <w:tabs>
                <w:tab w:val="left" w:pos="0"/>
              </w:tabs>
              <w:rPr>
                <w:b w:val="0"/>
                <w:bCs w:val="0"/>
                <w:u w:val="none"/>
              </w:rPr>
            </w:pPr>
            <w:r>
              <w:rPr>
                <w:b w:val="0"/>
                <w:bCs w:val="0"/>
                <w:u w:val="none"/>
              </w:rPr>
              <w:t>主要设备</w:t>
            </w:r>
          </w:p>
          <w:p w14:paraId="220EAC7B">
            <w:pPr>
              <w:pStyle w:val="5"/>
              <w:rPr>
                <w:rFonts w:hint="default"/>
                <w:b w:val="0"/>
                <w:bCs w:val="0"/>
                <w:u w:val="none"/>
              </w:rPr>
            </w:pPr>
            <w:r>
              <w:rPr>
                <w:rFonts w:hint="default"/>
                <w:b w:val="0"/>
                <w:bCs w:val="0"/>
                <w:u w:val="none"/>
              </w:rPr>
              <w:t>本项目主要生产设备见</w:t>
            </w:r>
            <w:r>
              <w:rPr>
                <w:b w:val="0"/>
                <w:bCs w:val="0"/>
                <w:u w:val="none"/>
              </w:rPr>
              <w:t>下表。</w:t>
            </w:r>
          </w:p>
          <w:p w14:paraId="27FB9F36">
            <w:pPr>
              <w:pStyle w:val="44"/>
              <w:numPr>
                <w:ilvl w:val="0"/>
                <w:numId w:val="2"/>
              </w:numPr>
              <w:rPr>
                <w:rFonts w:hint="default"/>
                <w:b w:val="0"/>
                <w:bCs w:val="0"/>
                <w:u w:val="none"/>
              </w:rPr>
            </w:pPr>
            <w:r>
              <w:rPr>
                <w:rFonts w:hint="default"/>
                <w:b w:val="0"/>
                <w:bCs w:val="0"/>
                <w:u w:val="none"/>
              </w:rPr>
              <w:t xml:space="preserve"> 生产线设施一览表 </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513"/>
              <w:gridCol w:w="1513"/>
              <w:gridCol w:w="2569"/>
              <w:gridCol w:w="982"/>
              <w:gridCol w:w="989"/>
            </w:tblGrid>
            <w:tr w14:paraId="19A29C9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7B179AC1">
                  <w:pPr>
                    <w:pStyle w:val="45"/>
                    <w:rPr>
                      <w:rFonts w:hint="default"/>
                      <w:b w:val="0"/>
                      <w:bCs w:val="0"/>
                      <w:u w:val="none"/>
                    </w:rPr>
                  </w:pPr>
                  <w:r>
                    <w:rPr>
                      <w:b w:val="0"/>
                      <w:bCs w:val="0"/>
                      <w:u w:val="none"/>
                    </w:rPr>
                    <w:t>序号</w:t>
                  </w:r>
                </w:p>
              </w:tc>
              <w:tc>
                <w:tcPr>
                  <w:tcW w:w="1513" w:type="dxa"/>
                  <w:tcBorders>
                    <w:tl2br w:val="nil"/>
                    <w:tr2bl w:val="nil"/>
                  </w:tcBorders>
                  <w:shd w:val="clear" w:color="auto" w:fill="auto"/>
                  <w:vAlign w:val="center"/>
                </w:tcPr>
                <w:p w14:paraId="5398CA89">
                  <w:pPr>
                    <w:pStyle w:val="45"/>
                    <w:rPr>
                      <w:rFonts w:hint="default"/>
                      <w:b w:val="0"/>
                      <w:bCs w:val="0"/>
                      <w:u w:val="none"/>
                    </w:rPr>
                  </w:pPr>
                  <w:r>
                    <w:rPr>
                      <w:b w:val="0"/>
                      <w:bCs w:val="0"/>
                      <w:u w:val="none"/>
                    </w:rPr>
                    <w:t>设备名称</w:t>
                  </w:r>
                </w:p>
              </w:tc>
              <w:tc>
                <w:tcPr>
                  <w:tcW w:w="2569" w:type="dxa"/>
                  <w:tcBorders>
                    <w:tl2br w:val="nil"/>
                    <w:tr2bl w:val="nil"/>
                  </w:tcBorders>
                  <w:shd w:val="clear" w:color="auto" w:fill="auto"/>
                  <w:vAlign w:val="center"/>
                </w:tcPr>
                <w:p w14:paraId="279EBD51">
                  <w:pPr>
                    <w:pStyle w:val="45"/>
                    <w:rPr>
                      <w:rFonts w:hint="default"/>
                      <w:b w:val="0"/>
                      <w:bCs w:val="0"/>
                      <w:u w:val="none"/>
                    </w:rPr>
                  </w:pPr>
                  <w:r>
                    <w:rPr>
                      <w:b w:val="0"/>
                      <w:bCs w:val="0"/>
                      <w:u w:val="none"/>
                    </w:rPr>
                    <w:t>规格及型号</w:t>
                  </w:r>
                </w:p>
              </w:tc>
              <w:tc>
                <w:tcPr>
                  <w:tcW w:w="982" w:type="dxa"/>
                  <w:tcBorders>
                    <w:tl2br w:val="nil"/>
                    <w:tr2bl w:val="nil"/>
                  </w:tcBorders>
                  <w:shd w:val="clear" w:color="auto" w:fill="auto"/>
                  <w:vAlign w:val="center"/>
                </w:tcPr>
                <w:p w14:paraId="0FD19436">
                  <w:pPr>
                    <w:pStyle w:val="45"/>
                    <w:rPr>
                      <w:rFonts w:hint="default"/>
                      <w:b w:val="0"/>
                      <w:bCs w:val="0"/>
                      <w:u w:val="none"/>
                    </w:rPr>
                  </w:pPr>
                  <w:r>
                    <w:rPr>
                      <w:b w:val="0"/>
                      <w:bCs w:val="0"/>
                      <w:u w:val="none"/>
                    </w:rPr>
                    <w:t>单位</w:t>
                  </w:r>
                </w:p>
              </w:tc>
              <w:tc>
                <w:tcPr>
                  <w:tcW w:w="989" w:type="dxa"/>
                  <w:tcBorders>
                    <w:tl2br w:val="nil"/>
                    <w:tr2bl w:val="nil"/>
                  </w:tcBorders>
                  <w:shd w:val="clear" w:color="auto" w:fill="auto"/>
                  <w:vAlign w:val="center"/>
                </w:tcPr>
                <w:p w14:paraId="762F8F8A">
                  <w:pPr>
                    <w:pStyle w:val="45"/>
                    <w:rPr>
                      <w:rFonts w:hint="default"/>
                      <w:b w:val="0"/>
                      <w:bCs w:val="0"/>
                      <w:u w:val="none"/>
                    </w:rPr>
                  </w:pPr>
                  <w:r>
                    <w:rPr>
                      <w:b w:val="0"/>
                      <w:bCs w:val="0"/>
                      <w:u w:val="none"/>
                    </w:rPr>
                    <w:t>数量</w:t>
                  </w:r>
                </w:p>
              </w:tc>
            </w:tr>
            <w:tr w14:paraId="4DA3C9C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vMerge w:val="restart"/>
                  <w:tcBorders>
                    <w:tl2br w:val="nil"/>
                    <w:tr2bl w:val="nil"/>
                  </w:tcBorders>
                  <w:shd w:val="clear" w:color="auto" w:fill="auto"/>
                  <w:vAlign w:val="center"/>
                </w:tcPr>
                <w:p w14:paraId="0E5F1A11">
                  <w:pPr>
                    <w:pStyle w:val="45"/>
                    <w:rPr>
                      <w:rFonts w:hint="default"/>
                      <w:b w:val="0"/>
                      <w:bCs w:val="0"/>
                      <w:u w:val="none"/>
                    </w:rPr>
                  </w:pPr>
                  <w:r>
                    <w:rPr>
                      <w:rFonts w:hint="default"/>
                      <w:b w:val="0"/>
                      <w:bCs w:val="0"/>
                      <w:u w:val="none"/>
                    </w:rPr>
                    <w:t>1</w:t>
                  </w:r>
                </w:p>
              </w:tc>
              <w:tc>
                <w:tcPr>
                  <w:tcW w:w="1513" w:type="dxa"/>
                  <w:vMerge w:val="restart"/>
                  <w:tcBorders>
                    <w:tl2br w:val="nil"/>
                    <w:tr2bl w:val="nil"/>
                  </w:tcBorders>
                  <w:shd w:val="clear" w:color="auto" w:fill="auto"/>
                  <w:vAlign w:val="center"/>
                </w:tcPr>
                <w:p w14:paraId="7177A848">
                  <w:pPr>
                    <w:pStyle w:val="45"/>
                    <w:rPr>
                      <w:rFonts w:hint="default"/>
                      <w:b w:val="0"/>
                      <w:bCs w:val="0"/>
                      <w:u w:val="none"/>
                    </w:rPr>
                  </w:pPr>
                  <w:r>
                    <w:rPr>
                      <w:b w:val="0"/>
                      <w:bCs w:val="0"/>
                      <w:u w:val="none"/>
                    </w:rPr>
                    <w:t>原料气压缩机</w:t>
                  </w:r>
                </w:p>
              </w:tc>
              <w:tc>
                <w:tcPr>
                  <w:tcW w:w="2569" w:type="dxa"/>
                  <w:tcBorders>
                    <w:tl2br w:val="nil"/>
                    <w:tr2bl w:val="nil"/>
                  </w:tcBorders>
                  <w:shd w:val="clear" w:color="auto" w:fill="auto"/>
                  <w:vAlign w:val="center"/>
                </w:tcPr>
                <w:p w14:paraId="167FD582">
                  <w:pPr>
                    <w:pStyle w:val="45"/>
                    <w:rPr>
                      <w:rFonts w:hint="default"/>
                      <w:b w:val="0"/>
                      <w:bCs w:val="0"/>
                      <w:u w:val="none"/>
                    </w:rPr>
                  </w:pPr>
                  <w:r>
                    <w:rPr>
                      <w:b w:val="0"/>
                      <w:bCs w:val="0"/>
                      <w:u w:val="none"/>
                    </w:rPr>
                    <w:t>SR40L25MH900-560Z</w:t>
                  </w:r>
                </w:p>
              </w:tc>
              <w:tc>
                <w:tcPr>
                  <w:tcW w:w="982" w:type="dxa"/>
                  <w:tcBorders>
                    <w:tl2br w:val="nil"/>
                    <w:tr2bl w:val="nil"/>
                  </w:tcBorders>
                  <w:shd w:val="clear" w:color="auto" w:fill="auto"/>
                  <w:vAlign w:val="center"/>
                </w:tcPr>
                <w:p w14:paraId="412E9FBD">
                  <w:pPr>
                    <w:pStyle w:val="45"/>
                    <w:rPr>
                      <w:rFonts w:hint="default"/>
                      <w:b w:val="0"/>
                      <w:bCs w:val="0"/>
                      <w:u w:val="none"/>
                    </w:rPr>
                  </w:pPr>
                  <w:r>
                    <w:rPr>
                      <w:b w:val="0"/>
                      <w:bCs w:val="0"/>
                      <w:u w:val="none"/>
                    </w:rPr>
                    <w:t>台</w:t>
                  </w:r>
                </w:p>
              </w:tc>
              <w:tc>
                <w:tcPr>
                  <w:tcW w:w="989" w:type="dxa"/>
                  <w:tcBorders>
                    <w:tl2br w:val="nil"/>
                    <w:tr2bl w:val="nil"/>
                  </w:tcBorders>
                  <w:shd w:val="clear" w:color="auto" w:fill="auto"/>
                  <w:vAlign w:val="center"/>
                </w:tcPr>
                <w:p w14:paraId="34B2E263">
                  <w:pPr>
                    <w:pStyle w:val="45"/>
                    <w:rPr>
                      <w:rFonts w:hint="eastAsia" w:eastAsia="宋体"/>
                      <w:b w:val="0"/>
                      <w:bCs w:val="0"/>
                      <w:u w:val="none"/>
                      <w:lang w:eastAsia="zh-CN"/>
                    </w:rPr>
                  </w:pPr>
                  <w:r>
                    <w:rPr>
                      <w:rFonts w:hint="eastAsia"/>
                      <w:b w:val="0"/>
                      <w:bCs w:val="0"/>
                      <w:u w:val="none"/>
                      <w:lang w:val="en-US" w:eastAsia="zh-CN"/>
                    </w:rPr>
                    <w:t>1</w:t>
                  </w:r>
                </w:p>
              </w:tc>
            </w:tr>
            <w:tr w14:paraId="26CCC56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vMerge w:val="continue"/>
                  <w:tcBorders>
                    <w:tl2br w:val="nil"/>
                    <w:tr2bl w:val="nil"/>
                  </w:tcBorders>
                  <w:shd w:val="clear" w:color="auto" w:fill="auto"/>
                  <w:vAlign w:val="center"/>
                </w:tcPr>
                <w:p w14:paraId="22255B9C">
                  <w:pPr>
                    <w:pStyle w:val="45"/>
                    <w:rPr>
                      <w:rFonts w:hint="default"/>
                      <w:b w:val="0"/>
                      <w:bCs w:val="0"/>
                      <w:u w:val="none"/>
                    </w:rPr>
                  </w:pPr>
                </w:p>
              </w:tc>
              <w:tc>
                <w:tcPr>
                  <w:tcW w:w="1513" w:type="dxa"/>
                  <w:vMerge w:val="continue"/>
                  <w:tcBorders>
                    <w:tl2br w:val="nil"/>
                    <w:tr2bl w:val="nil"/>
                  </w:tcBorders>
                  <w:shd w:val="clear" w:color="auto" w:fill="auto"/>
                  <w:vAlign w:val="center"/>
                </w:tcPr>
                <w:p w14:paraId="082BFBD7">
                  <w:pPr>
                    <w:pStyle w:val="45"/>
                    <w:rPr>
                      <w:b w:val="0"/>
                      <w:bCs w:val="0"/>
                      <w:u w:val="none"/>
                    </w:rPr>
                  </w:pPr>
                </w:p>
              </w:tc>
              <w:tc>
                <w:tcPr>
                  <w:tcW w:w="2569" w:type="dxa"/>
                  <w:tcBorders>
                    <w:tl2br w:val="nil"/>
                    <w:tr2bl w:val="nil"/>
                  </w:tcBorders>
                  <w:shd w:val="clear" w:color="auto" w:fill="auto"/>
                  <w:vAlign w:val="center"/>
                </w:tcPr>
                <w:p w14:paraId="2A0BBE47">
                  <w:pPr>
                    <w:pStyle w:val="45"/>
                    <w:rPr>
                      <w:b w:val="0"/>
                      <w:bCs w:val="0"/>
                      <w:u w:val="none"/>
                    </w:rPr>
                  </w:pPr>
                  <w:r>
                    <w:rPr>
                      <w:rFonts w:hint="eastAsia"/>
                      <w:b w:val="0"/>
                      <w:bCs w:val="0"/>
                      <w:u w:val="none"/>
                    </w:rPr>
                    <w:t>4M16-75/25</w:t>
                  </w:r>
                </w:p>
              </w:tc>
              <w:tc>
                <w:tcPr>
                  <w:tcW w:w="982" w:type="dxa"/>
                  <w:tcBorders>
                    <w:tl2br w:val="nil"/>
                    <w:tr2bl w:val="nil"/>
                  </w:tcBorders>
                  <w:shd w:val="clear" w:color="auto" w:fill="auto"/>
                  <w:vAlign w:val="center"/>
                </w:tcPr>
                <w:p w14:paraId="2B986E82">
                  <w:pPr>
                    <w:pStyle w:val="45"/>
                    <w:rPr>
                      <w:b w:val="0"/>
                      <w:bCs w:val="0"/>
                      <w:u w:val="none"/>
                    </w:rPr>
                  </w:pPr>
                  <w:r>
                    <w:rPr>
                      <w:b w:val="0"/>
                      <w:bCs w:val="0"/>
                      <w:u w:val="none"/>
                    </w:rPr>
                    <w:t>台</w:t>
                  </w:r>
                </w:p>
              </w:tc>
              <w:tc>
                <w:tcPr>
                  <w:tcW w:w="989" w:type="dxa"/>
                  <w:tcBorders>
                    <w:tl2br w:val="nil"/>
                    <w:tr2bl w:val="nil"/>
                  </w:tcBorders>
                  <w:shd w:val="clear" w:color="auto" w:fill="auto"/>
                  <w:vAlign w:val="center"/>
                </w:tcPr>
                <w:p w14:paraId="300AC613">
                  <w:pPr>
                    <w:pStyle w:val="45"/>
                    <w:rPr>
                      <w:rFonts w:hint="eastAsia" w:eastAsia="宋体"/>
                      <w:b w:val="0"/>
                      <w:bCs w:val="0"/>
                      <w:u w:val="none"/>
                      <w:lang w:val="en-US" w:eastAsia="zh-CN"/>
                    </w:rPr>
                  </w:pPr>
                  <w:r>
                    <w:rPr>
                      <w:rFonts w:hint="eastAsia"/>
                      <w:b w:val="0"/>
                      <w:bCs w:val="0"/>
                      <w:u w:val="none"/>
                      <w:lang w:val="en-US" w:eastAsia="zh-CN"/>
                    </w:rPr>
                    <w:t>2</w:t>
                  </w:r>
                </w:p>
              </w:tc>
            </w:tr>
            <w:tr w14:paraId="54CF1D5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1F81B583">
                  <w:pPr>
                    <w:pStyle w:val="45"/>
                    <w:rPr>
                      <w:rFonts w:hint="default"/>
                      <w:b w:val="0"/>
                      <w:bCs w:val="0"/>
                      <w:u w:val="none"/>
                    </w:rPr>
                  </w:pPr>
                  <w:r>
                    <w:rPr>
                      <w:rFonts w:hint="default"/>
                      <w:b w:val="0"/>
                      <w:bCs w:val="0"/>
                      <w:u w:val="none"/>
                    </w:rPr>
                    <w:t>2</w:t>
                  </w:r>
                </w:p>
              </w:tc>
              <w:tc>
                <w:tcPr>
                  <w:tcW w:w="1513" w:type="dxa"/>
                  <w:tcBorders>
                    <w:tl2br w:val="nil"/>
                    <w:tr2bl w:val="nil"/>
                  </w:tcBorders>
                  <w:shd w:val="clear" w:color="auto" w:fill="auto"/>
                  <w:vAlign w:val="center"/>
                </w:tcPr>
                <w:p w14:paraId="4E1D159E">
                  <w:pPr>
                    <w:pStyle w:val="45"/>
                    <w:rPr>
                      <w:rFonts w:hint="default"/>
                      <w:b w:val="0"/>
                      <w:bCs w:val="0"/>
                      <w:u w:val="none"/>
                    </w:rPr>
                  </w:pPr>
                  <w:r>
                    <w:rPr>
                      <w:rFonts w:hint="eastAsia"/>
                      <w:b w:val="0"/>
                      <w:bCs w:val="0"/>
                      <w:u w:val="none"/>
                      <w:lang w:eastAsia="zh-CN"/>
                    </w:rPr>
                    <w:t>粗</w:t>
                  </w:r>
                  <w:r>
                    <w:rPr>
                      <w:b w:val="0"/>
                      <w:bCs w:val="0"/>
                      <w:u w:val="none"/>
                    </w:rPr>
                    <w:t>脱硫塔</w:t>
                  </w:r>
                </w:p>
              </w:tc>
              <w:tc>
                <w:tcPr>
                  <w:tcW w:w="2569" w:type="dxa"/>
                  <w:tcBorders>
                    <w:tl2br w:val="nil"/>
                    <w:tr2bl w:val="nil"/>
                  </w:tcBorders>
                  <w:shd w:val="clear" w:color="auto" w:fill="auto"/>
                  <w:vAlign w:val="center"/>
                </w:tcPr>
                <w:p w14:paraId="4CD31CA0">
                  <w:pPr>
                    <w:pStyle w:val="45"/>
                    <w:rPr>
                      <w:rFonts w:hint="default"/>
                      <w:b w:val="0"/>
                      <w:bCs w:val="0"/>
                      <w:u w:val="none"/>
                    </w:rPr>
                  </w:pPr>
                  <w:r>
                    <w:rPr>
                      <w:b w:val="0"/>
                      <w:bCs w:val="0"/>
                      <w:u w:val="none"/>
                    </w:rPr>
                    <w:t>Φ1600×6000</w:t>
                  </w:r>
                </w:p>
              </w:tc>
              <w:tc>
                <w:tcPr>
                  <w:tcW w:w="982" w:type="dxa"/>
                  <w:tcBorders>
                    <w:tl2br w:val="nil"/>
                    <w:tr2bl w:val="nil"/>
                  </w:tcBorders>
                  <w:shd w:val="clear" w:color="auto" w:fill="auto"/>
                  <w:vAlign w:val="center"/>
                </w:tcPr>
                <w:p w14:paraId="59FDF1E0">
                  <w:pPr>
                    <w:pStyle w:val="45"/>
                    <w:rPr>
                      <w:rFonts w:hint="default"/>
                      <w:b w:val="0"/>
                      <w:bCs w:val="0"/>
                      <w:u w:val="none"/>
                    </w:rPr>
                  </w:pPr>
                  <w:r>
                    <w:rPr>
                      <w:b w:val="0"/>
                      <w:bCs w:val="0"/>
                      <w:u w:val="none"/>
                    </w:rPr>
                    <w:t>台</w:t>
                  </w:r>
                </w:p>
              </w:tc>
              <w:tc>
                <w:tcPr>
                  <w:tcW w:w="989" w:type="dxa"/>
                  <w:tcBorders>
                    <w:tl2br w:val="nil"/>
                    <w:tr2bl w:val="nil"/>
                  </w:tcBorders>
                  <w:shd w:val="clear" w:color="auto" w:fill="auto"/>
                  <w:vAlign w:val="center"/>
                </w:tcPr>
                <w:p w14:paraId="7E3510B6">
                  <w:pPr>
                    <w:pStyle w:val="45"/>
                    <w:rPr>
                      <w:rFonts w:hint="eastAsia" w:eastAsia="宋体"/>
                      <w:b w:val="0"/>
                      <w:bCs w:val="0"/>
                      <w:u w:val="none"/>
                      <w:lang w:eastAsia="zh-CN"/>
                    </w:rPr>
                  </w:pPr>
                  <w:r>
                    <w:rPr>
                      <w:rFonts w:hint="eastAsia"/>
                      <w:b w:val="0"/>
                      <w:bCs w:val="0"/>
                      <w:u w:val="none"/>
                      <w:lang w:val="en-US" w:eastAsia="zh-CN"/>
                    </w:rPr>
                    <w:t>2</w:t>
                  </w:r>
                </w:p>
              </w:tc>
            </w:tr>
            <w:tr w14:paraId="3A906A8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2CA091FD">
                  <w:pPr>
                    <w:pStyle w:val="45"/>
                    <w:rPr>
                      <w:rFonts w:hint="default"/>
                      <w:b w:val="0"/>
                      <w:bCs w:val="0"/>
                      <w:u w:val="none"/>
                    </w:rPr>
                  </w:pPr>
                </w:p>
              </w:tc>
              <w:tc>
                <w:tcPr>
                  <w:tcW w:w="1513" w:type="dxa"/>
                  <w:tcBorders>
                    <w:tl2br w:val="nil"/>
                    <w:tr2bl w:val="nil"/>
                  </w:tcBorders>
                  <w:shd w:val="clear" w:color="auto" w:fill="auto"/>
                  <w:vAlign w:val="center"/>
                </w:tcPr>
                <w:p w14:paraId="2A029C1D">
                  <w:pPr>
                    <w:pStyle w:val="45"/>
                    <w:rPr>
                      <w:rFonts w:hint="eastAsia"/>
                      <w:b w:val="0"/>
                      <w:bCs w:val="0"/>
                      <w:u w:val="none"/>
                      <w:lang w:eastAsia="zh-CN"/>
                    </w:rPr>
                  </w:pPr>
                  <w:r>
                    <w:rPr>
                      <w:rFonts w:hint="eastAsia"/>
                      <w:b w:val="0"/>
                      <w:bCs w:val="0"/>
                      <w:u w:val="none"/>
                      <w:lang w:eastAsia="zh-CN"/>
                    </w:rPr>
                    <w:t>精脱硫塔</w:t>
                  </w:r>
                </w:p>
              </w:tc>
              <w:tc>
                <w:tcPr>
                  <w:tcW w:w="2569" w:type="dxa"/>
                  <w:tcBorders>
                    <w:tl2br w:val="nil"/>
                    <w:tr2bl w:val="nil"/>
                  </w:tcBorders>
                  <w:shd w:val="clear" w:color="auto" w:fill="auto"/>
                  <w:vAlign w:val="center"/>
                </w:tcPr>
                <w:p w14:paraId="69C87DF0">
                  <w:pPr>
                    <w:pStyle w:val="45"/>
                    <w:rPr>
                      <w:b w:val="0"/>
                      <w:bCs w:val="0"/>
                      <w:u w:val="none"/>
                    </w:rPr>
                  </w:pPr>
                  <w:r>
                    <w:rPr>
                      <w:b w:val="0"/>
                      <w:bCs w:val="0"/>
                      <w:u w:val="none"/>
                    </w:rPr>
                    <w:t>Φ</w:t>
                  </w:r>
                  <w:r>
                    <w:rPr>
                      <w:rFonts w:hint="eastAsia"/>
                      <w:b w:val="0"/>
                      <w:bCs w:val="0"/>
                      <w:u w:val="none"/>
                      <w:lang w:val="en-US" w:eastAsia="zh-CN"/>
                    </w:rPr>
                    <w:t>20</w:t>
                  </w:r>
                  <w:r>
                    <w:rPr>
                      <w:b w:val="0"/>
                      <w:bCs w:val="0"/>
                      <w:u w:val="none"/>
                    </w:rPr>
                    <w:t>00×</w:t>
                  </w:r>
                  <w:r>
                    <w:rPr>
                      <w:rFonts w:hint="eastAsia"/>
                      <w:b w:val="0"/>
                      <w:bCs w:val="0"/>
                      <w:u w:val="none"/>
                      <w:lang w:val="en-US" w:eastAsia="zh-CN"/>
                    </w:rPr>
                    <w:t>92</w:t>
                  </w:r>
                  <w:r>
                    <w:rPr>
                      <w:b w:val="0"/>
                      <w:bCs w:val="0"/>
                      <w:u w:val="none"/>
                    </w:rPr>
                    <w:t>00</w:t>
                  </w:r>
                </w:p>
              </w:tc>
              <w:tc>
                <w:tcPr>
                  <w:tcW w:w="982" w:type="dxa"/>
                  <w:tcBorders>
                    <w:tl2br w:val="nil"/>
                    <w:tr2bl w:val="nil"/>
                  </w:tcBorders>
                  <w:shd w:val="clear" w:color="auto" w:fill="auto"/>
                  <w:vAlign w:val="center"/>
                </w:tcPr>
                <w:p w14:paraId="4C56F283">
                  <w:pPr>
                    <w:pStyle w:val="45"/>
                    <w:rPr>
                      <w:b w:val="0"/>
                      <w:bCs w:val="0"/>
                      <w:u w:val="none"/>
                    </w:rPr>
                  </w:pPr>
                  <w:r>
                    <w:rPr>
                      <w:b w:val="0"/>
                      <w:bCs w:val="0"/>
                      <w:u w:val="none"/>
                    </w:rPr>
                    <w:t>台</w:t>
                  </w:r>
                </w:p>
              </w:tc>
              <w:tc>
                <w:tcPr>
                  <w:tcW w:w="989" w:type="dxa"/>
                  <w:tcBorders>
                    <w:tl2br w:val="nil"/>
                    <w:tr2bl w:val="nil"/>
                  </w:tcBorders>
                  <w:shd w:val="clear" w:color="auto" w:fill="auto"/>
                  <w:vAlign w:val="center"/>
                </w:tcPr>
                <w:p w14:paraId="67DF3995">
                  <w:pPr>
                    <w:pStyle w:val="45"/>
                    <w:rPr>
                      <w:rFonts w:hint="default"/>
                      <w:b w:val="0"/>
                      <w:bCs w:val="0"/>
                      <w:u w:val="none"/>
                      <w:lang w:val="en-US" w:eastAsia="zh-CN"/>
                    </w:rPr>
                  </w:pPr>
                  <w:r>
                    <w:rPr>
                      <w:rFonts w:hint="eastAsia"/>
                      <w:b w:val="0"/>
                      <w:bCs w:val="0"/>
                      <w:u w:val="none"/>
                      <w:lang w:val="en-US" w:eastAsia="zh-CN"/>
                    </w:rPr>
                    <w:t>1</w:t>
                  </w:r>
                </w:p>
              </w:tc>
            </w:tr>
            <w:tr w14:paraId="20CDA7A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28A64D62">
                  <w:pPr>
                    <w:pStyle w:val="45"/>
                    <w:rPr>
                      <w:rFonts w:hint="default"/>
                      <w:b w:val="0"/>
                      <w:bCs w:val="0"/>
                      <w:u w:val="none"/>
                    </w:rPr>
                  </w:pPr>
                  <w:r>
                    <w:rPr>
                      <w:rFonts w:hint="default"/>
                      <w:b w:val="0"/>
                      <w:bCs w:val="0"/>
                      <w:u w:val="none"/>
                    </w:rPr>
                    <w:t>3</w:t>
                  </w:r>
                </w:p>
              </w:tc>
              <w:tc>
                <w:tcPr>
                  <w:tcW w:w="1513" w:type="dxa"/>
                  <w:tcBorders>
                    <w:tl2br w:val="nil"/>
                    <w:tr2bl w:val="nil"/>
                  </w:tcBorders>
                  <w:shd w:val="clear" w:color="auto" w:fill="auto"/>
                  <w:vAlign w:val="center"/>
                </w:tcPr>
                <w:p w14:paraId="0EF35EDA">
                  <w:pPr>
                    <w:pStyle w:val="45"/>
                    <w:rPr>
                      <w:rFonts w:hint="default"/>
                      <w:b w:val="0"/>
                      <w:bCs w:val="0"/>
                      <w:u w:val="none"/>
                    </w:rPr>
                  </w:pPr>
                  <w:r>
                    <w:rPr>
                      <w:rFonts w:hint="eastAsia"/>
                      <w:b w:val="0"/>
                      <w:bCs w:val="0"/>
                      <w:u w:val="none"/>
                      <w:lang w:eastAsia="zh-CN"/>
                    </w:rPr>
                    <w:t>脱重塔</w:t>
                  </w:r>
                </w:p>
              </w:tc>
              <w:tc>
                <w:tcPr>
                  <w:tcW w:w="2569" w:type="dxa"/>
                  <w:tcBorders>
                    <w:tl2br w:val="nil"/>
                    <w:tr2bl w:val="nil"/>
                  </w:tcBorders>
                  <w:shd w:val="clear" w:color="auto" w:fill="auto"/>
                  <w:vAlign w:val="center"/>
                </w:tcPr>
                <w:p w14:paraId="298A9827">
                  <w:pPr>
                    <w:pStyle w:val="45"/>
                    <w:rPr>
                      <w:rFonts w:hint="default"/>
                      <w:b w:val="0"/>
                      <w:bCs w:val="0"/>
                      <w:u w:val="none"/>
                      <w:lang w:val="en-US"/>
                    </w:rPr>
                  </w:pPr>
                  <w:r>
                    <w:rPr>
                      <w:b w:val="0"/>
                      <w:bCs w:val="0"/>
                      <w:u w:val="none"/>
                    </w:rPr>
                    <w:t>Φ</w:t>
                  </w:r>
                  <w:r>
                    <w:rPr>
                      <w:rFonts w:hint="eastAsia"/>
                      <w:b w:val="0"/>
                      <w:bCs w:val="0"/>
                      <w:u w:val="none"/>
                      <w:lang w:val="en-US" w:eastAsia="zh-CN"/>
                    </w:rPr>
                    <w:t>800</w:t>
                  </w:r>
                  <w:r>
                    <w:rPr>
                      <w:b w:val="0"/>
                      <w:bCs w:val="0"/>
                      <w:u w:val="none"/>
                    </w:rPr>
                    <w:t>×</w:t>
                  </w:r>
                  <w:r>
                    <w:rPr>
                      <w:rFonts w:hint="eastAsia"/>
                      <w:b w:val="0"/>
                      <w:bCs w:val="0"/>
                      <w:u w:val="none"/>
                      <w:lang w:val="en-US" w:eastAsia="zh-CN"/>
                    </w:rPr>
                    <w:t>10</w:t>
                  </w:r>
                  <w:r>
                    <w:rPr>
                      <w:b w:val="0"/>
                      <w:bCs w:val="0"/>
                      <w:u w:val="none"/>
                    </w:rPr>
                    <w:t>00×</w:t>
                  </w:r>
                  <w:r>
                    <w:rPr>
                      <w:rFonts w:hint="eastAsia"/>
                      <w:b w:val="0"/>
                      <w:bCs w:val="0"/>
                      <w:u w:val="none"/>
                      <w:lang w:val="en-US" w:eastAsia="zh-CN"/>
                    </w:rPr>
                    <w:t>11555</w:t>
                  </w:r>
                  <w:r>
                    <w:rPr>
                      <w:b w:val="0"/>
                      <w:bCs w:val="0"/>
                      <w:u w:val="none"/>
                    </w:rPr>
                    <w:t>×</w:t>
                  </w:r>
                  <w:r>
                    <w:rPr>
                      <w:rFonts w:hint="eastAsia"/>
                      <w:b w:val="0"/>
                      <w:bCs w:val="0"/>
                      <w:u w:val="none"/>
                      <w:lang w:val="en-US" w:eastAsia="zh-CN"/>
                    </w:rPr>
                    <w:t>12/14</w:t>
                  </w:r>
                </w:p>
              </w:tc>
              <w:tc>
                <w:tcPr>
                  <w:tcW w:w="982" w:type="dxa"/>
                  <w:tcBorders>
                    <w:tl2br w:val="nil"/>
                    <w:tr2bl w:val="nil"/>
                  </w:tcBorders>
                  <w:shd w:val="clear" w:color="auto" w:fill="auto"/>
                  <w:vAlign w:val="center"/>
                </w:tcPr>
                <w:p w14:paraId="44FBEA88">
                  <w:pPr>
                    <w:pStyle w:val="45"/>
                    <w:rPr>
                      <w:rFonts w:hint="default"/>
                      <w:b w:val="0"/>
                      <w:bCs w:val="0"/>
                      <w:u w:val="none"/>
                    </w:rPr>
                  </w:pPr>
                  <w:r>
                    <w:rPr>
                      <w:b w:val="0"/>
                      <w:bCs w:val="0"/>
                      <w:u w:val="none"/>
                    </w:rPr>
                    <w:t>台</w:t>
                  </w:r>
                </w:p>
              </w:tc>
              <w:tc>
                <w:tcPr>
                  <w:tcW w:w="989" w:type="dxa"/>
                  <w:tcBorders>
                    <w:tl2br w:val="nil"/>
                    <w:tr2bl w:val="nil"/>
                  </w:tcBorders>
                  <w:shd w:val="clear" w:color="auto" w:fill="auto"/>
                  <w:vAlign w:val="center"/>
                </w:tcPr>
                <w:p w14:paraId="0F613F7F">
                  <w:pPr>
                    <w:pStyle w:val="45"/>
                    <w:rPr>
                      <w:rFonts w:hint="default"/>
                      <w:b w:val="0"/>
                      <w:bCs w:val="0"/>
                      <w:u w:val="none"/>
                    </w:rPr>
                  </w:pPr>
                  <w:r>
                    <w:rPr>
                      <w:rFonts w:hint="default"/>
                      <w:b w:val="0"/>
                      <w:bCs w:val="0"/>
                      <w:u w:val="none"/>
                    </w:rPr>
                    <w:t>2</w:t>
                  </w:r>
                </w:p>
              </w:tc>
            </w:tr>
            <w:tr w14:paraId="0F6D522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0CA68F10">
                  <w:pPr>
                    <w:pStyle w:val="45"/>
                    <w:rPr>
                      <w:rFonts w:hint="default"/>
                      <w:b w:val="0"/>
                      <w:bCs w:val="0"/>
                      <w:u w:val="none"/>
                    </w:rPr>
                  </w:pPr>
                  <w:r>
                    <w:rPr>
                      <w:rFonts w:hint="default"/>
                      <w:b w:val="0"/>
                      <w:bCs w:val="0"/>
                      <w:u w:val="none"/>
                    </w:rPr>
                    <w:t>4</w:t>
                  </w:r>
                </w:p>
              </w:tc>
              <w:tc>
                <w:tcPr>
                  <w:tcW w:w="1513" w:type="dxa"/>
                  <w:tcBorders>
                    <w:tl2br w:val="nil"/>
                    <w:tr2bl w:val="nil"/>
                  </w:tcBorders>
                  <w:shd w:val="clear" w:color="auto" w:fill="auto"/>
                  <w:vAlign w:val="center"/>
                </w:tcPr>
                <w:p w14:paraId="6CCB0BE9">
                  <w:pPr>
                    <w:pStyle w:val="45"/>
                    <w:rPr>
                      <w:rFonts w:hint="default"/>
                      <w:b w:val="0"/>
                      <w:bCs w:val="0"/>
                      <w:color w:val="0000FF"/>
                      <w:u w:val="none"/>
                    </w:rPr>
                  </w:pPr>
                  <w:r>
                    <w:rPr>
                      <w:b w:val="0"/>
                      <w:bCs w:val="0"/>
                      <w:color w:val="0000FF"/>
                      <w:u w:val="none"/>
                    </w:rPr>
                    <w:t>一级冷凝器</w:t>
                  </w:r>
                </w:p>
              </w:tc>
              <w:tc>
                <w:tcPr>
                  <w:tcW w:w="2569" w:type="dxa"/>
                  <w:tcBorders>
                    <w:tl2br w:val="nil"/>
                    <w:tr2bl w:val="nil"/>
                  </w:tcBorders>
                  <w:shd w:val="clear" w:color="auto" w:fill="auto"/>
                  <w:vAlign w:val="center"/>
                </w:tcPr>
                <w:p w14:paraId="4494E534">
                  <w:pPr>
                    <w:pStyle w:val="45"/>
                    <w:rPr>
                      <w:rFonts w:hint="default"/>
                      <w:b w:val="0"/>
                      <w:bCs w:val="0"/>
                      <w:color w:val="0000FF"/>
                      <w:u w:val="none"/>
                    </w:rPr>
                  </w:pPr>
                  <w:r>
                    <w:rPr>
                      <w:rFonts w:hint="default"/>
                      <w:b w:val="0"/>
                      <w:bCs w:val="0"/>
                      <w:color w:val="0000FF"/>
                      <w:u w:val="none"/>
                    </w:rPr>
                    <w:t>630</w:t>
                  </w:r>
                  <w:r>
                    <w:rPr>
                      <w:b w:val="0"/>
                      <w:bCs w:val="0"/>
                      <w:color w:val="0000FF"/>
                      <w:u w:val="none"/>
                    </w:rPr>
                    <w:t>㎡</w:t>
                  </w:r>
                </w:p>
              </w:tc>
              <w:tc>
                <w:tcPr>
                  <w:tcW w:w="982" w:type="dxa"/>
                  <w:tcBorders>
                    <w:tl2br w:val="nil"/>
                    <w:tr2bl w:val="nil"/>
                  </w:tcBorders>
                  <w:shd w:val="clear" w:color="auto" w:fill="auto"/>
                  <w:vAlign w:val="center"/>
                </w:tcPr>
                <w:p w14:paraId="1F29C399">
                  <w:pPr>
                    <w:pStyle w:val="45"/>
                    <w:rPr>
                      <w:rFonts w:hint="default"/>
                      <w:b w:val="0"/>
                      <w:bCs w:val="0"/>
                      <w:color w:val="0000FF"/>
                      <w:u w:val="none"/>
                    </w:rPr>
                  </w:pPr>
                  <w:r>
                    <w:rPr>
                      <w:b w:val="0"/>
                      <w:bCs w:val="0"/>
                      <w:color w:val="0000FF"/>
                      <w:u w:val="none"/>
                    </w:rPr>
                    <w:t>台</w:t>
                  </w:r>
                </w:p>
              </w:tc>
              <w:tc>
                <w:tcPr>
                  <w:tcW w:w="989" w:type="dxa"/>
                  <w:tcBorders>
                    <w:tl2br w:val="nil"/>
                    <w:tr2bl w:val="nil"/>
                  </w:tcBorders>
                  <w:shd w:val="clear" w:color="auto" w:fill="auto"/>
                  <w:vAlign w:val="center"/>
                </w:tcPr>
                <w:p w14:paraId="204197E8">
                  <w:pPr>
                    <w:pStyle w:val="45"/>
                    <w:rPr>
                      <w:rFonts w:hint="eastAsia" w:eastAsia="宋体"/>
                      <w:b w:val="0"/>
                      <w:bCs w:val="0"/>
                      <w:color w:val="0000FF"/>
                      <w:u w:val="none"/>
                      <w:lang w:eastAsia="zh-CN"/>
                    </w:rPr>
                  </w:pPr>
                  <w:r>
                    <w:rPr>
                      <w:rFonts w:hint="eastAsia"/>
                      <w:b w:val="0"/>
                      <w:bCs w:val="0"/>
                      <w:color w:val="0000FF"/>
                      <w:u w:val="none"/>
                      <w:lang w:val="en-US" w:eastAsia="zh-CN"/>
                    </w:rPr>
                    <w:t>1</w:t>
                  </w:r>
                </w:p>
              </w:tc>
            </w:tr>
            <w:tr w14:paraId="422E0C2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6FF5AF2E">
                  <w:pPr>
                    <w:pStyle w:val="45"/>
                    <w:rPr>
                      <w:rFonts w:hint="default"/>
                      <w:b w:val="0"/>
                      <w:bCs w:val="0"/>
                      <w:color w:val="0000FF"/>
                      <w:u w:val="none"/>
                    </w:rPr>
                  </w:pPr>
                  <w:r>
                    <w:rPr>
                      <w:rFonts w:hint="default"/>
                      <w:b w:val="0"/>
                      <w:bCs w:val="0"/>
                      <w:color w:val="0000FF"/>
                      <w:u w:val="none"/>
                    </w:rPr>
                    <w:t>5</w:t>
                  </w:r>
                </w:p>
              </w:tc>
              <w:tc>
                <w:tcPr>
                  <w:tcW w:w="1513" w:type="dxa"/>
                  <w:tcBorders>
                    <w:tl2br w:val="nil"/>
                    <w:tr2bl w:val="nil"/>
                  </w:tcBorders>
                  <w:shd w:val="clear" w:color="auto" w:fill="auto"/>
                  <w:vAlign w:val="center"/>
                </w:tcPr>
                <w:p w14:paraId="3F4E7212">
                  <w:pPr>
                    <w:pStyle w:val="45"/>
                    <w:rPr>
                      <w:rFonts w:hint="default"/>
                      <w:b w:val="0"/>
                      <w:bCs w:val="0"/>
                      <w:color w:val="0000FF"/>
                      <w:u w:val="none"/>
                    </w:rPr>
                  </w:pPr>
                  <w:r>
                    <w:rPr>
                      <w:b w:val="0"/>
                      <w:bCs w:val="0"/>
                      <w:color w:val="0000FF"/>
                      <w:u w:val="none"/>
                    </w:rPr>
                    <w:t>一级气液分离器</w:t>
                  </w:r>
                </w:p>
              </w:tc>
              <w:tc>
                <w:tcPr>
                  <w:tcW w:w="2569" w:type="dxa"/>
                  <w:tcBorders>
                    <w:tl2br w:val="nil"/>
                    <w:tr2bl w:val="nil"/>
                  </w:tcBorders>
                  <w:shd w:val="clear" w:color="auto" w:fill="auto"/>
                  <w:vAlign w:val="center"/>
                </w:tcPr>
                <w:p w14:paraId="3F7AE7D8">
                  <w:pPr>
                    <w:pStyle w:val="45"/>
                    <w:rPr>
                      <w:rFonts w:hint="default"/>
                      <w:b w:val="0"/>
                      <w:bCs w:val="0"/>
                      <w:color w:val="0000FF"/>
                      <w:u w:val="none"/>
                      <w:lang w:val="en-US"/>
                    </w:rPr>
                  </w:pPr>
                  <w:r>
                    <w:rPr>
                      <w:b w:val="0"/>
                      <w:bCs w:val="0"/>
                      <w:color w:val="0000FF"/>
                      <w:u w:val="none"/>
                    </w:rPr>
                    <w:t>Φ</w:t>
                  </w:r>
                  <w:r>
                    <w:rPr>
                      <w:rFonts w:hint="eastAsia"/>
                      <w:b w:val="0"/>
                      <w:bCs w:val="0"/>
                      <w:color w:val="0000FF"/>
                      <w:u w:val="none"/>
                      <w:lang w:val="en-US" w:eastAsia="zh-CN"/>
                    </w:rPr>
                    <w:t>1200</w:t>
                  </w:r>
                  <w:r>
                    <w:rPr>
                      <w:b w:val="0"/>
                      <w:bCs w:val="0"/>
                      <w:color w:val="0000FF"/>
                      <w:u w:val="none"/>
                    </w:rPr>
                    <w:t>×</w:t>
                  </w:r>
                  <w:r>
                    <w:rPr>
                      <w:rFonts w:hint="eastAsia"/>
                      <w:b w:val="0"/>
                      <w:bCs w:val="0"/>
                      <w:color w:val="0000FF"/>
                      <w:u w:val="none"/>
                      <w:lang w:val="en-US" w:eastAsia="zh-CN"/>
                    </w:rPr>
                    <w:t>1600</w:t>
                  </w:r>
                </w:p>
              </w:tc>
              <w:tc>
                <w:tcPr>
                  <w:tcW w:w="982" w:type="dxa"/>
                  <w:tcBorders>
                    <w:tl2br w:val="nil"/>
                    <w:tr2bl w:val="nil"/>
                  </w:tcBorders>
                  <w:shd w:val="clear" w:color="auto" w:fill="auto"/>
                  <w:vAlign w:val="center"/>
                </w:tcPr>
                <w:p w14:paraId="691D11FF">
                  <w:pPr>
                    <w:pStyle w:val="45"/>
                    <w:rPr>
                      <w:rFonts w:hint="default"/>
                      <w:b w:val="0"/>
                      <w:bCs w:val="0"/>
                      <w:color w:val="0000FF"/>
                      <w:u w:val="none"/>
                    </w:rPr>
                  </w:pPr>
                  <w:r>
                    <w:rPr>
                      <w:b w:val="0"/>
                      <w:bCs w:val="0"/>
                      <w:color w:val="0000FF"/>
                      <w:u w:val="none"/>
                    </w:rPr>
                    <w:t>台</w:t>
                  </w:r>
                </w:p>
              </w:tc>
              <w:tc>
                <w:tcPr>
                  <w:tcW w:w="989" w:type="dxa"/>
                  <w:tcBorders>
                    <w:tl2br w:val="nil"/>
                    <w:tr2bl w:val="nil"/>
                  </w:tcBorders>
                  <w:shd w:val="clear" w:color="auto" w:fill="auto"/>
                  <w:vAlign w:val="center"/>
                </w:tcPr>
                <w:p w14:paraId="1B485D3F">
                  <w:pPr>
                    <w:pStyle w:val="45"/>
                    <w:rPr>
                      <w:rFonts w:hint="eastAsia" w:eastAsia="宋体"/>
                      <w:b w:val="0"/>
                      <w:bCs w:val="0"/>
                      <w:color w:val="0000FF"/>
                      <w:u w:val="none"/>
                      <w:lang w:eastAsia="zh-CN"/>
                    </w:rPr>
                  </w:pPr>
                  <w:r>
                    <w:rPr>
                      <w:rFonts w:hint="eastAsia"/>
                      <w:b w:val="0"/>
                      <w:bCs w:val="0"/>
                      <w:color w:val="0000FF"/>
                      <w:u w:val="none"/>
                      <w:lang w:val="en-US" w:eastAsia="zh-CN"/>
                    </w:rPr>
                    <w:t>1</w:t>
                  </w:r>
                </w:p>
              </w:tc>
            </w:tr>
            <w:tr w14:paraId="7ACC45C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7B95454D">
                  <w:pPr>
                    <w:pStyle w:val="45"/>
                    <w:rPr>
                      <w:rFonts w:hint="default"/>
                      <w:b w:val="0"/>
                      <w:bCs w:val="0"/>
                      <w:u w:val="none"/>
                    </w:rPr>
                  </w:pPr>
                  <w:r>
                    <w:rPr>
                      <w:rFonts w:hint="default"/>
                      <w:b w:val="0"/>
                      <w:bCs w:val="0"/>
                      <w:u w:val="none"/>
                    </w:rPr>
                    <w:t>6</w:t>
                  </w:r>
                </w:p>
              </w:tc>
              <w:tc>
                <w:tcPr>
                  <w:tcW w:w="1513" w:type="dxa"/>
                  <w:tcBorders>
                    <w:tl2br w:val="nil"/>
                    <w:tr2bl w:val="nil"/>
                  </w:tcBorders>
                  <w:shd w:val="clear" w:color="auto" w:fill="auto"/>
                  <w:vAlign w:val="center"/>
                </w:tcPr>
                <w:p w14:paraId="289094F5">
                  <w:pPr>
                    <w:pStyle w:val="45"/>
                    <w:rPr>
                      <w:rFonts w:hint="default"/>
                      <w:b w:val="0"/>
                      <w:bCs w:val="0"/>
                      <w:color w:val="0000FF"/>
                      <w:u w:val="none"/>
                    </w:rPr>
                  </w:pPr>
                  <w:r>
                    <w:rPr>
                      <w:b w:val="0"/>
                      <w:bCs w:val="0"/>
                      <w:color w:val="0000FF"/>
                      <w:u w:val="none"/>
                    </w:rPr>
                    <w:t>二级冷凝器</w:t>
                  </w:r>
                </w:p>
              </w:tc>
              <w:tc>
                <w:tcPr>
                  <w:tcW w:w="2569" w:type="dxa"/>
                  <w:tcBorders>
                    <w:tl2br w:val="nil"/>
                    <w:tr2bl w:val="nil"/>
                  </w:tcBorders>
                  <w:shd w:val="clear" w:color="auto" w:fill="auto"/>
                  <w:vAlign w:val="center"/>
                </w:tcPr>
                <w:p w14:paraId="4DAF49C1">
                  <w:pPr>
                    <w:pStyle w:val="45"/>
                    <w:rPr>
                      <w:rFonts w:hint="default"/>
                      <w:b w:val="0"/>
                      <w:bCs w:val="0"/>
                      <w:color w:val="0000FF"/>
                      <w:u w:val="none"/>
                    </w:rPr>
                  </w:pPr>
                  <w:r>
                    <w:rPr>
                      <w:rFonts w:hint="default"/>
                      <w:b w:val="0"/>
                      <w:bCs w:val="0"/>
                      <w:color w:val="0000FF"/>
                      <w:u w:val="none"/>
                    </w:rPr>
                    <w:t>330</w:t>
                  </w:r>
                  <w:r>
                    <w:rPr>
                      <w:b w:val="0"/>
                      <w:bCs w:val="0"/>
                      <w:color w:val="0000FF"/>
                      <w:u w:val="none"/>
                    </w:rPr>
                    <w:t>㎡</w:t>
                  </w:r>
                </w:p>
              </w:tc>
              <w:tc>
                <w:tcPr>
                  <w:tcW w:w="982" w:type="dxa"/>
                  <w:tcBorders>
                    <w:tl2br w:val="nil"/>
                    <w:tr2bl w:val="nil"/>
                  </w:tcBorders>
                  <w:shd w:val="clear" w:color="auto" w:fill="auto"/>
                  <w:vAlign w:val="center"/>
                </w:tcPr>
                <w:p w14:paraId="58AD4748">
                  <w:pPr>
                    <w:pStyle w:val="45"/>
                    <w:rPr>
                      <w:rFonts w:hint="default"/>
                      <w:b w:val="0"/>
                      <w:bCs w:val="0"/>
                      <w:color w:val="0000FF"/>
                      <w:u w:val="none"/>
                    </w:rPr>
                  </w:pPr>
                  <w:r>
                    <w:rPr>
                      <w:b w:val="0"/>
                      <w:bCs w:val="0"/>
                      <w:color w:val="0000FF"/>
                      <w:u w:val="none"/>
                    </w:rPr>
                    <w:t>台</w:t>
                  </w:r>
                </w:p>
              </w:tc>
              <w:tc>
                <w:tcPr>
                  <w:tcW w:w="989" w:type="dxa"/>
                  <w:tcBorders>
                    <w:tl2br w:val="nil"/>
                    <w:tr2bl w:val="nil"/>
                  </w:tcBorders>
                  <w:shd w:val="clear" w:color="auto" w:fill="auto"/>
                  <w:vAlign w:val="center"/>
                </w:tcPr>
                <w:p w14:paraId="0A946AA7">
                  <w:pPr>
                    <w:pStyle w:val="45"/>
                    <w:rPr>
                      <w:rFonts w:hint="eastAsia" w:eastAsia="宋体"/>
                      <w:b w:val="0"/>
                      <w:bCs w:val="0"/>
                      <w:color w:val="0000FF"/>
                      <w:u w:val="none"/>
                      <w:lang w:eastAsia="zh-CN"/>
                    </w:rPr>
                  </w:pPr>
                  <w:r>
                    <w:rPr>
                      <w:rFonts w:hint="eastAsia"/>
                      <w:b w:val="0"/>
                      <w:bCs w:val="0"/>
                      <w:color w:val="0000FF"/>
                      <w:u w:val="none"/>
                      <w:lang w:val="en-US" w:eastAsia="zh-CN"/>
                    </w:rPr>
                    <w:t>1</w:t>
                  </w:r>
                </w:p>
              </w:tc>
            </w:tr>
            <w:tr w14:paraId="61F1A32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099EF86F">
                  <w:pPr>
                    <w:pStyle w:val="45"/>
                    <w:rPr>
                      <w:rFonts w:hint="default"/>
                      <w:b w:val="0"/>
                      <w:bCs w:val="0"/>
                      <w:color w:val="0000FF"/>
                      <w:u w:val="none"/>
                    </w:rPr>
                  </w:pPr>
                  <w:r>
                    <w:rPr>
                      <w:rFonts w:hint="default"/>
                      <w:b w:val="0"/>
                      <w:bCs w:val="0"/>
                      <w:color w:val="0000FF"/>
                      <w:u w:val="none"/>
                    </w:rPr>
                    <w:t>7</w:t>
                  </w:r>
                </w:p>
              </w:tc>
              <w:tc>
                <w:tcPr>
                  <w:tcW w:w="1513" w:type="dxa"/>
                  <w:tcBorders>
                    <w:tl2br w:val="nil"/>
                    <w:tr2bl w:val="nil"/>
                  </w:tcBorders>
                  <w:shd w:val="clear" w:color="auto" w:fill="auto"/>
                  <w:vAlign w:val="center"/>
                </w:tcPr>
                <w:p w14:paraId="32AD72E5">
                  <w:pPr>
                    <w:pStyle w:val="45"/>
                    <w:rPr>
                      <w:rFonts w:hint="default"/>
                      <w:b w:val="0"/>
                      <w:bCs w:val="0"/>
                      <w:color w:val="0000FF"/>
                      <w:u w:val="none"/>
                    </w:rPr>
                  </w:pPr>
                  <w:r>
                    <w:rPr>
                      <w:b w:val="0"/>
                      <w:bCs w:val="0"/>
                      <w:color w:val="0000FF"/>
                      <w:u w:val="none"/>
                    </w:rPr>
                    <w:t>二级气液分离器</w:t>
                  </w:r>
                </w:p>
              </w:tc>
              <w:tc>
                <w:tcPr>
                  <w:tcW w:w="2569" w:type="dxa"/>
                  <w:tcBorders>
                    <w:tl2br w:val="nil"/>
                    <w:tr2bl w:val="nil"/>
                  </w:tcBorders>
                  <w:shd w:val="clear" w:color="auto" w:fill="auto"/>
                  <w:vAlign w:val="center"/>
                </w:tcPr>
                <w:p w14:paraId="431D9A5A">
                  <w:pPr>
                    <w:pStyle w:val="45"/>
                    <w:rPr>
                      <w:rFonts w:hint="default"/>
                      <w:b w:val="0"/>
                      <w:bCs w:val="0"/>
                      <w:color w:val="0000FF"/>
                      <w:u w:val="none"/>
                    </w:rPr>
                  </w:pPr>
                  <w:r>
                    <w:rPr>
                      <w:b w:val="0"/>
                      <w:bCs w:val="0"/>
                      <w:color w:val="0000FF"/>
                      <w:u w:val="none"/>
                    </w:rPr>
                    <w:t>Φ</w:t>
                  </w:r>
                  <w:r>
                    <w:rPr>
                      <w:rFonts w:hint="eastAsia"/>
                      <w:b w:val="0"/>
                      <w:bCs w:val="0"/>
                      <w:color w:val="0000FF"/>
                      <w:u w:val="none"/>
                      <w:lang w:val="en-US" w:eastAsia="zh-CN"/>
                    </w:rPr>
                    <w:t>800</w:t>
                  </w:r>
                  <w:r>
                    <w:rPr>
                      <w:b w:val="0"/>
                      <w:bCs w:val="0"/>
                      <w:color w:val="0000FF"/>
                      <w:u w:val="none"/>
                    </w:rPr>
                    <w:t>×</w:t>
                  </w:r>
                  <w:r>
                    <w:rPr>
                      <w:rFonts w:hint="eastAsia"/>
                      <w:b w:val="0"/>
                      <w:bCs w:val="0"/>
                      <w:color w:val="0000FF"/>
                      <w:u w:val="none"/>
                      <w:lang w:val="en-US" w:eastAsia="zh-CN"/>
                    </w:rPr>
                    <w:t>16</w:t>
                  </w:r>
                  <w:r>
                    <w:rPr>
                      <w:b w:val="0"/>
                      <w:bCs w:val="0"/>
                      <w:color w:val="0000FF"/>
                      <w:u w:val="none"/>
                    </w:rPr>
                    <w:t>00</w:t>
                  </w:r>
                </w:p>
              </w:tc>
              <w:tc>
                <w:tcPr>
                  <w:tcW w:w="982" w:type="dxa"/>
                  <w:tcBorders>
                    <w:tl2br w:val="nil"/>
                    <w:tr2bl w:val="nil"/>
                  </w:tcBorders>
                  <w:shd w:val="clear" w:color="auto" w:fill="auto"/>
                  <w:vAlign w:val="center"/>
                </w:tcPr>
                <w:p w14:paraId="61B73C65">
                  <w:pPr>
                    <w:pStyle w:val="45"/>
                    <w:rPr>
                      <w:rFonts w:hint="default"/>
                      <w:b w:val="0"/>
                      <w:bCs w:val="0"/>
                      <w:color w:val="0000FF"/>
                      <w:u w:val="none"/>
                    </w:rPr>
                  </w:pPr>
                  <w:r>
                    <w:rPr>
                      <w:b w:val="0"/>
                      <w:bCs w:val="0"/>
                      <w:color w:val="0000FF"/>
                      <w:u w:val="none"/>
                    </w:rPr>
                    <w:t>台</w:t>
                  </w:r>
                </w:p>
              </w:tc>
              <w:tc>
                <w:tcPr>
                  <w:tcW w:w="989" w:type="dxa"/>
                  <w:tcBorders>
                    <w:tl2br w:val="nil"/>
                    <w:tr2bl w:val="nil"/>
                  </w:tcBorders>
                  <w:shd w:val="clear" w:color="auto" w:fill="auto"/>
                  <w:vAlign w:val="center"/>
                </w:tcPr>
                <w:p w14:paraId="4D94D664">
                  <w:pPr>
                    <w:pStyle w:val="45"/>
                    <w:rPr>
                      <w:rFonts w:hint="eastAsia" w:eastAsia="宋体"/>
                      <w:b w:val="0"/>
                      <w:bCs w:val="0"/>
                      <w:color w:val="0000FF"/>
                      <w:u w:val="none"/>
                      <w:lang w:eastAsia="zh-CN"/>
                    </w:rPr>
                  </w:pPr>
                  <w:r>
                    <w:rPr>
                      <w:rFonts w:hint="eastAsia"/>
                      <w:b w:val="0"/>
                      <w:bCs w:val="0"/>
                      <w:color w:val="0000FF"/>
                      <w:u w:val="none"/>
                      <w:lang w:val="en-US" w:eastAsia="zh-CN"/>
                    </w:rPr>
                    <w:t>1</w:t>
                  </w:r>
                </w:p>
              </w:tc>
            </w:tr>
            <w:tr w14:paraId="32554E9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35D16927">
                  <w:pPr>
                    <w:pStyle w:val="45"/>
                    <w:rPr>
                      <w:rFonts w:hint="default"/>
                      <w:b w:val="0"/>
                      <w:bCs w:val="0"/>
                      <w:color w:val="0000FF"/>
                      <w:u w:val="none"/>
                    </w:rPr>
                  </w:pPr>
                </w:p>
              </w:tc>
              <w:tc>
                <w:tcPr>
                  <w:tcW w:w="1513" w:type="dxa"/>
                  <w:tcBorders>
                    <w:tl2br w:val="nil"/>
                    <w:tr2bl w:val="nil"/>
                  </w:tcBorders>
                  <w:shd w:val="clear" w:color="auto" w:fill="auto"/>
                  <w:vAlign w:val="center"/>
                </w:tcPr>
                <w:p w14:paraId="4D16B923">
                  <w:pPr>
                    <w:pStyle w:val="45"/>
                    <w:rPr>
                      <w:rFonts w:hint="eastAsia" w:eastAsia="宋体"/>
                      <w:b w:val="0"/>
                      <w:bCs w:val="0"/>
                      <w:color w:val="0000FF"/>
                      <w:u w:val="none"/>
                      <w:lang w:eastAsia="zh-CN"/>
                    </w:rPr>
                  </w:pPr>
                  <w:r>
                    <w:rPr>
                      <w:rFonts w:hint="eastAsia"/>
                      <w:b w:val="0"/>
                      <w:bCs w:val="0"/>
                      <w:color w:val="0000FF"/>
                      <w:u w:val="none"/>
                      <w:lang w:eastAsia="zh-CN"/>
                    </w:rPr>
                    <w:t>气液分离器</w:t>
                  </w:r>
                </w:p>
              </w:tc>
              <w:tc>
                <w:tcPr>
                  <w:tcW w:w="2569" w:type="dxa"/>
                  <w:tcBorders>
                    <w:tl2br w:val="nil"/>
                    <w:tr2bl w:val="nil"/>
                  </w:tcBorders>
                  <w:shd w:val="clear" w:color="auto" w:fill="auto"/>
                  <w:vAlign w:val="center"/>
                </w:tcPr>
                <w:p w14:paraId="4692B49F">
                  <w:pPr>
                    <w:pStyle w:val="45"/>
                    <w:rPr>
                      <w:b w:val="0"/>
                      <w:bCs w:val="0"/>
                      <w:color w:val="0000FF"/>
                      <w:u w:val="none"/>
                    </w:rPr>
                  </w:pPr>
                  <w:r>
                    <w:rPr>
                      <w:b w:val="0"/>
                      <w:bCs w:val="0"/>
                      <w:color w:val="0000FF"/>
                      <w:u w:val="none"/>
                    </w:rPr>
                    <w:t>Φ</w:t>
                  </w:r>
                  <w:r>
                    <w:rPr>
                      <w:rFonts w:hint="eastAsia"/>
                      <w:b w:val="0"/>
                      <w:bCs w:val="0"/>
                      <w:color w:val="0000FF"/>
                      <w:u w:val="none"/>
                      <w:lang w:val="en-US" w:eastAsia="zh-CN"/>
                    </w:rPr>
                    <w:t>1200</w:t>
                  </w:r>
                  <w:r>
                    <w:rPr>
                      <w:b w:val="0"/>
                      <w:bCs w:val="0"/>
                      <w:color w:val="0000FF"/>
                      <w:u w:val="none"/>
                    </w:rPr>
                    <w:t>×</w:t>
                  </w:r>
                  <w:r>
                    <w:rPr>
                      <w:rFonts w:hint="eastAsia"/>
                      <w:b w:val="0"/>
                      <w:bCs w:val="0"/>
                      <w:color w:val="0000FF"/>
                      <w:u w:val="none"/>
                      <w:lang w:val="en-US" w:eastAsia="zh-CN"/>
                    </w:rPr>
                    <w:t>16</w:t>
                  </w:r>
                  <w:r>
                    <w:rPr>
                      <w:b w:val="0"/>
                      <w:bCs w:val="0"/>
                      <w:color w:val="0000FF"/>
                      <w:u w:val="none"/>
                    </w:rPr>
                    <w:t>00</w:t>
                  </w:r>
                </w:p>
              </w:tc>
              <w:tc>
                <w:tcPr>
                  <w:tcW w:w="982" w:type="dxa"/>
                  <w:tcBorders>
                    <w:tl2br w:val="nil"/>
                    <w:tr2bl w:val="nil"/>
                  </w:tcBorders>
                  <w:shd w:val="clear" w:color="auto" w:fill="auto"/>
                  <w:vAlign w:val="center"/>
                </w:tcPr>
                <w:p w14:paraId="0192C1E6">
                  <w:pPr>
                    <w:pStyle w:val="45"/>
                    <w:rPr>
                      <w:b w:val="0"/>
                      <w:bCs w:val="0"/>
                      <w:color w:val="0000FF"/>
                      <w:u w:val="none"/>
                    </w:rPr>
                  </w:pPr>
                  <w:r>
                    <w:rPr>
                      <w:b w:val="0"/>
                      <w:bCs w:val="0"/>
                      <w:color w:val="0000FF"/>
                      <w:u w:val="none"/>
                    </w:rPr>
                    <w:t>台</w:t>
                  </w:r>
                </w:p>
              </w:tc>
              <w:tc>
                <w:tcPr>
                  <w:tcW w:w="989" w:type="dxa"/>
                  <w:tcBorders>
                    <w:tl2br w:val="nil"/>
                    <w:tr2bl w:val="nil"/>
                  </w:tcBorders>
                  <w:shd w:val="clear" w:color="auto" w:fill="auto"/>
                  <w:vAlign w:val="center"/>
                </w:tcPr>
                <w:p w14:paraId="154411E5">
                  <w:pPr>
                    <w:pStyle w:val="45"/>
                    <w:rPr>
                      <w:rFonts w:hint="eastAsia" w:eastAsia="宋体"/>
                      <w:b w:val="0"/>
                      <w:bCs w:val="0"/>
                      <w:color w:val="0000FF"/>
                      <w:u w:val="none"/>
                      <w:lang w:eastAsia="zh-CN"/>
                    </w:rPr>
                  </w:pPr>
                  <w:r>
                    <w:rPr>
                      <w:rFonts w:hint="eastAsia"/>
                      <w:b w:val="0"/>
                      <w:bCs w:val="0"/>
                      <w:color w:val="0000FF"/>
                      <w:u w:val="none"/>
                      <w:lang w:val="en-US" w:eastAsia="zh-CN"/>
                    </w:rPr>
                    <w:t>1</w:t>
                  </w:r>
                </w:p>
              </w:tc>
            </w:tr>
            <w:tr w14:paraId="6B5A8F5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0E0CED6E">
                  <w:pPr>
                    <w:pStyle w:val="45"/>
                    <w:rPr>
                      <w:rFonts w:hint="default"/>
                      <w:b w:val="0"/>
                      <w:bCs w:val="0"/>
                      <w:u w:val="none"/>
                    </w:rPr>
                  </w:pPr>
                  <w:r>
                    <w:rPr>
                      <w:b w:val="0"/>
                      <w:bCs w:val="0"/>
                      <w:u w:val="none"/>
                    </w:rPr>
                    <w:t>8</w:t>
                  </w:r>
                </w:p>
              </w:tc>
              <w:tc>
                <w:tcPr>
                  <w:tcW w:w="1513" w:type="dxa"/>
                  <w:tcBorders>
                    <w:tl2br w:val="nil"/>
                    <w:tr2bl w:val="nil"/>
                  </w:tcBorders>
                  <w:shd w:val="clear" w:color="auto" w:fill="auto"/>
                  <w:vAlign w:val="center"/>
                </w:tcPr>
                <w:p w14:paraId="20FD5BC5">
                  <w:pPr>
                    <w:pStyle w:val="45"/>
                    <w:rPr>
                      <w:rFonts w:hint="default"/>
                      <w:b w:val="0"/>
                      <w:bCs w:val="0"/>
                      <w:color w:val="0000FF"/>
                      <w:u w:val="none"/>
                    </w:rPr>
                  </w:pPr>
                  <w:r>
                    <w:rPr>
                      <w:b w:val="0"/>
                      <w:bCs w:val="0"/>
                      <w:color w:val="0000FF"/>
                      <w:u w:val="none"/>
                    </w:rPr>
                    <w:t>二氧化碳装车泵</w:t>
                  </w:r>
                </w:p>
              </w:tc>
              <w:tc>
                <w:tcPr>
                  <w:tcW w:w="2569" w:type="dxa"/>
                  <w:tcBorders>
                    <w:tl2br w:val="nil"/>
                    <w:tr2bl w:val="nil"/>
                  </w:tcBorders>
                  <w:shd w:val="clear" w:color="auto" w:fill="auto"/>
                  <w:vAlign w:val="center"/>
                </w:tcPr>
                <w:p w14:paraId="32B660FF">
                  <w:pPr>
                    <w:pStyle w:val="45"/>
                    <w:rPr>
                      <w:rFonts w:hint="default"/>
                      <w:b w:val="0"/>
                      <w:bCs w:val="0"/>
                      <w:color w:val="0000FF"/>
                      <w:u w:val="none"/>
                    </w:rPr>
                  </w:pPr>
                  <w:r>
                    <w:rPr>
                      <w:b w:val="0"/>
                      <w:bCs w:val="0"/>
                      <w:color w:val="0000FF"/>
                      <w:u w:val="none"/>
                    </w:rPr>
                    <w:t>流量</w:t>
                  </w:r>
                  <w:r>
                    <w:rPr>
                      <w:rFonts w:hint="default"/>
                      <w:b w:val="0"/>
                      <w:bCs w:val="0"/>
                      <w:color w:val="0000FF"/>
                      <w:u w:val="none"/>
                    </w:rPr>
                    <w:t>25m</w:t>
                  </w:r>
                  <w:r>
                    <w:rPr>
                      <w:b w:val="0"/>
                      <w:bCs w:val="0"/>
                      <w:color w:val="0000FF"/>
                      <w:u w:val="none"/>
                    </w:rPr>
                    <w:t>³</w:t>
                  </w:r>
                  <w:r>
                    <w:rPr>
                      <w:rFonts w:hint="default"/>
                      <w:b w:val="0"/>
                      <w:bCs w:val="0"/>
                      <w:color w:val="0000FF"/>
                      <w:u w:val="none"/>
                    </w:rPr>
                    <w:t>/h</w:t>
                  </w:r>
                  <w:r>
                    <w:rPr>
                      <w:b w:val="0"/>
                      <w:bCs w:val="0"/>
                      <w:color w:val="0000FF"/>
                      <w:u w:val="none"/>
                    </w:rPr>
                    <w:t>，扬程</w:t>
                  </w:r>
                  <w:r>
                    <w:rPr>
                      <w:rFonts w:hint="default"/>
                      <w:b w:val="0"/>
                      <w:bCs w:val="0"/>
                      <w:color w:val="0000FF"/>
                      <w:u w:val="none"/>
                    </w:rPr>
                    <w:t>40m</w:t>
                  </w:r>
                </w:p>
              </w:tc>
              <w:tc>
                <w:tcPr>
                  <w:tcW w:w="982" w:type="dxa"/>
                  <w:tcBorders>
                    <w:tl2br w:val="nil"/>
                    <w:tr2bl w:val="nil"/>
                  </w:tcBorders>
                  <w:shd w:val="clear" w:color="auto" w:fill="auto"/>
                  <w:vAlign w:val="center"/>
                </w:tcPr>
                <w:p w14:paraId="19B3D49B">
                  <w:pPr>
                    <w:pStyle w:val="45"/>
                    <w:rPr>
                      <w:rFonts w:hint="default"/>
                      <w:b w:val="0"/>
                      <w:bCs w:val="0"/>
                      <w:color w:val="0000FF"/>
                      <w:u w:val="none"/>
                    </w:rPr>
                  </w:pPr>
                  <w:r>
                    <w:rPr>
                      <w:b w:val="0"/>
                      <w:bCs w:val="0"/>
                      <w:color w:val="0000FF"/>
                      <w:u w:val="none"/>
                    </w:rPr>
                    <w:t>台</w:t>
                  </w:r>
                </w:p>
              </w:tc>
              <w:tc>
                <w:tcPr>
                  <w:tcW w:w="989" w:type="dxa"/>
                  <w:tcBorders>
                    <w:tl2br w:val="nil"/>
                    <w:tr2bl w:val="nil"/>
                  </w:tcBorders>
                  <w:shd w:val="clear" w:color="auto" w:fill="auto"/>
                  <w:vAlign w:val="center"/>
                </w:tcPr>
                <w:p w14:paraId="22EFFA1A">
                  <w:pPr>
                    <w:pStyle w:val="45"/>
                    <w:rPr>
                      <w:rFonts w:hint="default"/>
                      <w:b w:val="0"/>
                      <w:bCs w:val="0"/>
                      <w:color w:val="0000FF"/>
                      <w:u w:val="none"/>
                    </w:rPr>
                  </w:pPr>
                  <w:r>
                    <w:rPr>
                      <w:rFonts w:hint="default"/>
                      <w:b w:val="0"/>
                      <w:bCs w:val="0"/>
                      <w:color w:val="0000FF"/>
                      <w:u w:val="none"/>
                    </w:rPr>
                    <w:t>4</w:t>
                  </w:r>
                </w:p>
              </w:tc>
            </w:tr>
            <w:tr w14:paraId="6488045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0C39B28F">
                  <w:pPr>
                    <w:pStyle w:val="45"/>
                    <w:rPr>
                      <w:rFonts w:hint="default"/>
                      <w:b w:val="0"/>
                      <w:bCs w:val="0"/>
                      <w:u w:val="none"/>
                    </w:rPr>
                  </w:pPr>
                  <w:r>
                    <w:rPr>
                      <w:b w:val="0"/>
                      <w:bCs w:val="0"/>
                      <w:u w:val="none"/>
                    </w:rPr>
                    <w:t>9</w:t>
                  </w:r>
                </w:p>
              </w:tc>
              <w:tc>
                <w:tcPr>
                  <w:tcW w:w="1513" w:type="dxa"/>
                  <w:tcBorders>
                    <w:tl2br w:val="nil"/>
                    <w:tr2bl w:val="nil"/>
                  </w:tcBorders>
                  <w:shd w:val="clear" w:color="auto" w:fill="auto"/>
                  <w:vAlign w:val="center"/>
                </w:tcPr>
                <w:p w14:paraId="1C83C309">
                  <w:pPr>
                    <w:pStyle w:val="45"/>
                    <w:rPr>
                      <w:rFonts w:hint="default"/>
                      <w:b w:val="0"/>
                      <w:bCs w:val="0"/>
                      <w:u w:val="none"/>
                    </w:rPr>
                  </w:pPr>
                  <w:r>
                    <w:rPr>
                      <w:b w:val="0"/>
                      <w:bCs w:val="0"/>
                      <w:u w:val="none"/>
                    </w:rPr>
                    <w:t>循环水泵</w:t>
                  </w:r>
                </w:p>
              </w:tc>
              <w:tc>
                <w:tcPr>
                  <w:tcW w:w="2569" w:type="dxa"/>
                  <w:tcBorders>
                    <w:tl2br w:val="nil"/>
                    <w:tr2bl w:val="nil"/>
                  </w:tcBorders>
                  <w:shd w:val="clear" w:color="auto" w:fill="auto"/>
                  <w:vAlign w:val="center"/>
                </w:tcPr>
                <w:p w14:paraId="05DDF4C2">
                  <w:pPr>
                    <w:pStyle w:val="45"/>
                    <w:rPr>
                      <w:rFonts w:hint="default"/>
                      <w:b w:val="0"/>
                      <w:bCs w:val="0"/>
                      <w:u w:val="none"/>
                    </w:rPr>
                  </w:pPr>
                  <w:r>
                    <w:rPr>
                      <w:b w:val="0"/>
                      <w:bCs w:val="0"/>
                      <w:u w:val="none"/>
                    </w:rPr>
                    <w:t>流量</w:t>
                  </w:r>
                  <w:r>
                    <w:rPr>
                      <w:rFonts w:hint="default"/>
                      <w:b w:val="0"/>
                      <w:bCs w:val="0"/>
                      <w:u w:val="none"/>
                    </w:rPr>
                    <w:t>150m</w:t>
                  </w:r>
                  <w:r>
                    <w:rPr>
                      <w:b w:val="0"/>
                      <w:bCs w:val="0"/>
                      <w:u w:val="none"/>
                    </w:rPr>
                    <w:t>³</w:t>
                  </w:r>
                  <w:r>
                    <w:rPr>
                      <w:rFonts w:hint="default"/>
                      <w:b w:val="0"/>
                      <w:bCs w:val="0"/>
                      <w:u w:val="none"/>
                    </w:rPr>
                    <w:t>/h</w:t>
                  </w:r>
                  <w:r>
                    <w:rPr>
                      <w:b w:val="0"/>
                      <w:bCs w:val="0"/>
                      <w:u w:val="none"/>
                    </w:rPr>
                    <w:t>，扬程</w:t>
                  </w:r>
                  <w:r>
                    <w:rPr>
                      <w:rFonts w:hint="default"/>
                      <w:b w:val="0"/>
                      <w:bCs w:val="0"/>
                      <w:u w:val="none"/>
                    </w:rPr>
                    <w:t>40m</w:t>
                  </w:r>
                </w:p>
              </w:tc>
              <w:tc>
                <w:tcPr>
                  <w:tcW w:w="982" w:type="dxa"/>
                  <w:tcBorders>
                    <w:tl2br w:val="nil"/>
                    <w:tr2bl w:val="nil"/>
                  </w:tcBorders>
                  <w:shd w:val="clear" w:color="auto" w:fill="auto"/>
                  <w:vAlign w:val="center"/>
                </w:tcPr>
                <w:p w14:paraId="2F036AB4">
                  <w:pPr>
                    <w:pStyle w:val="45"/>
                    <w:rPr>
                      <w:rFonts w:hint="default"/>
                      <w:b w:val="0"/>
                      <w:bCs w:val="0"/>
                      <w:u w:val="none"/>
                    </w:rPr>
                  </w:pPr>
                  <w:r>
                    <w:rPr>
                      <w:b w:val="0"/>
                      <w:bCs w:val="0"/>
                      <w:u w:val="none"/>
                    </w:rPr>
                    <w:t>台</w:t>
                  </w:r>
                </w:p>
              </w:tc>
              <w:tc>
                <w:tcPr>
                  <w:tcW w:w="989" w:type="dxa"/>
                  <w:tcBorders>
                    <w:tl2br w:val="nil"/>
                    <w:tr2bl w:val="nil"/>
                  </w:tcBorders>
                  <w:shd w:val="clear" w:color="auto" w:fill="auto"/>
                  <w:vAlign w:val="center"/>
                </w:tcPr>
                <w:p w14:paraId="31214605">
                  <w:pPr>
                    <w:pStyle w:val="45"/>
                    <w:rPr>
                      <w:rFonts w:hint="default"/>
                      <w:b w:val="0"/>
                      <w:bCs w:val="0"/>
                      <w:u w:val="none"/>
                    </w:rPr>
                  </w:pPr>
                  <w:r>
                    <w:rPr>
                      <w:rFonts w:hint="default"/>
                      <w:b w:val="0"/>
                      <w:bCs w:val="0"/>
                      <w:u w:val="none"/>
                    </w:rPr>
                    <w:t>2</w:t>
                  </w:r>
                </w:p>
              </w:tc>
            </w:tr>
            <w:tr w14:paraId="360B40D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511C0F65">
                  <w:pPr>
                    <w:pStyle w:val="45"/>
                    <w:rPr>
                      <w:rFonts w:hint="default"/>
                      <w:b w:val="0"/>
                      <w:bCs w:val="0"/>
                      <w:u w:val="none"/>
                    </w:rPr>
                  </w:pPr>
                  <w:r>
                    <w:rPr>
                      <w:b w:val="0"/>
                      <w:bCs w:val="0"/>
                      <w:u w:val="none"/>
                    </w:rPr>
                    <w:t>10</w:t>
                  </w:r>
                </w:p>
              </w:tc>
              <w:tc>
                <w:tcPr>
                  <w:tcW w:w="1513" w:type="dxa"/>
                  <w:tcBorders>
                    <w:tl2br w:val="nil"/>
                    <w:tr2bl w:val="nil"/>
                  </w:tcBorders>
                  <w:shd w:val="clear" w:color="auto" w:fill="auto"/>
                  <w:vAlign w:val="center"/>
                </w:tcPr>
                <w:p w14:paraId="3C876497">
                  <w:pPr>
                    <w:pStyle w:val="45"/>
                    <w:rPr>
                      <w:rFonts w:hint="default"/>
                      <w:b w:val="0"/>
                      <w:bCs w:val="0"/>
                      <w:u w:val="none"/>
                    </w:rPr>
                  </w:pPr>
                  <w:r>
                    <w:rPr>
                      <w:b w:val="0"/>
                      <w:bCs w:val="0"/>
                      <w:u w:val="none"/>
                    </w:rPr>
                    <w:t>氟利昂冰机（高压）</w:t>
                  </w:r>
                </w:p>
              </w:tc>
              <w:tc>
                <w:tcPr>
                  <w:tcW w:w="2569" w:type="dxa"/>
                  <w:tcBorders>
                    <w:tl2br w:val="nil"/>
                    <w:tr2bl w:val="nil"/>
                  </w:tcBorders>
                  <w:shd w:val="clear" w:color="auto" w:fill="auto"/>
                  <w:vAlign w:val="center"/>
                </w:tcPr>
                <w:p w14:paraId="312AD8F6">
                  <w:pPr>
                    <w:pStyle w:val="45"/>
                    <w:rPr>
                      <w:rFonts w:hint="default"/>
                      <w:b w:val="0"/>
                      <w:bCs w:val="0"/>
                      <w:u w:val="none"/>
                    </w:rPr>
                  </w:pPr>
                  <w:r>
                    <w:rPr>
                      <w:rFonts w:hint="default"/>
                      <w:b w:val="0"/>
                      <w:bCs w:val="0"/>
                      <w:u w:val="none"/>
                    </w:rPr>
                    <w:t>LG25TYA</w:t>
                  </w:r>
                </w:p>
              </w:tc>
              <w:tc>
                <w:tcPr>
                  <w:tcW w:w="982" w:type="dxa"/>
                  <w:tcBorders>
                    <w:tl2br w:val="nil"/>
                    <w:tr2bl w:val="nil"/>
                  </w:tcBorders>
                  <w:shd w:val="clear" w:color="auto" w:fill="auto"/>
                  <w:vAlign w:val="center"/>
                </w:tcPr>
                <w:p w14:paraId="53D2229E">
                  <w:pPr>
                    <w:pStyle w:val="45"/>
                    <w:rPr>
                      <w:rFonts w:hint="default"/>
                      <w:b w:val="0"/>
                      <w:bCs w:val="0"/>
                      <w:u w:val="none"/>
                    </w:rPr>
                  </w:pPr>
                  <w:r>
                    <w:rPr>
                      <w:b w:val="0"/>
                      <w:bCs w:val="0"/>
                      <w:u w:val="none"/>
                    </w:rPr>
                    <w:t>台</w:t>
                  </w:r>
                </w:p>
              </w:tc>
              <w:tc>
                <w:tcPr>
                  <w:tcW w:w="989" w:type="dxa"/>
                  <w:tcBorders>
                    <w:tl2br w:val="nil"/>
                    <w:tr2bl w:val="nil"/>
                  </w:tcBorders>
                  <w:shd w:val="clear" w:color="auto" w:fill="auto"/>
                  <w:vAlign w:val="center"/>
                </w:tcPr>
                <w:p w14:paraId="3F86EBA7">
                  <w:pPr>
                    <w:pStyle w:val="45"/>
                    <w:rPr>
                      <w:rFonts w:hint="default"/>
                      <w:b w:val="0"/>
                      <w:bCs w:val="0"/>
                      <w:u w:val="none"/>
                    </w:rPr>
                  </w:pPr>
                  <w:r>
                    <w:rPr>
                      <w:rFonts w:hint="default"/>
                      <w:b w:val="0"/>
                      <w:bCs w:val="0"/>
                      <w:u w:val="none"/>
                    </w:rPr>
                    <w:t>2</w:t>
                  </w:r>
                </w:p>
              </w:tc>
            </w:tr>
            <w:tr w14:paraId="54855EB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68C3ED92">
                  <w:pPr>
                    <w:pStyle w:val="45"/>
                    <w:rPr>
                      <w:rFonts w:hint="default"/>
                      <w:b w:val="0"/>
                      <w:bCs w:val="0"/>
                      <w:u w:val="none"/>
                    </w:rPr>
                  </w:pPr>
                  <w:r>
                    <w:rPr>
                      <w:b w:val="0"/>
                      <w:bCs w:val="0"/>
                      <w:u w:val="none"/>
                    </w:rPr>
                    <w:t>11</w:t>
                  </w:r>
                </w:p>
              </w:tc>
              <w:tc>
                <w:tcPr>
                  <w:tcW w:w="1513" w:type="dxa"/>
                  <w:tcBorders>
                    <w:tl2br w:val="nil"/>
                    <w:tr2bl w:val="nil"/>
                  </w:tcBorders>
                  <w:shd w:val="clear" w:color="auto" w:fill="auto"/>
                  <w:vAlign w:val="center"/>
                </w:tcPr>
                <w:p w14:paraId="3F7DD5FA">
                  <w:pPr>
                    <w:pStyle w:val="45"/>
                    <w:rPr>
                      <w:rFonts w:hint="default"/>
                      <w:b w:val="0"/>
                      <w:bCs w:val="0"/>
                      <w:u w:val="none"/>
                    </w:rPr>
                  </w:pPr>
                  <w:r>
                    <w:rPr>
                      <w:b w:val="0"/>
                      <w:bCs w:val="0"/>
                      <w:u w:val="none"/>
                    </w:rPr>
                    <w:t>氟利昂冰机（低压）</w:t>
                  </w:r>
                </w:p>
              </w:tc>
              <w:tc>
                <w:tcPr>
                  <w:tcW w:w="2569" w:type="dxa"/>
                  <w:tcBorders>
                    <w:tl2br w:val="nil"/>
                    <w:tr2bl w:val="nil"/>
                  </w:tcBorders>
                  <w:shd w:val="clear" w:color="auto" w:fill="auto"/>
                  <w:vAlign w:val="center"/>
                </w:tcPr>
                <w:p w14:paraId="5986ACCA">
                  <w:pPr>
                    <w:pStyle w:val="45"/>
                    <w:rPr>
                      <w:rFonts w:hint="default"/>
                      <w:b w:val="0"/>
                      <w:bCs w:val="0"/>
                      <w:u w:val="none"/>
                    </w:rPr>
                  </w:pPr>
                  <w:r>
                    <w:rPr>
                      <w:rFonts w:hint="default"/>
                      <w:b w:val="0"/>
                      <w:bCs w:val="0"/>
                      <w:u w:val="none"/>
                    </w:rPr>
                    <w:t>LG16MYJA</w:t>
                  </w:r>
                </w:p>
              </w:tc>
              <w:tc>
                <w:tcPr>
                  <w:tcW w:w="982" w:type="dxa"/>
                  <w:tcBorders>
                    <w:tl2br w:val="nil"/>
                    <w:tr2bl w:val="nil"/>
                  </w:tcBorders>
                  <w:shd w:val="clear" w:color="auto" w:fill="auto"/>
                  <w:vAlign w:val="center"/>
                </w:tcPr>
                <w:p w14:paraId="1E9F9A7A">
                  <w:pPr>
                    <w:pStyle w:val="45"/>
                    <w:rPr>
                      <w:rFonts w:hint="default"/>
                      <w:b w:val="0"/>
                      <w:bCs w:val="0"/>
                      <w:u w:val="none"/>
                    </w:rPr>
                  </w:pPr>
                  <w:r>
                    <w:rPr>
                      <w:b w:val="0"/>
                      <w:bCs w:val="0"/>
                      <w:u w:val="none"/>
                    </w:rPr>
                    <w:t>台</w:t>
                  </w:r>
                </w:p>
              </w:tc>
              <w:tc>
                <w:tcPr>
                  <w:tcW w:w="989" w:type="dxa"/>
                  <w:tcBorders>
                    <w:tl2br w:val="nil"/>
                    <w:tr2bl w:val="nil"/>
                  </w:tcBorders>
                  <w:shd w:val="clear" w:color="auto" w:fill="auto"/>
                  <w:vAlign w:val="center"/>
                </w:tcPr>
                <w:p w14:paraId="6BF5ECAB">
                  <w:pPr>
                    <w:pStyle w:val="45"/>
                    <w:rPr>
                      <w:rFonts w:hint="default"/>
                      <w:b w:val="0"/>
                      <w:bCs w:val="0"/>
                      <w:u w:val="none"/>
                    </w:rPr>
                  </w:pPr>
                  <w:r>
                    <w:rPr>
                      <w:rFonts w:hint="default"/>
                      <w:b w:val="0"/>
                      <w:bCs w:val="0"/>
                      <w:u w:val="none"/>
                    </w:rPr>
                    <w:t>2</w:t>
                  </w:r>
                </w:p>
              </w:tc>
            </w:tr>
            <w:tr w14:paraId="7C40399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1B8FA9C3">
                  <w:pPr>
                    <w:pStyle w:val="45"/>
                    <w:rPr>
                      <w:rFonts w:hint="default"/>
                      <w:b w:val="0"/>
                      <w:bCs w:val="0"/>
                      <w:u w:val="none"/>
                    </w:rPr>
                  </w:pPr>
                  <w:r>
                    <w:rPr>
                      <w:b w:val="0"/>
                      <w:bCs w:val="0"/>
                      <w:u w:val="none"/>
                    </w:rPr>
                    <w:t>12</w:t>
                  </w:r>
                </w:p>
              </w:tc>
              <w:tc>
                <w:tcPr>
                  <w:tcW w:w="1513" w:type="dxa"/>
                  <w:tcBorders>
                    <w:tl2br w:val="nil"/>
                    <w:tr2bl w:val="nil"/>
                  </w:tcBorders>
                  <w:shd w:val="clear" w:color="auto" w:fill="auto"/>
                  <w:vAlign w:val="center"/>
                </w:tcPr>
                <w:p w14:paraId="71706D69">
                  <w:pPr>
                    <w:pStyle w:val="45"/>
                    <w:rPr>
                      <w:rFonts w:hint="default"/>
                      <w:b w:val="0"/>
                      <w:bCs w:val="0"/>
                      <w:u w:val="none"/>
                    </w:rPr>
                  </w:pPr>
                  <w:r>
                    <w:rPr>
                      <w:b w:val="0"/>
                      <w:bCs w:val="0"/>
                      <w:u w:val="none"/>
                    </w:rPr>
                    <w:t>氨冰机（高压）</w:t>
                  </w:r>
                </w:p>
              </w:tc>
              <w:tc>
                <w:tcPr>
                  <w:tcW w:w="2569" w:type="dxa"/>
                  <w:tcBorders>
                    <w:tl2br w:val="nil"/>
                    <w:tr2bl w:val="nil"/>
                  </w:tcBorders>
                  <w:shd w:val="clear" w:color="auto" w:fill="auto"/>
                  <w:vAlign w:val="center"/>
                </w:tcPr>
                <w:p w14:paraId="0122519B">
                  <w:pPr>
                    <w:pStyle w:val="45"/>
                    <w:rPr>
                      <w:rFonts w:hint="default"/>
                      <w:b w:val="0"/>
                      <w:bCs w:val="0"/>
                      <w:u w:val="none"/>
                    </w:rPr>
                  </w:pPr>
                  <w:r>
                    <w:rPr>
                      <w:rFonts w:hint="default"/>
                      <w:b w:val="0"/>
                      <w:bCs w:val="0"/>
                      <w:u w:val="none"/>
                    </w:rPr>
                    <w:t>LG25TYA</w:t>
                  </w:r>
                </w:p>
              </w:tc>
              <w:tc>
                <w:tcPr>
                  <w:tcW w:w="982" w:type="dxa"/>
                  <w:tcBorders>
                    <w:tl2br w:val="nil"/>
                    <w:tr2bl w:val="nil"/>
                  </w:tcBorders>
                  <w:shd w:val="clear" w:color="auto" w:fill="auto"/>
                  <w:vAlign w:val="center"/>
                </w:tcPr>
                <w:p w14:paraId="1CA14F8C">
                  <w:pPr>
                    <w:pStyle w:val="45"/>
                    <w:rPr>
                      <w:rFonts w:hint="default"/>
                      <w:b w:val="0"/>
                      <w:bCs w:val="0"/>
                      <w:u w:val="none"/>
                    </w:rPr>
                  </w:pPr>
                  <w:r>
                    <w:rPr>
                      <w:b w:val="0"/>
                      <w:bCs w:val="0"/>
                      <w:u w:val="none"/>
                    </w:rPr>
                    <w:t>台</w:t>
                  </w:r>
                </w:p>
              </w:tc>
              <w:tc>
                <w:tcPr>
                  <w:tcW w:w="989" w:type="dxa"/>
                  <w:tcBorders>
                    <w:tl2br w:val="nil"/>
                    <w:tr2bl w:val="nil"/>
                  </w:tcBorders>
                  <w:shd w:val="clear" w:color="auto" w:fill="auto"/>
                  <w:vAlign w:val="center"/>
                </w:tcPr>
                <w:p w14:paraId="73757617">
                  <w:pPr>
                    <w:pStyle w:val="45"/>
                    <w:rPr>
                      <w:rFonts w:hint="default"/>
                      <w:b w:val="0"/>
                      <w:bCs w:val="0"/>
                      <w:u w:val="none"/>
                    </w:rPr>
                  </w:pPr>
                  <w:r>
                    <w:rPr>
                      <w:rFonts w:hint="default"/>
                      <w:b w:val="0"/>
                      <w:bCs w:val="0"/>
                      <w:u w:val="none"/>
                    </w:rPr>
                    <w:t>1</w:t>
                  </w:r>
                </w:p>
              </w:tc>
            </w:tr>
            <w:tr w14:paraId="74BC429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46EE475F">
                  <w:pPr>
                    <w:pStyle w:val="45"/>
                    <w:rPr>
                      <w:rFonts w:hint="default"/>
                      <w:b w:val="0"/>
                      <w:bCs w:val="0"/>
                      <w:u w:val="none"/>
                    </w:rPr>
                  </w:pPr>
                  <w:r>
                    <w:rPr>
                      <w:b w:val="0"/>
                      <w:bCs w:val="0"/>
                      <w:u w:val="none"/>
                    </w:rPr>
                    <w:t>13</w:t>
                  </w:r>
                </w:p>
              </w:tc>
              <w:tc>
                <w:tcPr>
                  <w:tcW w:w="1513" w:type="dxa"/>
                  <w:tcBorders>
                    <w:tl2br w:val="nil"/>
                    <w:tr2bl w:val="nil"/>
                  </w:tcBorders>
                  <w:shd w:val="clear" w:color="auto" w:fill="auto"/>
                  <w:vAlign w:val="center"/>
                </w:tcPr>
                <w:p w14:paraId="3E34E88B">
                  <w:pPr>
                    <w:pStyle w:val="45"/>
                    <w:rPr>
                      <w:rFonts w:hint="default"/>
                      <w:b w:val="0"/>
                      <w:bCs w:val="0"/>
                      <w:u w:val="none"/>
                    </w:rPr>
                  </w:pPr>
                  <w:r>
                    <w:rPr>
                      <w:b w:val="0"/>
                      <w:bCs w:val="0"/>
                      <w:u w:val="none"/>
                    </w:rPr>
                    <w:t>氨冰机（低压）</w:t>
                  </w:r>
                </w:p>
              </w:tc>
              <w:tc>
                <w:tcPr>
                  <w:tcW w:w="2569" w:type="dxa"/>
                  <w:tcBorders>
                    <w:tl2br w:val="nil"/>
                    <w:tr2bl w:val="nil"/>
                  </w:tcBorders>
                  <w:shd w:val="clear" w:color="auto" w:fill="auto"/>
                  <w:vAlign w:val="center"/>
                </w:tcPr>
                <w:p w14:paraId="0EC9FEF5">
                  <w:pPr>
                    <w:pStyle w:val="45"/>
                    <w:rPr>
                      <w:rFonts w:hint="default"/>
                      <w:b w:val="0"/>
                      <w:bCs w:val="0"/>
                      <w:u w:val="none"/>
                    </w:rPr>
                  </w:pPr>
                  <w:r>
                    <w:rPr>
                      <w:rFonts w:hint="default"/>
                      <w:b w:val="0"/>
                      <w:bCs w:val="0"/>
                      <w:u w:val="none"/>
                    </w:rPr>
                    <w:t>LG16MYJA</w:t>
                  </w:r>
                </w:p>
              </w:tc>
              <w:tc>
                <w:tcPr>
                  <w:tcW w:w="982" w:type="dxa"/>
                  <w:tcBorders>
                    <w:tl2br w:val="nil"/>
                    <w:tr2bl w:val="nil"/>
                  </w:tcBorders>
                  <w:shd w:val="clear" w:color="auto" w:fill="auto"/>
                  <w:vAlign w:val="center"/>
                </w:tcPr>
                <w:p w14:paraId="7646A40A">
                  <w:pPr>
                    <w:pStyle w:val="45"/>
                    <w:rPr>
                      <w:rFonts w:hint="default"/>
                      <w:b w:val="0"/>
                      <w:bCs w:val="0"/>
                      <w:u w:val="none"/>
                    </w:rPr>
                  </w:pPr>
                  <w:r>
                    <w:rPr>
                      <w:b w:val="0"/>
                      <w:bCs w:val="0"/>
                      <w:u w:val="none"/>
                    </w:rPr>
                    <w:t>台</w:t>
                  </w:r>
                </w:p>
              </w:tc>
              <w:tc>
                <w:tcPr>
                  <w:tcW w:w="989" w:type="dxa"/>
                  <w:tcBorders>
                    <w:tl2br w:val="nil"/>
                    <w:tr2bl w:val="nil"/>
                  </w:tcBorders>
                  <w:shd w:val="clear" w:color="auto" w:fill="auto"/>
                  <w:vAlign w:val="center"/>
                </w:tcPr>
                <w:p w14:paraId="0F1005D4">
                  <w:pPr>
                    <w:pStyle w:val="45"/>
                    <w:rPr>
                      <w:rFonts w:hint="default"/>
                      <w:b w:val="0"/>
                      <w:bCs w:val="0"/>
                      <w:u w:val="none"/>
                    </w:rPr>
                  </w:pPr>
                  <w:r>
                    <w:rPr>
                      <w:rFonts w:hint="default"/>
                      <w:b w:val="0"/>
                      <w:bCs w:val="0"/>
                      <w:u w:val="none"/>
                    </w:rPr>
                    <w:t>1</w:t>
                  </w:r>
                </w:p>
              </w:tc>
            </w:tr>
            <w:tr w14:paraId="797B9D4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7553C457">
                  <w:pPr>
                    <w:pStyle w:val="45"/>
                    <w:rPr>
                      <w:rFonts w:hint="default"/>
                      <w:b w:val="0"/>
                      <w:bCs w:val="0"/>
                      <w:u w:val="none"/>
                    </w:rPr>
                  </w:pPr>
                  <w:r>
                    <w:rPr>
                      <w:b w:val="0"/>
                      <w:bCs w:val="0"/>
                      <w:u w:val="none"/>
                    </w:rPr>
                    <w:t>14</w:t>
                  </w:r>
                </w:p>
              </w:tc>
              <w:tc>
                <w:tcPr>
                  <w:tcW w:w="1513" w:type="dxa"/>
                  <w:tcBorders>
                    <w:tl2br w:val="nil"/>
                    <w:tr2bl w:val="nil"/>
                  </w:tcBorders>
                  <w:shd w:val="clear" w:color="auto" w:fill="auto"/>
                  <w:vAlign w:val="center"/>
                </w:tcPr>
                <w:p w14:paraId="29A03904">
                  <w:pPr>
                    <w:pStyle w:val="45"/>
                    <w:rPr>
                      <w:rFonts w:hint="default"/>
                      <w:b w:val="0"/>
                      <w:bCs w:val="0"/>
                      <w:u w:val="none"/>
                    </w:rPr>
                  </w:pPr>
                  <w:r>
                    <w:rPr>
                      <w:b w:val="0"/>
                      <w:bCs w:val="0"/>
                      <w:u w:val="none"/>
                    </w:rPr>
                    <w:t>蒸发冷却器</w:t>
                  </w:r>
                </w:p>
              </w:tc>
              <w:tc>
                <w:tcPr>
                  <w:tcW w:w="2569" w:type="dxa"/>
                  <w:tcBorders>
                    <w:tl2br w:val="nil"/>
                    <w:tr2bl w:val="nil"/>
                  </w:tcBorders>
                  <w:shd w:val="clear" w:color="auto" w:fill="auto"/>
                  <w:vAlign w:val="center"/>
                </w:tcPr>
                <w:p w14:paraId="02B8083A">
                  <w:pPr>
                    <w:pStyle w:val="45"/>
                    <w:rPr>
                      <w:rFonts w:hint="default"/>
                      <w:b w:val="0"/>
                      <w:bCs w:val="0"/>
                      <w:u w:val="none"/>
                    </w:rPr>
                  </w:pPr>
                  <w:r>
                    <w:rPr>
                      <w:rFonts w:hint="default"/>
                      <w:b w:val="0"/>
                      <w:bCs w:val="0"/>
                      <w:u w:val="none"/>
                    </w:rPr>
                    <w:t>LNZ1800</w:t>
                  </w:r>
                </w:p>
              </w:tc>
              <w:tc>
                <w:tcPr>
                  <w:tcW w:w="982" w:type="dxa"/>
                  <w:tcBorders>
                    <w:tl2br w:val="nil"/>
                    <w:tr2bl w:val="nil"/>
                  </w:tcBorders>
                  <w:shd w:val="clear" w:color="auto" w:fill="auto"/>
                  <w:vAlign w:val="center"/>
                </w:tcPr>
                <w:p w14:paraId="69204E44">
                  <w:pPr>
                    <w:pStyle w:val="45"/>
                    <w:rPr>
                      <w:rFonts w:hint="default"/>
                      <w:b w:val="0"/>
                      <w:bCs w:val="0"/>
                      <w:u w:val="none"/>
                    </w:rPr>
                  </w:pPr>
                  <w:r>
                    <w:rPr>
                      <w:b w:val="0"/>
                      <w:bCs w:val="0"/>
                      <w:u w:val="none"/>
                    </w:rPr>
                    <w:t>套</w:t>
                  </w:r>
                </w:p>
              </w:tc>
              <w:tc>
                <w:tcPr>
                  <w:tcW w:w="989" w:type="dxa"/>
                  <w:tcBorders>
                    <w:tl2br w:val="nil"/>
                    <w:tr2bl w:val="nil"/>
                  </w:tcBorders>
                  <w:shd w:val="clear" w:color="auto" w:fill="auto"/>
                  <w:vAlign w:val="center"/>
                </w:tcPr>
                <w:p w14:paraId="17678590">
                  <w:pPr>
                    <w:pStyle w:val="45"/>
                    <w:rPr>
                      <w:rFonts w:hint="default"/>
                      <w:b w:val="0"/>
                      <w:bCs w:val="0"/>
                      <w:u w:val="none"/>
                    </w:rPr>
                  </w:pPr>
                  <w:r>
                    <w:rPr>
                      <w:rFonts w:hint="default"/>
                      <w:b w:val="0"/>
                      <w:bCs w:val="0"/>
                      <w:u w:val="none"/>
                    </w:rPr>
                    <w:t>3</w:t>
                  </w:r>
                </w:p>
              </w:tc>
            </w:tr>
            <w:tr w14:paraId="341CABD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164DC74C">
                  <w:pPr>
                    <w:pStyle w:val="45"/>
                    <w:rPr>
                      <w:rFonts w:hint="default"/>
                      <w:b w:val="0"/>
                      <w:bCs w:val="0"/>
                      <w:u w:val="none"/>
                    </w:rPr>
                  </w:pPr>
                  <w:r>
                    <w:rPr>
                      <w:b w:val="0"/>
                      <w:bCs w:val="0"/>
                      <w:u w:val="none"/>
                    </w:rPr>
                    <w:t>15</w:t>
                  </w:r>
                </w:p>
              </w:tc>
              <w:tc>
                <w:tcPr>
                  <w:tcW w:w="1513" w:type="dxa"/>
                  <w:tcBorders>
                    <w:tl2br w:val="nil"/>
                    <w:tr2bl w:val="nil"/>
                  </w:tcBorders>
                  <w:shd w:val="clear" w:color="auto" w:fill="auto"/>
                  <w:vAlign w:val="center"/>
                </w:tcPr>
                <w:p w14:paraId="40E37711">
                  <w:pPr>
                    <w:pStyle w:val="45"/>
                    <w:rPr>
                      <w:rFonts w:hint="default"/>
                      <w:b w:val="0"/>
                      <w:bCs w:val="0"/>
                      <w:u w:val="none"/>
                    </w:rPr>
                  </w:pPr>
                  <w:r>
                    <w:rPr>
                      <w:b w:val="0"/>
                      <w:bCs w:val="0"/>
                      <w:u w:val="none"/>
                    </w:rPr>
                    <w:t>冷媒储液器</w:t>
                  </w:r>
                </w:p>
              </w:tc>
              <w:tc>
                <w:tcPr>
                  <w:tcW w:w="2569" w:type="dxa"/>
                  <w:tcBorders>
                    <w:tl2br w:val="nil"/>
                    <w:tr2bl w:val="nil"/>
                  </w:tcBorders>
                  <w:shd w:val="clear" w:color="auto" w:fill="auto"/>
                  <w:vAlign w:val="center"/>
                </w:tcPr>
                <w:p w14:paraId="715B9373">
                  <w:pPr>
                    <w:pStyle w:val="45"/>
                    <w:rPr>
                      <w:rFonts w:hint="default"/>
                      <w:b w:val="0"/>
                      <w:bCs w:val="0"/>
                      <w:u w:val="none"/>
                    </w:rPr>
                  </w:pPr>
                  <w:r>
                    <w:rPr>
                      <w:rFonts w:hint="default"/>
                      <w:b w:val="0"/>
                      <w:bCs w:val="0"/>
                      <w:u w:val="none"/>
                    </w:rPr>
                    <w:t>/</w:t>
                  </w:r>
                </w:p>
              </w:tc>
              <w:tc>
                <w:tcPr>
                  <w:tcW w:w="982" w:type="dxa"/>
                  <w:tcBorders>
                    <w:tl2br w:val="nil"/>
                    <w:tr2bl w:val="nil"/>
                  </w:tcBorders>
                  <w:shd w:val="clear" w:color="auto" w:fill="auto"/>
                  <w:vAlign w:val="center"/>
                </w:tcPr>
                <w:p w14:paraId="61349F88">
                  <w:pPr>
                    <w:pStyle w:val="45"/>
                    <w:rPr>
                      <w:rFonts w:hint="default"/>
                      <w:b w:val="0"/>
                      <w:bCs w:val="0"/>
                      <w:u w:val="none"/>
                    </w:rPr>
                  </w:pPr>
                  <w:r>
                    <w:rPr>
                      <w:b w:val="0"/>
                      <w:bCs w:val="0"/>
                      <w:u w:val="none"/>
                    </w:rPr>
                    <w:t>台</w:t>
                  </w:r>
                </w:p>
              </w:tc>
              <w:tc>
                <w:tcPr>
                  <w:tcW w:w="989" w:type="dxa"/>
                  <w:tcBorders>
                    <w:tl2br w:val="nil"/>
                    <w:tr2bl w:val="nil"/>
                  </w:tcBorders>
                  <w:shd w:val="clear" w:color="auto" w:fill="auto"/>
                  <w:vAlign w:val="center"/>
                </w:tcPr>
                <w:p w14:paraId="3AD90EE1">
                  <w:pPr>
                    <w:pStyle w:val="45"/>
                    <w:rPr>
                      <w:rFonts w:hint="default"/>
                      <w:b w:val="0"/>
                      <w:bCs w:val="0"/>
                      <w:u w:val="none"/>
                    </w:rPr>
                  </w:pPr>
                  <w:r>
                    <w:rPr>
                      <w:rFonts w:hint="default"/>
                      <w:b w:val="0"/>
                      <w:bCs w:val="0"/>
                      <w:u w:val="none"/>
                    </w:rPr>
                    <w:t>2</w:t>
                  </w:r>
                </w:p>
              </w:tc>
            </w:tr>
            <w:tr w14:paraId="724A6E8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vMerge w:val="restart"/>
                  <w:tcBorders>
                    <w:tl2br w:val="nil"/>
                    <w:tr2bl w:val="nil"/>
                  </w:tcBorders>
                  <w:shd w:val="clear" w:color="auto" w:fill="auto"/>
                  <w:vAlign w:val="center"/>
                </w:tcPr>
                <w:p w14:paraId="4AF98311">
                  <w:pPr>
                    <w:pStyle w:val="45"/>
                    <w:rPr>
                      <w:rFonts w:hint="default"/>
                      <w:b w:val="0"/>
                      <w:bCs w:val="0"/>
                      <w:u w:val="none"/>
                    </w:rPr>
                  </w:pPr>
                  <w:r>
                    <w:rPr>
                      <w:b w:val="0"/>
                      <w:bCs w:val="0"/>
                      <w:u w:val="none"/>
                    </w:rPr>
                    <w:t>16</w:t>
                  </w:r>
                </w:p>
              </w:tc>
              <w:tc>
                <w:tcPr>
                  <w:tcW w:w="1513" w:type="dxa"/>
                  <w:vMerge w:val="restart"/>
                  <w:tcBorders>
                    <w:tl2br w:val="nil"/>
                    <w:tr2bl w:val="nil"/>
                  </w:tcBorders>
                  <w:shd w:val="clear" w:color="auto" w:fill="auto"/>
                  <w:vAlign w:val="center"/>
                </w:tcPr>
                <w:p w14:paraId="6125F7D8">
                  <w:pPr>
                    <w:pStyle w:val="45"/>
                    <w:rPr>
                      <w:rFonts w:hint="default"/>
                      <w:b w:val="0"/>
                      <w:bCs w:val="0"/>
                      <w:color w:val="0000FF"/>
                      <w:u w:val="none"/>
                    </w:rPr>
                  </w:pPr>
                  <w:r>
                    <w:rPr>
                      <w:b w:val="0"/>
                      <w:bCs w:val="0"/>
                      <w:color w:val="0000FF"/>
                      <w:u w:val="none"/>
                    </w:rPr>
                    <w:t>CO</w:t>
                  </w:r>
                  <w:r>
                    <w:rPr>
                      <w:b w:val="0"/>
                      <w:bCs w:val="0"/>
                      <w:color w:val="0000FF"/>
                      <w:u w:val="none"/>
                      <w:vertAlign w:val="subscript"/>
                    </w:rPr>
                    <w:t>2</w:t>
                  </w:r>
                  <w:r>
                    <w:rPr>
                      <w:b w:val="0"/>
                      <w:bCs w:val="0"/>
                      <w:color w:val="0000FF"/>
                      <w:u w:val="none"/>
                    </w:rPr>
                    <w:t>储罐</w:t>
                  </w:r>
                </w:p>
              </w:tc>
              <w:tc>
                <w:tcPr>
                  <w:tcW w:w="2569" w:type="dxa"/>
                  <w:tcBorders>
                    <w:tl2br w:val="nil"/>
                    <w:tr2bl w:val="nil"/>
                  </w:tcBorders>
                  <w:shd w:val="clear" w:color="auto" w:fill="auto"/>
                  <w:vAlign w:val="center"/>
                </w:tcPr>
                <w:p w14:paraId="08A1FD0D">
                  <w:pPr>
                    <w:pStyle w:val="45"/>
                    <w:rPr>
                      <w:rFonts w:hint="default"/>
                      <w:b w:val="0"/>
                      <w:bCs w:val="0"/>
                      <w:color w:val="0000FF"/>
                      <w:u w:val="none"/>
                    </w:rPr>
                  </w:pPr>
                  <w:r>
                    <w:rPr>
                      <w:rFonts w:hint="default"/>
                      <w:b w:val="0"/>
                      <w:bCs w:val="0"/>
                      <w:color w:val="0000FF"/>
                      <w:u w:val="none"/>
                    </w:rPr>
                    <w:t>2000m</w:t>
                  </w:r>
                  <w:r>
                    <w:rPr>
                      <w:rFonts w:hint="default"/>
                      <w:b w:val="0"/>
                      <w:bCs w:val="0"/>
                      <w:color w:val="0000FF"/>
                      <w:u w:val="none"/>
                      <w:vertAlign w:val="superscript"/>
                    </w:rPr>
                    <w:t>3</w:t>
                  </w:r>
                  <w:r>
                    <w:rPr>
                      <w:rFonts w:hint="default"/>
                      <w:b w:val="0"/>
                      <w:bCs w:val="0"/>
                      <w:color w:val="0000FF"/>
                      <w:u w:val="none"/>
                    </w:rPr>
                    <w:t>球罐</w:t>
                  </w:r>
                </w:p>
              </w:tc>
              <w:tc>
                <w:tcPr>
                  <w:tcW w:w="982" w:type="dxa"/>
                  <w:tcBorders>
                    <w:tl2br w:val="nil"/>
                    <w:tr2bl w:val="nil"/>
                  </w:tcBorders>
                  <w:shd w:val="clear" w:color="auto" w:fill="auto"/>
                  <w:vAlign w:val="center"/>
                </w:tcPr>
                <w:p w14:paraId="49759E8F">
                  <w:pPr>
                    <w:pStyle w:val="45"/>
                    <w:rPr>
                      <w:rFonts w:hint="default"/>
                      <w:b w:val="0"/>
                      <w:bCs w:val="0"/>
                      <w:color w:val="0000FF"/>
                      <w:u w:val="none"/>
                    </w:rPr>
                  </w:pPr>
                  <w:r>
                    <w:rPr>
                      <w:b w:val="0"/>
                      <w:bCs w:val="0"/>
                      <w:color w:val="0000FF"/>
                      <w:u w:val="none"/>
                    </w:rPr>
                    <w:t>个</w:t>
                  </w:r>
                </w:p>
              </w:tc>
              <w:tc>
                <w:tcPr>
                  <w:tcW w:w="989" w:type="dxa"/>
                  <w:tcBorders>
                    <w:tl2br w:val="nil"/>
                    <w:tr2bl w:val="nil"/>
                  </w:tcBorders>
                  <w:shd w:val="clear" w:color="auto" w:fill="auto"/>
                  <w:vAlign w:val="center"/>
                </w:tcPr>
                <w:p w14:paraId="4050AEB0">
                  <w:pPr>
                    <w:pStyle w:val="45"/>
                    <w:rPr>
                      <w:rFonts w:hint="default"/>
                      <w:b w:val="0"/>
                      <w:bCs w:val="0"/>
                      <w:color w:val="0000FF"/>
                      <w:u w:val="none"/>
                    </w:rPr>
                  </w:pPr>
                  <w:r>
                    <w:rPr>
                      <w:b w:val="0"/>
                      <w:bCs w:val="0"/>
                      <w:color w:val="0000FF"/>
                      <w:u w:val="none"/>
                    </w:rPr>
                    <w:t>1</w:t>
                  </w:r>
                </w:p>
              </w:tc>
            </w:tr>
            <w:tr w14:paraId="508F974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vMerge w:val="continue"/>
                  <w:tcBorders>
                    <w:tl2br w:val="nil"/>
                    <w:tr2bl w:val="nil"/>
                  </w:tcBorders>
                  <w:shd w:val="clear" w:color="auto" w:fill="auto"/>
                  <w:vAlign w:val="center"/>
                </w:tcPr>
                <w:p w14:paraId="2C7E192A">
                  <w:pPr>
                    <w:pStyle w:val="45"/>
                    <w:rPr>
                      <w:rFonts w:hint="default"/>
                      <w:b w:val="0"/>
                      <w:bCs w:val="0"/>
                      <w:u w:val="none"/>
                    </w:rPr>
                  </w:pPr>
                </w:p>
              </w:tc>
              <w:tc>
                <w:tcPr>
                  <w:tcW w:w="1513" w:type="dxa"/>
                  <w:vMerge w:val="continue"/>
                  <w:tcBorders>
                    <w:tl2br w:val="nil"/>
                    <w:tr2bl w:val="nil"/>
                  </w:tcBorders>
                  <w:shd w:val="clear" w:color="auto" w:fill="auto"/>
                  <w:vAlign w:val="center"/>
                </w:tcPr>
                <w:p w14:paraId="7C98330D">
                  <w:pPr>
                    <w:pStyle w:val="45"/>
                    <w:rPr>
                      <w:rFonts w:hint="default"/>
                      <w:b w:val="0"/>
                      <w:bCs w:val="0"/>
                      <w:color w:val="0000FF"/>
                      <w:u w:val="none"/>
                    </w:rPr>
                  </w:pPr>
                </w:p>
              </w:tc>
              <w:tc>
                <w:tcPr>
                  <w:tcW w:w="2569" w:type="dxa"/>
                  <w:tcBorders>
                    <w:tl2br w:val="nil"/>
                    <w:tr2bl w:val="nil"/>
                  </w:tcBorders>
                  <w:shd w:val="clear" w:color="auto" w:fill="auto"/>
                  <w:vAlign w:val="center"/>
                </w:tcPr>
                <w:p w14:paraId="75EB6EE8">
                  <w:pPr>
                    <w:pStyle w:val="45"/>
                    <w:rPr>
                      <w:rFonts w:hint="default"/>
                      <w:b w:val="0"/>
                      <w:bCs w:val="0"/>
                      <w:color w:val="0000FF"/>
                      <w:u w:val="none"/>
                    </w:rPr>
                  </w:pPr>
                  <w:r>
                    <w:rPr>
                      <w:rFonts w:hint="default"/>
                      <w:b w:val="0"/>
                      <w:bCs w:val="0"/>
                      <w:color w:val="0000FF"/>
                      <w:u w:val="none"/>
                    </w:rPr>
                    <w:t>200m</w:t>
                  </w:r>
                  <w:r>
                    <w:rPr>
                      <w:rFonts w:hint="default"/>
                      <w:b w:val="0"/>
                      <w:bCs w:val="0"/>
                      <w:color w:val="0000FF"/>
                      <w:u w:val="none"/>
                      <w:vertAlign w:val="superscript"/>
                    </w:rPr>
                    <w:t>3</w:t>
                  </w:r>
                  <w:r>
                    <w:rPr>
                      <w:b w:val="0"/>
                      <w:bCs w:val="0"/>
                      <w:color w:val="0000FF"/>
                      <w:u w:val="none"/>
                    </w:rPr>
                    <w:t>立</w:t>
                  </w:r>
                  <w:r>
                    <w:rPr>
                      <w:rFonts w:hint="default"/>
                      <w:b w:val="0"/>
                      <w:bCs w:val="0"/>
                      <w:color w:val="0000FF"/>
                      <w:u w:val="none"/>
                    </w:rPr>
                    <w:t>罐</w:t>
                  </w:r>
                </w:p>
              </w:tc>
              <w:tc>
                <w:tcPr>
                  <w:tcW w:w="982" w:type="dxa"/>
                  <w:tcBorders>
                    <w:tl2br w:val="nil"/>
                    <w:tr2bl w:val="nil"/>
                  </w:tcBorders>
                  <w:shd w:val="clear" w:color="auto" w:fill="auto"/>
                  <w:vAlign w:val="center"/>
                </w:tcPr>
                <w:p w14:paraId="640ABDC7">
                  <w:pPr>
                    <w:pStyle w:val="45"/>
                    <w:rPr>
                      <w:rFonts w:hint="default"/>
                      <w:b w:val="0"/>
                      <w:bCs w:val="0"/>
                      <w:color w:val="0000FF"/>
                      <w:u w:val="none"/>
                    </w:rPr>
                  </w:pPr>
                  <w:r>
                    <w:rPr>
                      <w:b w:val="0"/>
                      <w:bCs w:val="0"/>
                      <w:color w:val="0000FF"/>
                      <w:u w:val="none"/>
                    </w:rPr>
                    <w:t>个</w:t>
                  </w:r>
                </w:p>
              </w:tc>
              <w:tc>
                <w:tcPr>
                  <w:tcW w:w="989" w:type="dxa"/>
                  <w:tcBorders>
                    <w:tl2br w:val="nil"/>
                    <w:tr2bl w:val="nil"/>
                  </w:tcBorders>
                  <w:shd w:val="clear" w:color="auto" w:fill="auto"/>
                  <w:vAlign w:val="center"/>
                </w:tcPr>
                <w:p w14:paraId="0B1F731B">
                  <w:pPr>
                    <w:pStyle w:val="45"/>
                    <w:rPr>
                      <w:rFonts w:hint="default"/>
                      <w:b w:val="0"/>
                      <w:bCs w:val="0"/>
                      <w:color w:val="0000FF"/>
                      <w:u w:val="none"/>
                    </w:rPr>
                  </w:pPr>
                  <w:r>
                    <w:rPr>
                      <w:b w:val="0"/>
                      <w:bCs w:val="0"/>
                      <w:color w:val="0000FF"/>
                      <w:u w:val="none"/>
                    </w:rPr>
                    <w:t>4</w:t>
                  </w:r>
                </w:p>
              </w:tc>
            </w:tr>
            <w:tr w14:paraId="288C425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2FABF2D6">
                  <w:pPr>
                    <w:pStyle w:val="45"/>
                    <w:rPr>
                      <w:rFonts w:hint="default"/>
                      <w:b w:val="0"/>
                      <w:bCs w:val="0"/>
                      <w:u w:val="none"/>
                    </w:rPr>
                  </w:pPr>
                  <w:r>
                    <w:rPr>
                      <w:b w:val="0"/>
                      <w:bCs w:val="0"/>
                      <w:u w:val="none"/>
                    </w:rPr>
                    <w:t>17</w:t>
                  </w:r>
                </w:p>
              </w:tc>
              <w:tc>
                <w:tcPr>
                  <w:tcW w:w="1513" w:type="dxa"/>
                  <w:tcBorders>
                    <w:tl2br w:val="nil"/>
                    <w:tr2bl w:val="nil"/>
                  </w:tcBorders>
                  <w:shd w:val="clear" w:color="auto" w:fill="auto"/>
                  <w:vAlign w:val="center"/>
                </w:tcPr>
                <w:p w14:paraId="728FC65E">
                  <w:pPr>
                    <w:pStyle w:val="45"/>
                    <w:rPr>
                      <w:rFonts w:hint="default"/>
                      <w:b w:val="0"/>
                      <w:bCs w:val="0"/>
                      <w:u w:val="none"/>
                    </w:rPr>
                  </w:pPr>
                  <w:r>
                    <w:rPr>
                      <w:b w:val="0"/>
                      <w:bCs w:val="0"/>
                      <w:u w:val="none"/>
                    </w:rPr>
                    <w:t>脱轻塔</w:t>
                  </w:r>
                </w:p>
              </w:tc>
              <w:tc>
                <w:tcPr>
                  <w:tcW w:w="2569" w:type="dxa"/>
                  <w:tcBorders>
                    <w:tl2br w:val="nil"/>
                    <w:tr2bl w:val="nil"/>
                  </w:tcBorders>
                  <w:shd w:val="clear" w:color="auto" w:fill="auto"/>
                  <w:vAlign w:val="center"/>
                </w:tcPr>
                <w:p w14:paraId="10BA010F">
                  <w:pPr>
                    <w:pStyle w:val="45"/>
                    <w:rPr>
                      <w:rFonts w:hint="default"/>
                      <w:b w:val="0"/>
                      <w:bCs w:val="0"/>
                      <w:u w:val="none"/>
                    </w:rPr>
                  </w:pPr>
                  <w:r>
                    <w:rPr>
                      <w:rFonts w:hint="default"/>
                      <w:b w:val="0"/>
                      <w:bCs w:val="0"/>
                      <w:u w:val="none"/>
                    </w:rPr>
                    <w:t>φ600/800,H=18350</w:t>
                  </w:r>
                </w:p>
              </w:tc>
              <w:tc>
                <w:tcPr>
                  <w:tcW w:w="982" w:type="dxa"/>
                  <w:tcBorders>
                    <w:tl2br w:val="nil"/>
                    <w:tr2bl w:val="nil"/>
                  </w:tcBorders>
                  <w:shd w:val="clear" w:color="auto" w:fill="auto"/>
                  <w:vAlign w:val="center"/>
                </w:tcPr>
                <w:p w14:paraId="4AC74822">
                  <w:pPr>
                    <w:pStyle w:val="45"/>
                    <w:rPr>
                      <w:rFonts w:hint="default"/>
                      <w:b w:val="0"/>
                      <w:bCs w:val="0"/>
                      <w:u w:val="none"/>
                    </w:rPr>
                  </w:pPr>
                  <w:r>
                    <w:rPr>
                      <w:b w:val="0"/>
                      <w:bCs w:val="0"/>
                      <w:u w:val="none"/>
                    </w:rPr>
                    <w:t>台</w:t>
                  </w:r>
                </w:p>
              </w:tc>
              <w:tc>
                <w:tcPr>
                  <w:tcW w:w="989" w:type="dxa"/>
                  <w:tcBorders>
                    <w:tl2br w:val="nil"/>
                    <w:tr2bl w:val="nil"/>
                  </w:tcBorders>
                  <w:shd w:val="clear" w:color="auto" w:fill="auto"/>
                  <w:vAlign w:val="center"/>
                </w:tcPr>
                <w:p w14:paraId="5A271638">
                  <w:pPr>
                    <w:pStyle w:val="45"/>
                    <w:rPr>
                      <w:rFonts w:hint="default"/>
                      <w:b w:val="0"/>
                      <w:bCs w:val="0"/>
                      <w:u w:val="none"/>
                    </w:rPr>
                  </w:pPr>
                  <w:r>
                    <w:rPr>
                      <w:rFonts w:hint="default"/>
                      <w:b w:val="0"/>
                      <w:bCs w:val="0"/>
                      <w:u w:val="none"/>
                    </w:rPr>
                    <w:t>1</w:t>
                  </w:r>
                </w:p>
              </w:tc>
            </w:tr>
            <w:tr w14:paraId="377BA58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27D95E25">
                  <w:pPr>
                    <w:pStyle w:val="45"/>
                    <w:rPr>
                      <w:rFonts w:hint="default"/>
                      <w:b w:val="0"/>
                      <w:bCs w:val="0"/>
                      <w:u w:val="none"/>
                    </w:rPr>
                  </w:pPr>
                  <w:r>
                    <w:rPr>
                      <w:b w:val="0"/>
                      <w:bCs w:val="0"/>
                      <w:u w:val="none"/>
                    </w:rPr>
                    <w:t>18</w:t>
                  </w:r>
                </w:p>
              </w:tc>
              <w:tc>
                <w:tcPr>
                  <w:tcW w:w="1513" w:type="dxa"/>
                  <w:tcBorders>
                    <w:tl2br w:val="nil"/>
                    <w:tr2bl w:val="nil"/>
                  </w:tcBorders>
                  <w:shd w:val="clear" w:color="auto" w:fill="auto"/>
                  <w:vAlign w:val="center"/>
                </w:tcPr>
                <w:p w14:paraId="58FD6BCF">
                  <w:pPr>
                    <w:pStyle w:val="45"/>
                    <w:rPr>
                      <w:rFonts w:hint="default"/>
                      <w:b w:val="0"/>
                      <w:bCs w:val="0"/>
                      <w:u w:val="none"/>
                    </w:rPr>
                  </w:pPr>
                  <w:r>
                    <w:rPr>
                      <w:b w:val="0"/>
                      <w:bCs w:val="0"/>
                      <w:u w:val="none"/>
                    </w:rPr>
                    <w:t>脱重塔</w:t>
                  </w:r>
                </w:p>
              </w:tc>
              <w:tc>
                <w:tcPr>
                  <w:tcW w:w="2569" w:type="dxa"/>
                  <w:tcBorders>
                    <w:tl2br w:val="nil"/>
                    <w:tr2bl w:val="nil"/>
                  </w:tcBorders>
                  <w:shd w:val="clear" w:color="auto" w:fill="auto"/>
                  <w:vAlign w:val="center"/>
                </w:tcPr>
                <w:p w14:paraId="0D1DD126">
                  <w:pPr>
                    <w:pStyle w:val="45"/>
                    <w:rPr>
                      <w:rFonts w:hint="default"/>
                      <w:b w:val="0"/>
                      <w:bCs w:val="0"/>
                      <w:u w:val="none"/>
                    </w:rPr>
                  </w:pPr>
                  <w:r>
                    <w:rPr>
                      <w:rFonts w:hint="default"/>
                      <w:b w:val="0"/>
                      <w:bCs w:val="0"/>
                      <w:u w:val="none"/>
                    </w:rPr>
                    <w:t>φ500/700,H=19700</w:t>
                  </w:r>
                </w:p>
              </w:tc>
              <w:tc>
                <w:tcPr>
                  <w:tcW w:w="982" w:type="dxa"/>
                  <w:tcBorders>
                    <w:tl2br w:val="nil"/>
                    <w:tr2bl w:val="nil"/>
                  </w:tcBorders>
                  <w:shd w:val="clear" w:color="auto" w:fill="auto"/>
                  <w:vAlign w:val="center"/>
                </w:tcPr>
                <w:p w14:paraId="4BED5653">
                  <w:pPr>
                    <w:pStyle w:val="45"/>
                    <w:rPr>
                      <w:rFonts w:hint="default"/>
                      <w:b w:val="0"/>
                      <w:bCs w:val="0"/>
                      <w:u w:val="none"/>
                    </w:rPr>
                  </w:pPr>
                  <w:r>
                    <w:rPr>
                      <w:b w:val="0"/>
                      <w:bCs w:val="0"/>
                      <w:u w:val="none"/>
                    </w:rPr>
                    <w:t>台</w:t>
                  </w:r>
                </w:p>
              </w:tc>
              <w:tc>
                <w:tcPr>
                  <w:tcW w:w="989" w:type="dxa"/>
                  <w:tcBorders>
                    <w:tl2br w:val="nil"/>
                    <w:tr2bl w:val="nil"/>
                  </w:tcBorders>
                  <w:shd w:val="clear" w:color="auto" w:fill="auto"/>
                  <w:vAlign w:val="center"/>
                </w:tcPr>
                <w:p w14:paraId="6B159ED8">
                  <w:pPr>
                    <w:pStyle w:val="45"/>
                    <w:rPr>
                      <w:rFonts w:hint="default"/>
                      <w:b w:val="0"/>
                      <w:bCs w:val="0"/>
                      <w:u w:val="none"/>
                    </w:rPr>
                  </w:pPr>
                  <w:r>
                    <w:rPr>
                      <w:rFonts w:hint="default"/>
                      <w:b w:val="0"/>
                      <w:bCs w:val="0"/>
                      <w:u w:val="none"/>
                    </w:rPr>
                    <w:t>1</w:t>
                  </w:r>
                </w:p>
              </w:tc>
            </w:tr>
            <w:tr w14:paraId="2ABEFFB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1D890208">
                  <w:pPr>
                    <w:pStyle w:val="45"/>
                    <w:rPr>
                      <w:rFonts w:hint="default"/>
                      <w:b w:val="0"/>
                      <w:bCs w:val="0"/>
                      <w:u w:val="none"/>
                    </w:rPr>
                  </w:pPr>
                  <w:r>
                    <w:rPr>
                      <w:b w:val="0"/>
                      <w:bCs w:val="0"/>
                      <w:u w:val="none"/>
                    </w:rPr>
                    <w:t>19</w:t>
                  </w:r>
                </w:p>
              </w:tc>
              <w:tc>
                <w:tcPr>
                  <w:tcW w:w="1513" w:type="dxa"/>
                  <w:tcBorders>
                    <w:tl2br w:val="nil"/>
                    <w:tr2bl w:val="nil"/>
                  </w:tcBorders>
                  <w:shd w:val="clear" w:color="auto" w:fill="auto"/>
                  <w:vAlign w:val="center"/>
                </w:tcPr>
                <w:p w14:paraId="2C1FC147">
                  <w:pPr>
                    <w:pStyle w:val="45"/>
                    <w:rPr>
                      <w:rFonts w:hint="default"/>
                      <w:b w:val="0"/>
                      <w:bCs w:val="0"/>
                      <w:u w:val="none"/>
                    </w:rPr>
                  </w:pPr>
                  <w:r>
                    <w:rPr>
                      <w:b w:val="0"/>
                      <w:bCs w:val="0"/>
                      <w:u w:val="none"/>
                    </w:rPr>
                    <w:t>脱轻塔冷凝器</w:t>
                  </w:r>
                </w:p>
              </w:tc>
              <w:tc>
                <w:tcPr>
                  <w:tcW w:w="2569" w:type="dxa"/>
                  <w:tcBorders>
                    <w:tl2br w:val="nil"/>
                    <w:tr2bl w:val="nil"/>
                  </w:tcBorders>
                  <w:shd w:val="clear" w:color="auto" w:fill="auto"/>
                  <w:vAlign w:val="center"/>
                </w:tcPr>
                <w:p w14:paraId="59468880">
                  <w:pPr>
                    <w:pStyle w:val="45"/>
                    <w:rPr>
                      <w:rFonts w:hint="default"/>
                      <w:b w:val="0"/>
                      <w:bCs w:val="0"/>
                      <w:u w:val="none"/>
                    </w:rPr>
                  </w:pPr>
                  <w:r>
                    <w:rPr>
                      <w:rFonts w:hint="default"/>
                      <w:b w:val="0"/>
                      <w:bCs w:val="0"/>
                      <w:u w:val="none"/>
                    </w:rPr>
                    <w:t>φ400,L=3000  F=25.3m</w:t>
                  </w:r>
                  <w:r>
                    <w:rPr>
                      <w:rFonts w:hint="default"/>
                      <w:b w:val="0"/>
                      <w:bCs w:val="0"/>
                      <w:u w:val="none"/>
                      <w:vertAlign w:val="superscript"/>
                    </w:rPr>
                    <w:t>2</w:t>
                  </w:r>
                </w:p>
              </w:tc>
              <w:tc>
                <w:tcPr>
                  <w:tcW w:w="982" w:type="dxa"/>
                  <w:tcBorders>
                    <w:tl2br w:val="nil"/>
                    <w:tr2bl w:val="nil"/>
                  </w:tcBorders>
                  <w:shd w:val="clear" w:color="auto" w:fill="auto"/>
                  <w:vAlign w:val="center"/>
                </w:tcPr>
                <w:p w14:paraId="01EF69D3">
                  <w:pPr>
                    <w:pStyle w:val="45"/>
                    <w:rPr>
                      <w:rFonts w:hint="default"/>
                      <w:b w:val="0"/>
                      <w:bCs w:val="0"/>
                      <w:u w:val="none"/>
                    </w:rPr>
                  </w:pPr>
                  <w:r>
                    <w:rPr>
                      <w:b w:val="0"/>
                      <w:bCs w:val="0"/>
                      <w:u w:val="none"/>
                    </w:rPr>
                    <w:t>个</w:t>
                  </w:r>
                </w:p>
              </w:tc>
              <w:tc>
                <w:tcPr>
                  <w:tcW w:w="989" w:type="dxa"/>
                  <w:tcBorders>
                    <w:tl2br w:val="nil"/>
                    <w:tr2bl w:val="nil"/>
                  </w:tcBorders>
                  <w:shd w:val="clear" w:color="auto" w:fill="auto"/>
                  <w:vAlign w:val="center"/>
                </w:tcPr>
                <w:p w14:paraId="58BB7687">
                  <w:pPr>
                    <w:pStyle w:val="45"/>
                    <w:rPr>
                      <w:rFonts w:hint="default"/>
                      <w:b w:val="0"/>
                      <w:bCs w:val="0"/>
                      <w:u w:val="none"/>
                    </w:rPr>
                  </w:pPr>
                  <w:r>
                    <w:rPr>
                      <w:rFonts w:hint="default"/>
                      <w:b w:val="0"/>
                      <w:bCs w:val="0"/>
                      <w:u w:val="none"/>
                    </w:rPr>
                    <w:t>1</w:t>
                  </w:r>
                </w:p>
              </w:tc>
            </w:tr>
            <w:tr w14:paraId="5205473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7C643AA9">
                  <w:pPr>
                    <w:pStyle w:val="45"/>
                    <w:rPr>
                      <w:rFonts w:hint="default"/>
                      <w:b w:val="0"/>
                      <w:bCs w:val="0"/>
                      <w:u w:val="none"/>
                    </w:rPr>
                  </w:pPr>
                  <w:r>
                    <w:rPr>
                      <w:b w:val="0"/>
                      <w:bCs w:val="0"/>
                      <w:u w:val="none"/>
                    </w:rPr>
                    <w:t>20</w:t>
                  </w:r>
                </w:p>
              </w:tc>
              <w:tc>
                <w:tcPr>
                  <w:tcW w:w="1513" w:type="dxa"/>
                  <w:tcBorders>
                    <w:tl2br w:val="nil"/>
                    <w:tr2bl w:val="nil"/>
                  </w:tcBorders>
                  <w:shd w:val="clear" w:color="auto" w:fill="auto"/>
                  <w:vAlign w:val="center"/>
                </w:tcPr>
                <w:p w14:paraId="2C2B4DEC">
                  <w:pPr>
                    <w:pStyle w:val="45"/>
                    <w:rPr>
                      <w:rFonts w:hint="default"/>
                      <w:b w:val="0"/>
                      <w:bCs w:val="0"/>
                      <w:u w:val="none"/>
                    </w:rPr>
                  </w:pPr>
                  <w:r>
                    <w:rPr>
                      <w:b w:val="0"/>
                      <w:bCs w:val="0"/>
                      <w:u w:val="none"/>
                    </w:rPr>
                    <w:t>脱轻塔再沸器</w:t>
                  </w:r>
                </w:p>
              </w:tc>
              <w:tc>
                <w:tcPr>
                  <w:tcW w:w="2569" w:type="dxa"/>
                  <w:tcBorders>
                    <w:tl2br w:val="nil"/>
                    <w:tr2bl w:val="nil"/>
                  </w:tcBorders>
                  <w:shd w:val="clear" w:color="auto" w:fill="auto"/>
                  <w:vAlign w:val="center"/>
                </w:tcPr>
                <w:p w14:paraId="14591933">
                  <w:pPr>
                    <w:pStyle w:val="45"/>
                    <w:rPr>
                      <w:rFonts w:hint="default"/>
                      <w:b w:val="0"/>
                      <w:bCs w:val="0"/>
                      <w:u w:val="none"/>
                    </w:rPr>
                  </w:pPr>
                  <w:r>
                    <w:rPr>
                      <w:rFonts w:hint="default"/>
                      <w:b w:val="0"/>
                      <w:bCs w:val="0"/>
                      <w:u w:val="none"/>
                    </w:rPr>
                    <w:t>φ450,H=2000  F=20.1m</w:t>
                  </w:r>
                  <w:r>
                    <w:rPr>
                      <w:rFonts w:hint="default"/>
                      <w:b w:val="0"/>
                      <w:bCs w:val="0"/>
                      <w:u w:val="none"/>
                      <w:vertAlign w:val="superscript"/>
                    </w:rPr>
                    <w:t>2</w:t>
                  </w:r>
                </w:p>
              </w:tc>
              <w:tc>
                <w:tcPr>
                  <w:tcW w:w="982" w:type="dxa"/>
                  <w:tcBorders>
                    <w:tl2br w:val="nil"/>
                    <w:tr2bl w:val="nil"/>
                  </w:tcBorders>
                  <w:shd w:val="clear" w:color="auto" w:fill="auto"/>
                  <w:vAlign w:val="center"/>
                </w:tcPr>
                <w:p w14:paraId="3928716D">
                  <w:pPr>
                    <w:pStyle w:val="45"/>
                    <w:rPr>
                      <w:rFonts w:hint="default"/>
                      <w:b w:val="0"/>
                      <w:bCs w:val="0"/>
                      <w:u w:val="none"/>
                    </w:rPr>
                  </w:pPr>
                  <w:r>
                    <w:rPr>
                      <w:b w:val="0"/>
                      <w:bCs w:val="0"/>
                      <w:u w:val="none"/>
                    </w:rPr>
                    <w:t>个</w:t>
                  </w:r>
                </w:p>
              </w:tc>
              <w:tc>
                <w:tcPr>
                  <w:tcW w:w="989" w:type="dxa"/>
                  <w:tcBorders>
                    <w:tl2br w:val="nil"/>
                    <w:tr2bl w:val="nil"/>
                  </w:tcBorders>
                  <w:shd w:val="clear" w:color="auto" w:fill="auto"/>
                  <w:vAlign w:val="center"/>
                </w:tcPr>
                <w:p w14:paraId="5F942967">
                  <w:pPr>
                    <w:pStyle w:val="45"/>
                    <w:rPr>
                      <w:rFonts w:hint="default"/>
                      <w:b w:val="0"/>
                      <w:bCs w:val="0"/>
                      <w:u w:val="none"/>
                    </w:rPr>
                  </w:pPr>
                  <w:r>
                    <w:rPr>
                      <w:rFonts w:hint="default"/>
                      <w:b w:val="0"/>
                      <w:bCs w:val="0"/>
                      <w:u w:val="none"/>
                    </w:rPr>
                    <w:t>1</w:t>
                  </w:r>
                </w:p>
              </w:tc>
            </w:tr>
            <w:tr w14:paraId="1E32202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2F89A096">
                  <w:pPr>
                    <w:pStyle w:val="45"/>
                    <w:rPr>
                      <w:rFonts w:hint="default"/>
                      <w:b w:val="0"/>
                      <w:bCs w:val="0"/>
                      <w:u w:val="none"/>
                    </w:rPr>
                  </w:pPr>
                  <w:r>
                    <w:rPr>
                      <w:b w:val="0"/>
                      <w:bCs w:val="0"/>
                      <w:u w:val="none"/>
                    </w:rPr>
                    <w:t>21</w:t>
                  </w:r>
                </w:p>
              </w:tc>
              <w:tc>
                <w:tcPr>
                  <w:tcW w:w="1513" w:type="dxa"/>
                  <w:tcBorders>
                    <w:tl2br w:val="nil"/>
                    <w:tr2bl w:val="nil"/>
                  </w:tcBorders>
                  <w:shd w:val="clear" w:color="auto" w:fill="auto"/>
                  <w:vAlign w:val="center"/>
                </w:tcPr>
                <w:p w14:paraId="4DE25649">
                  <w:pPr>
                    <w:pStyle w:val="45"/>
                    <w:rPr>
                      <w:rFonts w:hint="default"/>
                      <w:b w:val="0"/>
                      <w:bCs w:val="0"/>
                      <w:u w:val="none"/>
                    </w:rPr>
                  </w:pPr>
                  <w:r>
                    <w:rPr>
                      <w:b w:val="0"/>
                      <w:bCs w:val="0"/>
                      <w:u w:val="none"/>
                    </w:rPr>
                    <w:t>脱重塔冷凝器</w:t>
                  </w:r>
                </w:p>
              </w:tc>
              <w:tc>
                <w:tcPr>
                  <w:tcW w:w="2569" w:type="dxa"/>
                  <w:tcBorders>
                    <w:tl2br w:val="nil"/>
                    <w:tr2bl w:val="nil"/>
                  </w:tcBorders>
                  <w:shd w:val="clear" w:color="auto" w:fill="auto"/>
                  <w:vAlign w:val="center"/>
                </w:tcPr>
                <w:p w14:paraId="7F150668">
                  <w:pPr>
                    <w:pStyle w:val="45"/>
                    <w:rPr>
                      <w:rFonts w:hint="default"/>
                      <w:b w:val="0"/>
                      <w:bCs w:val="0"/>
                      <w:u w:val="none"/>
                    </w:rPr>
                  </w:pPr>
                  <w:r>
                    <w:rPr>
                      <w:rFonts w:hint="default"/>
                      <w:b w:val="0"/>
                      <w:bCs w:val="0"/>
                      <w:u w:val="none"/>
                    </w:rPr>
                    <w:t>φ600,L=3000  F=64.0m</w:t>
                  </w:r>
                  <w:r>
                    <w:rPr>
                      <w:rFonts w:hint="default"/>
                      <w:b w:val="0"/>
                      <w:bCs w:val="0"/>
                      <w:u w:val="none"/>
                      <w:vertAlign w:val="superscript"/>
                    </w:rPr>
                    <w:t>2</w:t>
                  </w:r>
                </w:p>
              </w:tc>
              <w:tc>
                <w:tcPr>
                  <w:tcW w:w="982" w:type="dxa"/>
                  <w:tcBorders>
                    <w:tl2br w:val="nil"/>
                    <w:tr2bl w:val="nil"/>
                  </w:tcBorders>
                  <w:shd w:val="clear" w:color="auto" w:fill="auto"/>
                  <w:vAlign w:val="center"/>
                </w:tcPr>
                <w:p w14:paraId="64A3C674">
                  <w:pPr>
                    <w:pStyle w:val="45"/>
                    <w:rPr>
                      <w:rFonts w:hint="default"/>
                      <w:b w:val="0"/>
                      <w:bCs w:val="0"/>
                      <w:u w:val="none"/>
                    </w:rPr>
                  </w:pPr>
                  <w:r>
                    <w:rPr>
                      <w:b w:val="0"/>
                      <w:bCs w:val="0"/>
                      <w:u w:val="none"/>
                    </w:rPr>
                    <w:t>个</w:t>
                  </w:r>
                </w:p>
              </w:tc>
              <w:tc>
                <w:tcPr>
                  <w:tcW w:w="989" w:type="dxa"/>
                  <w:tcBorders>
                    <w:tl2br w:val="nil"/>
                    <w:tr2bl w:val="nil"/>
                  </w:tcBorders>
                  <w:shd w:val="clear" w:color="auto" w:fill="auto"/>
                  <w:vAlign w:val="center"/>
                </w:tcPr>
                <w:p w14:paraId="7A0147F3">
                  <w:pPr>
                    <w:pStyle w:val="45"/>
                    <w:rPr>
                      <w:rFonts w:hint="default"/>
                      <w:b w:val="0"/>
                      <w:bCs w:val="0"/>
                      <w:u w:val="none"/>
                    </w:rPr>
                  </w:pPr>
                  <w:r>
                    <w:rPr>
                      <w:rFonts w:hint="default"/>
                      <w:b w:val="0"/>
                      <w:bCs w:val="0"/>
                      <w:u w:val="none"/>
                    </w:rPr>
                    <w:t>1</w:t>
                  </w:r>
                </w:p>
              </w:tc>
            </w:tr>
            <w:tr w14:paraId="41C7CB0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0407465E">
                  <w:pPr>
                    <w:pStyle w:val="45"/>
                    <w:rPr>
                      <w:rFonts w:hint="default"/>
                      <w:b w:val="0"/>
                      <w:bCs w:val="0"/>
                      <w:u w:val="none"/>
                    </w:rPr>
                  </w:pPr>
                  <w:r>
                    <w:rPr>
                      <w:b w:val="0"/>
                      <w:bCs w:val="0"/>
                      <w:u w:val="none"/>
                    </w:rPr>
                    <w:t>22</w:t>
                  </w:r>
                </w:p>
              </w:tc>
              <w:tc>
                <w:tcPr>
                  <w:tcW w:w="1513" w:type="dxa"/>
                  <w:tcBorders>
                    <w:tl2br w:val="nil"/>
                    <w:tr2bl w:val="nil"/>
                  </w:tcBorders>
                  <w:shd w:val="clear" w:color="auto" w:fill="auto"/>
                  <w:vAlign w:val="center"/>
                </w:tcPr>
                <w:p w14:paraId="2623365A">
                  <w:pPr>
                    <w:pStyle w:val="45"/>
                    <w:rPr>
                      <w:rFonts w:hint="default"/>
                      <w:b w:val="0"/>
                      <w:bCs w:val="0"/>
                      <w:u w:val="none"/>
                    </w:rPr>
                  </w:pPr>
                  <w:r>
                    <w:rPr>
                      <w:b w:val="0"/>
                      <w:bCs w:val="0"/>
                      <w:u w:val="none"/>
                    </w:rPr>
                    <w:t>脱重塔再沸器</w:t>
                  </w:r>
                </w:p>
              </w:tc>
              <w:tc>
                <w:tcPr>
                  <w:tcW w:w="2569" w:type="dxa"/>
                  <w:tcBorders>
                    <w:tl2br w:val="nil"/>
                    <w:tr2bl w:val="nil"/>
                  </w:tcBorders>
                  <w:shd w:val="clear" w:color="auto" w:fill="auto"/>
                  <w:vAlign w:val="center"/>
                </w:tcPr>
                <w:p w14:paraId="2FE8E8FF">
                  <w:pPr>
                    <w:pStyle w:val="45"/>
                    <w:rPr>
                      <w:rFonts w:hint="default"/>
                      <w:b w:val="0"/>
                      <w:bCs w:val="0"/>
                      <w:u w:val="none"/>
                    </w:rPr>
                  </w:pPr>
                  <w:r>
                    <w:rPr>
                      <w:rFonts w:hint="default"/>
                      <w:b w:val="0"/>
                      <w:bCs w:val="0"/>
                      <w:u w:val="none"/>
                    </w:rPr>
                    <w:t>φ600,H=2000  F=36.5m</w:t>
                  </w:r>
                  <w:r>
                    <w:rPr>
                      <w:rFonts w:hint="default"/>
                      <w:b w:val="0"/>
                      <w:bCs w:val="0"/>
                      <w:u w:val="none"/>
                      <w:vertAlign w:val="superscript"/>
                    </w:rPr>
                    <w:t>2</w:t>
                  </w:r>
                </w:p>
              </w:tc>
              <w:tc>
                <w:tcPr>
                  <w:tcW w:w="982" w:type="dxa"/>
                  <w:tcBorders>
                    <w:tl2br w:val="nil"/>
                    <w:tr2bl w:val="nil"/>
                  </w:tcBorders>
                  <w:shd w:val="clear" w:color="auto" w:fill="auto"/>
                  <w:vAlign w:val="center"/>
                </w:tcPr>
                <w:p w14:paraId="153F515C">
                  <w:pPr>
                    <w:pStyle w:val="45"/>
                    <w:rPr>
                      <w:rFonts w:hint="default"/>
                      <w:b w:val="0"/>
                      <w:bCs w:val="0"/>
                      <w:u w:val="none"/>
                    </w:rPr>
                  </w:pPr>
                  <w:r>
                    <w:rPr>
                      <w:b w:val="0"/>
                      <w:bCs w:val="0"/>
                      <w:u w:val="none"/>
                    </w:rPr>
                    <w:t>个</w:t>
                  </w:r>
                </w:p>
              </w:tc>
              <w:tc>
                <w:tcPr>
                  <w:tcW w:w="989" w:type="dxa"/>
                  <w:tcBorders>
                    <w:tl2br w:val="nil"/>
                    <w:tr2bl w:val="nil"/>
                  </w:tcBorders>
                  <w:shd w:val="clear" w:color="auto" w:fill="auto"/>
                  <w:vAlign w:val="center"/>
                </w:tcPr>
                <w:p w14:paraId="3920FE47">
                  <w:pPr>
                    <w:pStyle w:val="45"/>
                    <w:rPr>
                      <w:rFonts w:hint="default"/>
                      <w:b w:val="0"/>
                      <w:bCs w:val="0"/>
                      <w:u w:val="none"/>
                    </w:rPr>
                  </w:pPr>
                  <w:r>
                    <w:rPr>
                      <w:rFonts w:hint="default"/>
                      <w:b w:val="0"/>
                      <w:bCs w:val="0"/>
                      <w:u w:val="none"/>
                    </w:rPr>
                    <w:t>1</w:t>
                  </w:r>
                </w:p>
              </w:tc>
            </w:tr>
            <w:tr w14:paraId="3B79125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28C582B9">
                  <w:pPr>
                    <w:pStyle w:val="45"/>
                    <w:rPr>
                      <w:rFonts w:hint="default"/>
                      <w:b w:val="0"/>
                      <w:bCs w:val="0"/>
                      <w:u w:val="none"/>
                    </w:rPr>
                  </w:pPr>
                  <w:r>
                    <w:rPr>
                      <w:b w:val="0"/>
                      <w:bCs w:val="0"/>
                      <w:u w:val="none"/>
                    </w:rPr>
                    <w:t>23</w:t>
                  </w:r>
                </w:p>
              </w:tc>
              <w:tc>
                <w:tcPr>
                  <w:tcW w:w="1513" w:type="dxa"/>
                  <w:tcBorders>
                    <w:tl2br w:val="nil"/>
                    <w:tr2bl w:val="nil"/>
                  </w:tcBorders>
                  <w:shd w:val="clear" w:color="auto" w:fill="auto"/>
                  <w:vAlign w:val="center"/>
                </w:tcPr>
                <w:p w14:paraId="3C34B43F">
                  <w:pPr>
                    <w:pStyle w:val="45"/>
                    <w:rPr>
                      <w:rFonts w:hint="default"/>
                      <w:b w:val="0"/>
                      <w:bCs w:val="0"/>
                      <w:u w:val="none"/>
                    </w:rPr>
                  </w:pPr>
                  <w:r>
                    <w:rPr>
                      <w:b w:val="0"/>
                      <w:bCs w:val="0"/>
                      <w:u w:val="none"/>
                    </w:rPr>
                    <w:t>产品冷却器</w:t>
                  </w:r>
                </w:p>
              </w:tc>
              <w:tc>
                <w:tcPr>
                  <w:tcW w:w="2569" w:type="dxa"/>
                  <w:tcBorders>
                    <w:tl2br w:val="nil"/>
                    <w:tr2bl w:val="nil"/>
                  </w:tcBorders>
                  <w:shd w:val="clear" w:color="auto" w:fill="auto"/>
                  <w:vAlign w:val="center"/>
                </w:tcPr>
                <w:p w14:paraId="4CF3A1D6">
                  <w:pPr>
                    <w:pStyle w:val="45"/>
                    <w:rPr>
                      <w:rFonts w:hint="default"/>
                      <w:b w:val="0"/>
                      <w:bCs w:val="0"/>
                      <w:u w:val="none"/>
                    </w:rPr>
                  </w:pPr>
                  <w:r>
                    <w:rPr>
                      <w:rFonts w:hint="default"/>
                      <w:b w:val="0"/>
                      <w:bCs w:val="0"/>
                      <w:u w:val="none"/>
                    </w:rPr>
                    <w:t>φ273,L=2000  F=6.9m</w:t>
                  </w:r>
                  <w:r>
                    <w:rPr>
                      <w:rFonts w:hint="default"/>
                      <w:b w:val="0"/>
                      <w:bCs w:val="0"/>
                      <w:u w:val="none"/>
                      <w:vertAlign w:val="superscript"/>
                    </w:rPr>
                    <w:t>2</w:t>
                  </w:r>
                </w:p>
              </w:tc>
              <w:tc>
                <w:tcPr>
                  <w:tcW w:w="982" w:type="dxa"/>
                  <w:tcBorders>
                    <w:tl2br w:val="nil"/>
                    <w:tr2bl w:val="nil"/>
                  </w:tcBorders>
                  <w:shd w:val="clear" w:color="auto" w:fill="auto"/>
                  <w:vAlign w:val="center"/>
                </w:tcPr>
                <w:p w14:paraId="39947D7D">
                  <w:pPr>
                    <w:pStyle w:val="45"/>
                    <w:rPr>
                      <w:rFonts w:hint="default"/>
                      <w:b w:val="0"/>
                      <w:bCs w:val="0"/>
                      <w:u w:val="none"/>
                    </w:rPr>
                  </w:pPr>
                  <w:r>
                    <w:rPr>
                      <w:b w:val="0"/>
                      <w:bCs w:val="0"/>
                      <w:u w:val="none"/>
                    </w:rPr>
                    <w:t>个</w:t>
                  </w:r>
                </w:p>
              </w:tc>
              <w:tc>
                <w:tcPr>
                  <w:tcW w:w="989" w:type="dxa"/>
                  <w:tcBorders>
                    <w:tl2br w:val="nil"/>
                    <w:tr2bl w:val="nil"/>
                  </w:tcBorders>
                  <w:shd w:val="clear" w:color="auto" w:fill="auto"/>
                  <w:vAlign w:val="center"/>
                </w:tcPr>
                <w:p w14:paraId="109EE9B9">
                  <w:pPr>
                    <w:pStyle w:val="45"/>
                    <w:rPr>
                      <w:rFonts w:hint="default"/>
                      <w:b w:val="0"/>
                      <w:bCs w:val="0"/>
                      <w:u w:val="none"/>
                    </w:rPr>
                  </w:pPr>
                  <w:r>
                    <w:rPr>
                      <w:rFonts w:hint="default"/>
                      <w:b w:val="0"/>
                      <w:bCs w:val="0"/>
                      <w:u w:val="none"/>
                    </w:rPr>
                    <w:t>1</w:t>
                  </w:r>
                </w:p>
              </w:tc>
            </w:tr>
            <w:tr w14:paraId="50A9B3B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2EC21715">
                  <w:pPr>
                    <w:pStyle w:val="45"/>
                    <w:rPr>
                      <w:rFonts w:hint="default"/>
                      <w:b w:val="0"/>
                      <w:bCs w:val="0"/>
                      <w:u w:val="none"/>
                    </w:rPr>
                  </w:pPr>
                  <w:r>
                    <w:rPr>
                      <w:b w:val="0"/>
                      <w:bCs w:val="0"/>
                      <w:u w:val="none"/>
                    </w:rPr>
                    <w:t>24</w:t>
                  </w:r>
                </w:p>
              </w:tc>
              <w:tc>
                <w:tcPr>
                  <w:tcW w:w="1513" w:type="dxa"/>
                  <w:tcBorders>
                    <w:tl2br w:val="nil"/>
                    <w:tr2bl w:val="nil"/>
                  </w:tcBorders>
                  <w:shd w:val="clear" w:color="auto" w:fill="auto"/>
                  <w:vAlign w:val="center"/>
                </w:tcPr>
                <w:p w14:paraId="66FC5B4A">
                  <w:pPr>
                    <w:pStyle w:val="45"/>
                    <w:rPr>
                      <w:rFonts w:hint="default"/>
                      <w:b w:val="0"/>
                      <w:bCs w:val="0"/>
                      <w:u w:val="none"/>
                    </w:rPr>
                  </w:pPr>
                  <w:r>
                    <w:rPr>
                      <w:b w:val="0"/>
                      <w:bCs w:val="0"/>
                      <w:u w:val="none"/>
                    </w:rPr>
                    <w:t>脱轻塔回流罐</w:t>
                  </w:r>
                </w:p>
              </w:tc>
              <w:tc>
                <w:tcPr>
                  <w:tcW w:w="2569" w:type="dxa"/>
                  <w:tcBorders>
                    <w:tl2br w:val="nil"/>
                    <w:tr2bl w:val="nil"/>
                  </w:tcBorders>
                  <w:shd w:val="clear" w:color="auto" w:fill="auto"/>
                  <w:vAlign w:val="center"/>
                </w:tcPr>
                <w:p w14:paraId="7A471DD7">
                  <w:pPr>
                    <w:pStyle w:val="45"/>
                    <w:rPr>
                      <w:rFonts w:hint="default"/>
                      <w:b w:val="0"/>
                      <w:bCs w:val="0"/>
                      <w:u w:val="none"/>
                    </w:rPr>
                  </w:pPr>
                  <w:r>
                    <w:rPr>
                      <w:b w:val="0"/>
                      <w:bCs w:val="0"/>
                      <w:u w:val="none"/>
                    </w:rPr>
                    <w:t>φ800 L=1800        V=1.0m</w:t>
                  </w:r>
                  <w:r>
                    <w:rPr>
                      <w:b w:val="0"/>
                      <w:bCs w:val="0"/>
                      <w:u w:val="none"/>
                      <w:vertAlign w:val="superscript"/>
                    </w:rPr>
                    <w:t>3</w:t>
                  </w:r>
                </w:p>
              </w:tc>
              <w:tc>
                <w:tcPr>
                  <w:tcW w:w="982" w:type="dxa"/>
                  <w:tcBorders>
                    <w:tl2br w:val="nil"/>
                    <w:tr2bl w:val="nil"/>
                  </w:tcBorders>
                  <w:shd w:val="clear" w:color="auto" w:fill="auto"/>
                  <w:vAlign w:val="center"/>
                </w:tcPr>
                <w:p w14:paraId="1550B9E5">
                  <w:pPr>
                    <w:pStyle w:val="45"/>
                    <w:rPr>
                      <w:rFonts w:hint="default"/>
                      <w:b w:val="0"/>
                      <w:bCs w:val="0"/>
                      <w:u w:val="none"/>
                    </w:rPr>
                  </w:pPr>
                  <w:r>
                    <w:rPr>
                      <w:b w:val="0"/>
                      <w:bCs w:val="0"/>
                      <w:u w:val="none"/>
                    </w:rPr>
                    <w:t>个</w:t>
                  </w:r>
                </w:p>
              </w:tc>
              <w:tc>
                <w:tcPr>
                  <w:tcW w:w="989" w:type="dxa"/>
                  <w:tcBorders>
                    <w:tl2br w:val="nil"/>
                    <w:tr2bl w:val="nil"/>
                  </w:tcBorders>
                  <w:shd w:val="clear" w:color="auto" w:fill="auto"/>
                  <w:vAlign w:val="center"/>
                </w:tcPr>
                <w:p w14:paraId="54F8322C">
                  <w:pPr>
                    <w:pStyle w:val="45"/>
                    <w:rPr>
                      <w:rFonts w:hint="default"/>
                      <w:b w:val="0"/>
                      <w:bCs w:val="0"/>
                      <w:u w:val="none"/>
                    </w:rPr>
                  </w:pPr>
                  <w:r>
                    <w:rPr>
                      <w:rFonts w:hint="default"/>
                      <w:b w:val="0"/>
                      <w:bCs w:val="0"/>
                      <w:u w:val="none"/>
                    </w:rPr>
                    <w:t>1</w:t>
                  </w:r>
                </w:p>
              </w:tc>
            </w:tr>
            <w:tr w14:paraId="5279211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1960B612">
                  <w:pPr>
                    <w:pStyle w:val="45"/>
                    <w:rPr>
                      <w:rFonts w:hint="default"/>
                      <w:b w:val="0"/>
                      <w:bCs w:val="0"/>
                      <w:u w:val="none"/>
                    </w:rPr>
                  </w:pPr>
                  <w:r>
                    <w:rPr>
                      <w:b w:val="0"/>
                      <w:bCs w:val="0"/>
                      <w:u w:val="none"/>
                    </w:rPr>
                    <w:t>25</w:t>
                  </w:r>
                </w:p>
              </w:tc>
              <w:tc>
                <w:tcPr>
                  <w:tcW w:w="1513" w:type="dxa"/>
                  <w:tcBorders>
                    <w:tl2br w:val="nil"/>
                    <w:tr2bl w:val="nil"/>
                  </w:tcBorders>
                  <w:shd w:val="clear" w:color="auto" w:fill="auto"/>
                  <w:vAlign w:val="center"/>
                </w:tcPr>
                <w:p w14:paraId="2E359FAA">
                  <w:pPr>
                    <w:pStyle w:val="45"/>
                    <w:rPr>
                      <w:rFonts w:hint="default"/>
                      <w:b w:val="0"/>
                      <w:bCs w:val="0"/>
                      <w:u w:val="none"/>
                    </w:rPr>
                  </w:pPr>
                  <w:r>
                    <w:rPr>
                      <w:b w:val="0"/>
                      <w:bCs w:val="0"/>
                      <w:u w:val="none"/>
                    </w:rPr>
                    <w:t>脱重塔回流罐</w:t>
                  </w:r>
                </w:p>
              </w:tc>
              <w:tc>
                <w:tcPr>
                  <w:tcW w:w="2569" w:type="dxa"/>
                  <w:tcBorders>
                    <w:tl2br w:val="nil"/>
                    <w:tr2bl w:val="nil"/>
                  </w:tcBorders>
                  <w:shd w:val="clear" w:color="auto" w:fill="auto"/>
                  <w:vAlign w:val="center"/>
                </w:tcPr>
                <w:p w14:paraId="5A3B0F67">
                  <w:pPr>
                    <w:pStyle w:val="45"/>
                    <w:rPr>
                      <w:rFonts w:hint="default"/>
                      <w:b w:val="0"/>
                      <w:bCs w:val="0"/>
                      <w:u w:val="none"/>
                    </w:rPr>
                  </w:pPr>
                  <w:r>
                    <w:rPr>
                      <w:b w:val="0"/>
                      <w:bCs w:val="0"/>
                      <w:u w:val="none"/>
                    </w:rPr>
                    <w:t>φ800 L=1800        V=1.0m</w:t>
                  </w:r>
                  <w:r>
                    <w:rPr>
                      <w:b w:val="0"/>
                      <w:bCs w:val="0"/>
                      <w:u w:val="none"/>
                      <w:vertAlign w:val="superscript"/>
                    </w:rPr>
                    <w:t>3</w:t>
                  </w:r>
                </w:p>
              </w:tc>
              <w:tc>
                <w:tcPr>
                  <w:tcW w:w="982" w:type="dxa"/>
                  <w:tcBorders>
                    <w:tl2br w:val="nil"/>
                    <w:tr2bl w:val="nil"/>
                  </w:tcBorders>
                  <w:shd w:val="clear" w:color="auto" w:fill="auto"/>
                  <w:vAlign w:val="center"/>
                </w:tcPr>
                <w:p w14:paraId="26CAC9AC">
                  <w:pPr>
                    <w:pStyle w:val="45"/>
                    <w:rPr>
                      <w:rFonts w:hint="default"/>
                      <w:b w:val="0"/>
                      <w:bCs w:val="0"/>
                      <w:u w:val="none"/>
                    </w:rPr>
                  </w:pPr>
                  <w:r>
                    <w:rPr>
                      <w:b w:val="0"/>
                      <w:bCs w:val="0"/>
                      <w:u w:val="none"/>
                    </w:rPr>
                    <w:t>个</w:t>
                  </w:r>
                </w:p>
              </w:tc>
              <w:tc>
                <w:tcPr>
                  <w:tcW w:w="989" w:type="dxa"/>
                  <w:tcBorders>
                    <w:tl2br w:val="nil"/>
                    <w:tr2bl w:val="nil"/>
                  </w:tcBorders>
                  <w:shd w:val="clear" w:color="auto" w:fill="auto"/>
                  <w:vAlign w:val="center"/>
                </w:tcPr>
                <w:p w14:paraId="4CA78A80">
                  <w:pPr>
                    <w:pStyle w:val="45"/>
                    <w:rPr>
                      <w:rFonts w:hint="default"/>
                      <w:b w:val="0"/>
                      <w:bCs w:val="0"/>
                      <w:u w:val="none"/>
                    </w:rPr>
                  </w:pPr>
                  <w:r>
                    <w:rPr>
                      <w:rFonts w:hint="default"/>
                      <w:b w:val="0"/>
                      <w:bCs w:val="0"/>
                      <w:u w:val="none"/>
                    </w:rPr>
                    <w:t>1</w:t>
                  </w:r>
                </w:p>
              </w:tc>
            </w:tr>
            <w:tr w14:paraId="5C4987B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0BF88D30">
                  <w:pPr>
                    <w:pStyle w:val="45"/>
                    <w:rPr>
                      <w:rFonts w:hint="default"/>
                      <w:b w:val="0"/>
                      <w:bCs w:val="0"/>
                      <w:u w:val="none"/>
                    </w:rPr>
                  </w:pPr>
                  <w:r>
                    <w:rPr>
                      <w:b w:val="0"/>
                      <w:bCs w:val="0"/>
                      <w:u w:val="none"/>
                    </w:rPr>
                    <w:t>26</w:t>
                  </w:r>
                </w:p>
              </w:tc>
              <w:tc>
                <w:tcPr>
                  <w:tcW w:w="1513" w:type="dxa"/>
                  <w:tcBorders>
                    <w:tl2br w:val="nil"/>
                    <w:tr2bl w:val="nil"/>
                  </w:tcBorders>
                  <w:shd w:val="clear" w:color="auto" w:fill="auto"/>
                  <w:vAlign w:val="center"/>
                </w:tcPr>
                <w:p w14:paraId="594D25A1">
                  <w:pPr>
                    <w:pStyle w:val="45"/>
                    <w:rPr>
                      <w:rFonts w:hint="default"/>
                      <w:b w:val="0"/>
                      <w:bCs w:val="0"/>
                      <w:u w:val="none"/>
                    </w:rPr>
                  </w:pPr>
                  <w:r>
                    <w:rPr>
                      <w:b w:val="0"/>
                      <w:bCs w:val="0"/>
                      <w:u w:val="none"/>
                    </w:rPr>
                    <w:t>液氨泵</w:t>
                  </w:r>
                </w:p>
              </w:tc>
              <w:tc>
                <w:tcPr>
                  <w:tcW w:w="2569" w:type="dxa"/>
                  <w:tcBorders>
                    <w:tl2br w:val="nil"/>
                    <w:tr2bl w:val="nil"/>
                  </w:tcBorders>
                  <w:shd w:val="clear" w:color="auto" w:fill="auto"/>
                  <w:vAlign w:val="center"/>
                </w:tcPr>
                <w:p w14:paraId="7FA97E5B">
                  <w:pPr>
                    <w:pStyle w:val="45"/>
                    <w:rPr>
                      <w:rFonts w:hint="default"/>
                      <w:b w:val="0"/>
                      <w:bCs w:val="0"/>
                      <w:u w:val="none"/>
                    </w:rPr>
                  </w:pPr>
                  <w:r>
                    <w:rPr>
                      <w:b w:val="0"/>
                      <w:bCs w:val="0"/>
                      <w:u w:val="none"/>
                    </w:rPr>
                    <w:t>/</w:t>
                  </w:r>
                </w:p>
              </w:tc>
              <w:tc>
                <w:tcPr>
                  <w:tcW w:w="982" w:type="dxa"/>
                  <w:tcBorders>
                    <w:tl2br w:val="nil"/>
                    <w:tr2bl w:val="nil"/>
                  </w:tcBorders>
                  <w:shd w:val="clear" w:color="auto" w:fill="auto"/>
                  <w:vAlign w:val="center"/>
                </w:tcPr>
                <w:p w14:paraId="24616657">
                  <w:pPr>
                    <w:pStyle w:val="45"/>
                    <w:rPr>
                      <w:rFonts w:hint="default"/>
                      <w:b w:val="0"/>
                      <w:bCs w:val="0"/>
                      <w:u w:val="none"/>
                    </w:rPr>
                  </w:pPr>
                  <w:r>
                    <w:rPr>
                      <w:b w:val="0"/>
                      <w:bCs w:val="0"/>
                      <w:u w:val="none"/>
                    </w:rPr>
                    <w:t>台</w:t>
                  </w:r>
                </w:p>
              </w:tc>
              <w:tc>
                <w:tcPr>
                  <w:tcW w:w="989" w:type="dxa"/>
                  <w:tcBorders>
                    <w:tl2br w:val="nil"/>
                    <w:tr2bl w:val="nil"/>
                  </w:tcBorders>
                  <w:shd w:val="clear" w:color="auto" w:fill="auto"/>
                  <w:vAlign w:val="center"/>
                </w:tcPr>
                <w:p w14:paraId="479FE60E">
                  <w:pPr>
                    <w:pStyle w:val="45"/>
                    <w:rPr>
                      <w:rFonts w:hint="default"/>
                      <w:b w:val="0"/>
                      <w:bCs w:val="0"/>
                      <w:u w:val="none"/>
                    </w:rPr>
                  </w:pPr>
                  <w:r>
                    <w:rPr>
                      <w:rFonts w:hint="default"/>
                      <w:b w:val="0"/>
                      <w:bCs w:val="0"/>
                      <w:u w:val="none"/>
                    </w:rPr>
                    <w:t>4</w:t>
                  </w:r>
                </w:p>
              </w:tc>
            </w:tr>
            <w:tr w14:paraId="7F427D7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0BE96A01">
                  <w:pPr>
                    <w:pStyle w:val="45"/>
                    <w:rPr>
                      <w:rFonts w:hint="default"/>
                      <w:b w:val="0"/>
                      <w:bCs w:val="0"/>
                      <w:u w:val="none"/>
                    </w:rPr>
                  </w:pPr>
                  <w:r>
                    <w:rPr>
                      <w:b w:val="0"/>
                      <w:bCs w:val="0"/>
                      <w:u w:val="none"/>
                    </w:rPr>
                    <w:t>27</w:t>
                  </w:r>
                </w:p>
              </w:tc>
              <w:tc>
                <w:tcPr>
                  <w:tcW w:w="1513" w:type="dxa"/>
                  <w:tcBorders>
                    <w:tl2br w:val="nil"/>
                    <w:tr2bl w:val="nil"/>
                  </w:tcBorders>
                  <w:shd w:val="clear" w:color="auto" w:fill="auto"/>
                  <w:vAlign w:val="center"/>
                </w:tcPr>
                <w:p w14:paraId="14946402">
                  <w:pPr>
                    <w:pStyle w:val="45"/>
                    <w:rPr>
                      <w:rFonts w:hint="default"/>
                      <w:b w:val="0"/>
                      <w:bCs w:val="0"/>
                      <w:u w:val="none"/>
                    </w:rPr>
                  </w:pPr>
                  <w:r>
                    <w:rPr>
                      <w:b w:val="0"/>
                      <w:bCs w:val="0"/>
                      <w:u w:val="none"/>
                    </w:rPr>
                    <w:t>原料液氨储罐</w:t>
                  </w:r>
                </w:p>
              </w:tc>
              <w:tc>
                <w:tcPr>
                  <w:tcW w:w="2569" w:type="dxa"/>
                  <w:tcBorders>
                    <w:tl2br w:val="nil"/>
                    <w:tr2bl w:val="nil"/>
                  </w:tcBorders>
                  <w:shd w:val="clear" w:color="auto" w:fill="auto"/>
                  <w:vAlign w:val="center"/>
                </w:tcPr>
                <w:p w14:paraId="1BCD6AAF">
                  <w:pPr>
                    <w:pStyle w:val="45"/>
                    <w:rPr>
                      <w:rFonts w:hint="default"/>
                      <w:b w:val="0"/>
                      <w:bCs w:val="0"/>
                      <w:u w:val="none"/>
                    </w:rPr>
                  </w:pPr>
                  <w:r>
                    <w:rPr>
                      <w:b w:val="0"/>
                      <w:bCs w:val="0"/>
                      <w:u w:val="none"/>
                    </w:rPr>
                    <w:t>4</w:t>
                  </w:r>
                  <w:r>
                    <w:rPr>
                      <w:rFonts w:hint="default"/>
                      <w:b w:val="0"/>
                      <w:bCs w:val="0"/>
                      <w:u w:val="none"/>
                    </w:rPr>
                    <w:t>0m</w:t>
                  </w:r>
                  <w:r>
                    <w:rPr>
                      <w:rFonts w:hint="default"/>
                      <w:b w:val="0"/>
                      <w:bCs w:val="0"/>
                      <w:u w:val="none"/>
                      <w:vertAlign w:val="superscript"/>
                    </w:rPr>
                    <w:t>3</w:t>
                  </w:r>
                </w:p>
              </w:tc>
              <w:tc>
                <w:tcPr>
                  <w:tcW w:w="982" w:type="dxa"/>
                  <w:tcBorders>
                    <w:tl2br w:val="nil"/>
                    <w:tr2bl w:val="nil"/>
                  </w:tcBorders>
                  <w:shd w:val="clear" w:color="auto" w:fill="auto"/>
                  <w:vAlign w:val="center"/>
                </w:tcPr>
                <w:p w14:paraId="328279C4">
                  <w:pPr>
                    <w:pStyle w:val="45"/>
                    <w:rPr>
                      <w:rFonts w:hint="default"/>
                      <w:b w:val="0"/>
                      <w:bCs w:val="0"/>
                      <w:u w:val="none"/>
                    </w:rPr>
                  </w:pPr>
                  <w:r>
                    <w:rPr>
                      <w:b w:val="0"/>
                      <w:bCs w:val="0"/>
                      <w:u w:val="none"/>
                    </w:rPr>
                    <w:t>个</w:t>
                  </w:r>
                </w:p>
              </w:tc>
              <w:tc>
                <w:tcPr>
                  <w:tcW w:w="989" w:type="dxa"/>
                  <w:tcBorders>
                    <w:tl2br w:val="nil"/>
                    <w:tr2bl w:val="nil"/>
                  </w:tcBorders>
                  <w:shd w:val="clear" w:color="auto" w:fill="auto"/>
                  <w:vAlign w:val="center"/>
                </w:tcPr>
                <w:p w14:paraId="528624E6">
                  <w:pPr>
                    <w:pStyle w:val="45"/>
                    <w:rPr>
                      <w:rFonts w:hint="default"/>
                      <w:b w:val="0"/>
                      <w:bCs w:val="0"/>
                      <w:u w:val="none"/>
                    </w:rPr>
                  </w:pPr>
                  <w:r>
                    <w:rPr>
                      <w:b w:val="0"/>
                      <w:bCs w:val="0"/>
                      <w:u w:val="none"/>
                    </w:rPr>
                    <w:t>2</w:t>
                  </w:r>
                </w:p>
              </w:tc>
            </w:tr>
            <w:tr w14:paraId="10CFC81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34D35BDA">
                  <w:pPr>
                    <w:pStyle w:val="45"/>
                    <w:rPr>
                      <w:rFonts w:hint="default"/>
                      <w:b w:val="0"/>
                      <w:bCs w:val="0"/>
                      <w:u w:val="none"/>
                    </w:rPr>
                  </w:pPr>
                  <w:r>
                    <w:rPr>
                      <w:b w:val="0"/>
                      <w:bCs w:val="0"/>
                      <w:u w:val="none"/>
                    </w:rPr>
                    <w:t>28</w:t>
                  </w:r>
                </w:p>
              </w:tc>
              <w:tc>
                <w:tcPr>
                  <w:tcW w:w="1513" w:type="dxa"/>
                  <w:tcBorders>
                    <w:tl2br w:val="nil"/>
                    <w:tr2bl w:val="nil"/>
                  </w:tcBorders>
                  <w:shd w:val="clear" w:color="auto" w:fill="auto"/>
                  <w:vAlign w:val="center"/>
                </w:tcPr>
                <w:p w14:paraId="2B778127">
                  <w:pPr>
                    <w:pStyle w:val="45"/>
                    <w:rPr>
                      <w:rFonts w:hint="default"/>
                      <w:b w:val="0"/>
                      <w:bCs w:val="0"/>
                      <w:u w:val="none"/>
                    </w:rPr>
                  </w:pPr>
                  <w:r>
                    <w:rPr>
                      <w:rFonts w:hint="eastAsia"/>
                      <w:b w:val="0"/>
                      <w:bCs w:val="0"/>
                      <w:u w:val="none"/>
                      <w:lang w:eastAsia="zh-CN"/>
                    </w:rPr>
                    <w:t>超纯氨</w:t>
                  </w:r>
                  <w:r>
                    <w:rPr>
                      <w:b w:val="0"/>
                      <w:bCs w:val="0"/>
                      <w:u w:val="none"/>
                    </w:rPr>
                    <w:t>储罐</w:t>
                  </w:r>
                </w:p>
              </w:tc>
              <w:tc>
                <w:tcPr>
                  <w:tcW w:w="2569" w:type="dxa"/>
                  <w:tcBorders>
                    <w:tl2br w:val="nil"/>
                    <w:tr2bl w:val="nil"/>
                  </w:tcBorders>
                  <w:shd w:val="clear" w:color="auto" w:fill="auto"/>
                  <w:vAlign w:val="center"/>
                </w:tcPr>
                <w:p w14:paraId="22A28F89">
                  <w:pPr>
                    <w:pStyle w:val="45"/>
                    <w:rPr>
                      <w:rFonts w:hint="default"/>
                      <w:b w:val="0"/>
                      <w:bCs w:val="0"/>
                      <w:u w:val="none"/>
                    </w:rPr>
                  </w:pPr>
                  <w:r>
                    <w:rPr>
                      <w:b w:val="0"/>
                      <w:bCs w:val="0"/>
                      <w:u w:val="none"/>
                    </w:rPr>
                    <w:t>6</w:t>
                  </w:r>
                  <w:r>
                    <w:rPr>
                      <w:rFonts w:hint="default"/>
                      <w:b w:val="0"/>
                      <w:bCs w:val="0"/>
                      <w:u w:val="none"/>
                    </w:rPr>
                    <w:t>0m</w:t>
                  </w:r>
                  <w:r>
                    <w:rPr>
                      <w:rFonts w:hint="default"/>
                      <w:b w:val="0"/>
                      <w:bCs w:val="0"/>
                      <w:u w:val="none"/>
                      <w:vertAlign w:val="superscript"/>
                    </w:rPr>
                    <w:t>3</w:t>
                  </w:r>
                </w:p>
              </w:tc>
              <w:tc>
                <w:tcPr>
                  <w:tcW w:w="982" w:type="dxa"/>
                  <w:tcBorders>
                    <w:tl2br w:val="nil"/>
                    <w:tr2bl w:val="nil"/>
                  </w:tcBorders>
                  <w:shd w:val="clear" w:color="auto" w:fill="auto"/>
                  <w:vAlign w:val="center"/>
                </w:tcPr>
                <w:p w14:paraId="5169307E">
                  <w:pPr>
                    <w:pStyle w:val="45"/>
                    <w:rPr>
                      <w:rFonts w:hint="default"/>
                      <w:b w:val="0"/>
                      <w:bCs w:val="0"/>
                      <w:u w:val="none"/>
                    </w:rPr>
                  </w:pPr>
                  <w:r>
                    <w:rPr>
                      <w:b w:val="0"/>
                      <w:bCs w:val="0"/>
                      <w:u w:val="none"/>
                    </w:rPr>
                    <w:t>个</w:t>
                  </w:r>
                </w:p>
              </w:tc>
              <w:tc>
                <w:tcPr>
                  <w:tcW w:w="989" w:type="dxa"/>
                  <w:tcBorders>
                    <w:tl2br w:val="nil"/>
                    <w:tr2bl w:val="nil"/>
                  </w:tcBorders>
                  <w:shd w:val="clear" w:color="auto" w:fill="auto"/>
                  <w:vAlign w:val="center"/>
                </w:tcPr>
                <w:p w14:paraId="4B7634AE">
                  <w:pPr>
                    <w:pStyle w:val="45"/>
                    <w:rPr>
                      <w:rFonts w:hint="default"/>
                      <w:b w:val="0"/>
                      <w:bCs w:val="0"/>
                      <w:u w:val="none"/>
                    </w:rPr>
                  </w:pPr>
                  <w:r>
                    <w:rPr>
                      <w:b w:val="0"/>
                      <w:bCs w:val="0"/>
                      <w:u w:val="none"/>
                    </w:rPr>
                    <w:t>2</w:t>
                  </w:r>
                </w:p>
              </w:tc>
            </w:tr>
            <w:tr w14:paraId="6FFFEFF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0E3AC0EB">
                  <w:pPr>
                    <w:pStyle w:val="45"/>
                    <w:rPr>
                      <w:rFonts w:hint="default"/>
                      <w:b w:val="0"/>
                      <w:bCs w:val="0"/>
                      <w:u w:val="none"/>
                    </w:rPr>
                  </w:pPr>
                  <w:r>
                    <w:rPr>
                      <w:b w:val="0"/>
                      <w:bCs w:val="0"/>
                      <w:u w:val="none"/>
                    </w:rPr>
                    <w:t>29</w:t>
                  </w:r>
                </w:p>
              </w:tc>
              <w:tc>
                <w:tcPr>
                  <w:tcW w:w="1513" w:type="dxa"/>
                  <w:tcBorders>
                    <w:tl2br w:val="nil"/>
                    <w:tr2bl w:val="nil"/>
                  </w:tcBorders>
                  <w:shd w:val="clear" w:color="auto" w:fill="auto"/>
                  <w:vAlign w:val="center"/>
                </w:tcPr>
                <w:p w14:paraId="7F07A633">
                  <w:pPr>
                    <w:pStyle w:val="45"/>
                    <w:rPr>
                      <w:rFonts w:hint="default"/>
                      <w:b w:val="0"/>
                      <w:bCs w:val="0"/>
                      <w:u w:val="none"/>
                    </w:rPr>
                  </w:pPr>
                  <w:r>
                    <w:rPr>
                      <w:b w:val="0"/>
                      <w:bCs w:val="0"/>
                      <w:u w:val="none"/>
                    </w:rPr>
                    <w:t>氨水储罐</w:t>
                  </w:r>
                </w:p>
              </w:tc>
              <w:tc>
                <w:tcPr>
                  <w:tcW w:w="2569" w:type="dxa"/>
                  <w:tcBorders>
                    <w:tl2br w:val="nil"/>
                    <w:tr2bl w:val="nil"/>
                  </w:tcBorders>
                  <w:shd w:val="clear" w:color="auto" w:fill="auto"/>
                  <w:vAlign w:val="center"/>
                </w:tcPr>
                <w:p w14:paraId="637FE085">
                  <w:pPr>
                    <w:pStyle w:val="45"/>
                    <w:rPr>
                      <w:rFonts w:hint="default"/>
                      <w:b w:val="0"/>
                      <w:bCs w:val="0"/>
                      <w:u w:val="none"/>
                    </w:rPr>
                  </w:pPr>
                  <w:r>
                    <w:rPr>
                      <w:b w:val="0"/>
                      <w:bCs w:val="0"/>
                      <w:u w:val="none"/>
                    </w:rPr>
                    <w:t>300</w:t>
                  </w:r>
                  <w:r>
                    <w:rPr>
                      <w:rFonts w:hint="default"/>
                      <w:b w:val="0"/>
                      <w:bCs w:val="0"/>
                      <w:u w:val="none"/>
                    </w:rPr>
                    <w:t>m</w:t>
                  </w:r>
                  <w:r>
                    <w:rPr>
                      <w:rFonts w:hint="default"/>
                      <w:b w:val="0"/>
                      <w:bCs w:val="0"/>
                      <w:u w:val="none"/>
                      <w:vertAlign w:val="superscript"/>
                    </w:rPr>
                    <w:t>3</w:t>
                  </w:r>
                </w:p>
              </w:tc>
              <w:tc>
                <w:tcPr>
                  <w:tcW w:w="982" w:type="dxa"/>
                  <w:tcBorders>
                    <w:tl2br w:val="nil"/>
                    <w:tr2bl w:val="nil"/>
                  </w:tcBorders>
                  <w:shd w:val="clear" w:color="auto" w:fill="auto"/>
                  <w:vAlign w:val="center"/>
                </w:tcPr>
                <w:p w14:paraId="3BD54108">
                  <w:pPr>
                    <w:pStyle w:val="45"/>
                    <w:rPr>
                      <w:rFonts w:hint="default"/>
                      <w:b w:val="0"/>
                      <w:bCs w:val="0"/>
                      <w:u w:val="none"/>
                    </w:rPr>
                  </w:pPr>
                  <w:r>
                    <w:rPr>
                      <w:b w:val="0"/>
                      <w:bCs w:val="0"/>
                      <w:u w:val="none"/>
                    </w:rPr>
                    <w:t>个</w:t>
                  </w:r>
                </w:p>
              </w:tc>
              <w:tc>
                <w:tcPr>
                  <w:tcW w:w="989" w:type="dxa"/>
                  <w:tcBorders>
                    <w:tl2br w:val="nil"/>
                    <w:tr2bl w:val="nil"/>
                  </w:tcBorders>
                  <w:shd w:val="clear" w:color="auto" w:fill="auto"/>
                  <w:vAlign w:val="center"/>
                </w:tcPr>
                <w:p w14:paraId="7F2CAD43">
                  <w:pPr>
                    <w:pStyle w:val="45"/>
                    <w:rPr>
                      <w:rFonts w:hint="default"/>
                      <w:b w:val="0"/>
                      <w:bCs w:val="0"/>
                      <w:u w:val="none"/>
                    </w:rPr>
                  </w:pPr>
                  <w:r>
                    <w:rPr>
                      <w:b w:val="0"/>
                      <w:bCs w:val="0"/>
                      <w:u w:val="none"/>
                    </w:rPr>
                    <w:t>2</w:t>
                  </w:r>
                </w:p>
              </w:tc>
            </w:tr>
            <w:tr w14:paraId="1E63E4B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48A647C6">
                  <w:pPr>
                    <w:pStyle w:val="45"/>
                    <w:rPr>
                      <w:rFonts w:hint="default"/>
                      <w:b w:val="0"/>
                      <w:bCs w:val="0"/>
                      <w:u w:val="none"/>
                    </w:rPr>
                  </w:pPr>
                  <w:r>
                    <w:rPr>
                      <w:b w:val="0"/>
                      <w:bCs w:val="0"/>
                      <w:u w:val="none"/>
                    </w:rPr>
                    <w:t>30</w:t>
                  </w:r>
                </w:p>
              </w:tc>
              <w:tc>
                <w:tcPr>
                  <w:tcW w:w="1513" w:type="dxa"/>
                  <w:tcBorders>
                    <w:tl2br w:val="nil"/>
                    <w:tr2bl w:val="nil"/>
                  </w:tcBorders>
                  <w:shd w:val="clear" w:color="auto" w:fill="auto"/>
                  <w:vAlign w:val="center"/>
                </w:tcPr>
                <w:p w14:paraId="2E1C5DCF">
                  <w:pPr>
                    <w:pStyle w:val="45"/>
                    <w:rPr>
                      <w:rFonts w:hint="default"/>
                      <w:b w:val="0"/>
                      <w:bCs w:val="0"/>
                      <w:u w:val="none"/>
                    </w:rPr>
                  </w:pPr>
                  <w:r>
                    <w:rPr>
                      <w:b w:val="0"/>
                      <w:bCs w:val="0"/>
                      <w:u w:val="none"/>
                    </w:rPr>
                    <w:t>液氮储罐</w:t>
                  </w:r>
                </w:p>
              </w:tc>
              <w:tc>
                <w:tcPr>
                  <w:tcW w:w="2569" w:type="dxa"/>
                  <w:tcBorders>
                    <w:tl2br w:val="nil"/>
                    <w:tr2bl w:val="nil"/>
                  </w:tcBorders>
                  <w:shd w:val="clear" w:color="auto" w:fill="auto"/>
                  <w:vAlign w:val="center"/>
                </w:tcPr>
                <w:p w14:paraId="114790BD">
                  <w:pPr>
                    <w:pStyle w:val="45"/>
                    <w:rPr>
                      <w:rFonts w:hint="default"/>
                      <w:b w:val="0"/>
                      <w:bCs w:val="0"/>
                      <w:u w:val="none"/>
                    </w:rPr>
                  </w:pPr>
                  <w:r>
                    <w:rPr>
                      <w:b w:val="0"/>
                      <w:bCs w:val="0"/>
                      <w:u w:val="none"/>
                    </w:rPr>
                    <w:t>30m³</w:t>
                  </w:r>
                </w:p>
              </w:tc>
              <w:tc>
                <w:tcPr>
                  <w:tcW w:w="982" w:type="dxa"/>
                  <w:tcBorders>
                    <w:tl2br w:val="nil"/>
                    <w:tr2bl w:val="nil"/>
                  </w:tcBorders>
                  <w:shd w:val="clear" w:color="auto" w:fill="auto"/>
                  <w:vAlign w:val="center"/>
                </w:tcPr>
                <w:p w14:paraId="01886187">
                  <w:pPr>
                    <w:pStyle w:val="45"/>
                    <w:rPr>
                      <w:rFonts w:hint="default"/>
                      <w:b w:val="0"/>
                      <w:bCs w:val="0"/>
                      <w:u w:val="none"/>
                    </w:rPr>
                  </w:pPr>
                  <w:r>
                    <w:rPr>
                      <w:b w:val="0"/>
                      <w:bCs w:val="0"/>
                      <w:u w:val="none"/>
                    </w:rPr>
                    <w:t>个</w:t>
                  </w:r>
                </w:p>
              </w:tc>
              <w:tc>
                <w:tcPr>
                  <w:tcW w:w="989" w:type="dxa"/>
                  <w:tcBorders>
                    <w:tl2br w:val="nil"/>
                    <w:tr2bl w:val="nil"/>
                  </w:tcBorders>
                  <w:shd w:val="clear" w:color="auto" w:fill="auto"/>
                  <w:vAlign w:val="center"/>
                </w:tcPr>
                <w:p w14:paraId="68123ABA">
                  <w:pPr>
                    <w:pStyle w:val="45"/>
                    <w:rPr>
                      <w:rFonts w:hint="default"/>
                      <w:b w:val="0"/>
                      <w:bCs w:val="0"/>
                      <w:u w:val="none"/>
                    </w:rPr>
                  </w:pPr>
                  <w:r>
                    <w:rPr>
                      <w:b w:val="0"/>
                      <w:bCs w:val="0"/>
                      <w:u w:val="none"/>
                    </w:rPr>
                    <w:t>1</w:t>
                  </w:r>
                </w:p>
              </w:tc>
            </w:tr>
            <w:tr w14:paraId="54EC647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37D9F5A4">
                  <w:pPr>
                    <w:pStyle w:val="45"/>
                    <w:rPr>
                      <w:rFonts w:hint="default" w:eastAsia="宋体"/>
                      <w:b w:val="0"/>
                      <w:bCs w:val="0"/>
                      <w:u w:val="none"/>
                      <w:lang w:val="en-US" w:eastAsia="zh-CN"/>
                    </w:rPr>
                  </w:pPr>
                  <w:r>
                    <w:rPr>
                      <w:rFonts w:hint="eastAsia"/>
                      <w:b w:val="0"/>
                      <w:bCs w:val="0"/>
                      <w:u w:val="none"/>
                      <w:lang w:val="en-US" w:eastAsia="zh-CN"/>
                    </w:rPr>
                    <w:t>31</w:t>
                  </w:r>
                </w:p>
              </w:tc>
              <w:tc>
                <w:tcPr>
                  <w:tcW w:w="1513" w:type="dxa"/>
                  <w:tcBorders>
                    <w:tl2br w:val="nil"/>
                    <w:tr2bl w:val="nil"/>
                  </w:tcBorders>
                  <w:shd w:val="clear" w:color="auto" w:fill="auto"/>
                  <w:vAlign w:val="center"/>
                </w:tcPr>
                <w:p w14:paraId="1B790510">
                  <w:pPr>
                    <w:pStyle w:val="45"/>
                    <w:rPr>
                      <w:rFonts w:hint="eastAsia" w:eastAsia="宋体"/>
                      <w:b w:val="0"/>
                      <w:bCs w:val="0"/>
                      <w:u w:val="none"/>
                      <w:lang w:val="en-US" w:eastAsia="zh-CN"/>
                    </w:rPr>
                  </w:pPr>
                  <w:r>
                    <w:rPr>
                      <w:rFonts w:hint="eastAsia"/>
                      <w:b w:val="0"/>
                      <w:bCs w:val="0"/>
                      <w:u w:val="none"/>
                      <w:lang w:val="en-US" w:eastAsia="zh-CN"/>
                    </w:rPr>
                    <w:t>二氧化碳分析仪</w:t>
                  </w:r>
                </w:p>
              </w:tc>
              <w:tc>
                <w:tcPr>
                  <w:tcW w:w="2569" w:type="dxa"/>
                  <w:tcBorders>
                    <w:tl2br w:val="nil"/>
                    <w:tr2bl w:val="nil"/>
                  </w:tcBorders>
                  <w:shd w:val="clear" w:color="auto" w:fill="auto"/>
                  <w:vAlign w:val="center"/>
                </w:tcPr>
                <w:p w14:paraId="4F304112">
                  <w:pPr>
                    <w:pStyle w:val="45"/>
                    <w:rPr>
                      <w:rFonts w:hint="eastAsia" w:eastAsia="宋体"/>
                      <w:b w:val="0"/>
                      <w:bCs w:val="0"/>
                      <w:u w:val="none"/>
                      <w:lang w:val="en-US" w:eastAsia="zh-CN"/>
                    </w:rPr>
                  </w:pPr>
                  <w:r>
                    <w:rPr>
                      <w:rFonts w:hint="eastAsia"/>
                      <w:b w:val="0"/>
                      <w:bCs w:val="0"/>
                      <w:u w:val="none"/>
                      <w:lang w:val="en-US" w:eastAsia="zh-CN"/>
                    </w:rPr>
                    <w:t>/</w:t>
                  </w:r>
                </w:p>
              </w:tc>
              <w:tc>
                <w:tcPr>
                  <w:tcW w:w="982" w:type="dxa"/>
                  <w:tcBorders>
                    <w:tl2br w:val="nil"/>
                    <w:tr2bl w:val="nil"/>
                  </w:tcBorders>
                  <w:shd w:val="clear" w:color="auto" w:fill="auto"/>
                  <w:vAlign w:val="center"/>
                </w:tcPr>
                <w:p w14:paraId="2FE74BBE">
                  <w:pPr>
                    <w:pStyle w:val="45"/>
                    <w:rPr>
                      <w:b w:val="0"/>
                      <w:bCs w:val="0"/>
                      <w:u w:val="none"/>
                    </w:rPr>
                  </w:pPr>
                  <w:r>
                    <w:rPr>
                      <w:b w:val="0"/>
                      <w:bCs w:val="0"/>
                      <w:u w:val="none"/>
                    </w:rPr>
                    <w:t>台</w:t>
                  </w:r>
                </w:p>
              </w:tc>
              <w:tc>
                <w:tcPr>
                  <w:tcW w:w="989" w:type="dxa"/>
                  <w:tcBorders>
                    <w:tl2br w:val="nil"/>
                    <w:tr2bl w:val="nil"/>
                  </w:tcBorders>
                  <w:shd w:val="clear" w:color="auto" w:fill="auto"/>
                  <w:vAlign w:val="center"/>
                </w:tcPr>
                <w:p w14:paraId="32BD36ED">
                  <w:pPr>
                    <w:pStyle w:val="45"/>
                    <w:rPr>
                      <w:rFonts w:hint="eastAsia" w:eastAsia="宋体"/>
                      <w:b w:val="0"/>
                      <w:bCs w:val="0"/>
                      <w:u w:val="none"/>
                      <w:lang w:val="en-US" w:eastAsia="zh-CN"/>
                    </w:rPr>
                  </w:pPr>
                  <w:r>
                    <w:rPr>
                      <w:rFonts w:hint="eastAsia"/>
                      <w:b w:val="0"/>
                      <w:bCs w:val="0"/>
                      <w:u w:val="none"/>
                      <w:lang w:val="en-US" w:eastAsia="zh-CN"/>
                    </w:rPr>
                    <w:t>2</w:t>
                  </w:r>
                </w:p>
              </w:tc>
            </w:tr>
            <w:tr w14:paraId="7B51B43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0A812263">
                  <w:pPr>
                    <w:pStyle w:val="45"/>
                    <w:rPr>
                      <w:rFonts w:hint="default" w:eastAsia="宋体"/>
                      <w:b w:val="0"/>
                      <w:bCs w:val="0"/>
                      <w:u w:val="none"/>
                      <w:lang w:val="en-US" w:eastAsia="zh-CN"/>
                    </w:rPr>
                  </w:pPr>
                  <w:r>
                    <w:rPr>
                      <w:rFonts w:hint="eastAsia"/>
                      <w:b w:val="0"/>
                      <w:bCs w:val="0"/>
                      <w:u w:val="none"/>
                      <w:lang w:val="en-US" w:eastAsia="zh-CN"/>
                    </w:rPr>
                    <w:t>32</w:t>
                  </w:r>
                </w:p>
              </w:tc>
              <w:tc>
                <w:tcPr>
                  <w:tcW w:w="1513" w:type="dxa"/>
                  <w:tcBorders>
                    <w:tl2br w:val="nil"/>
                    <w:tr2bl w:val="nil"/>
                  </w:tcBorders>
                  <w:shd w:val="clear" w:color="auto" w:fill="auto"/>
                  <w:vAlign w:val="center"/>
                </w:tcPr>
                <w:p w14:paraId="121C62FD">
                  <w:pPr>
                    <w:pStyle w:val="45"/>
                    <w:rPr>
                      <w:rFonts w:hint="eastAsia" w:eastAsia="宋体"/>
                      <w:b w:val="0"/>
                      <w:bCs w:val="0"/>
                      <w:u w:val="none"/>
                      <w:lang w:eastAsia="zh-CN"/>
                    </w:rPr>
                  </w:pPr>
                  <w:r>
                    <w:rPr>
                      <w:rFonts w:hint="eastAsia"/>
                      <w:b w:val="0"/>
                      <w:bCs w:val="0"/>
                      <w:u w:val="none"/>
                      <w:lang w:eastAsia="zh-CN"/>
                    </w:rPr>
                    <w:t>氨水浓度检测仪</w:t>
                  </w:r>
                </w:p>
              </w:tc>
              <w:tc>
                <w:tcPr>
                  <w:tcW w:w="2569" w:type="dxa"/>
                  <w:tcBorders>
                    <w:tl2br w:val="nil"/>
                    <w:tr2bl w:val="nil"/>
                  </w:tcBorders>
                  <w:shd w:val="clear" w:color="auto" w:fill="auto"/>
                  <w:vAlign w:val="center"/>
                </w:tcPr>
                <w:p w14:paraId="3D91205D">
                  <w:pPr>
                    <w:pStyle w:val="45"/>
                    <w:rPr>
                      <w:rFonts w:hint="eastAsia" w:eastAsia="宋体"/>
                      <w:b w:val="0"/>
                      <w:bCs w:val="0"/>
                      <w:u w:val="none"/>
                      <w:lang w:val="en-US" w:eastAsia="zh-CN"/>
                    </w:rPr>
                  </w:pPr>
                  <w:r>
                    <w:rPr>
                      <w:rFonts w:hint="eastAsia"/>
                      <w:b w:val="0"/>
                      <w:bCs w:val="0"/>
                      <w:u w:val="none"/>
                      <w:lang w:val="en-US" w:eastAsia="zh-CN"/>
                    </w:rPr>
                    <w:t>/</w:t>
                  </w:r>
                </w:p>
              </w:tc>
              <w:tc>
                <w:tcPr>
                  <w:tcW w:w="982" w:type="dxa"/>
                  <w:tcBorders>
                    <w:tl2br w:val="nil"/>
                    <w:tr2bl w:val="nil"/>
                  </w:tcBorders>
                  <w:shd w:val="clear" w:color="auto" w:fill="auto"/>
                  <w:vAlign w:val="center"/>
                </w:tcPr>
                <w:p w14:paraId="41F41C47">
                  <w:pPr>
                    <w:pStyle w:val="45"/>
                    <w:rPr>
                      <w:b w:val="0"/>
                      <w:bCs w:val="0"/>
                      <w:u w:val="none"/>
                    </w:rPr>
                  </w:pPr>
                  <w:r>
                    <w:rPr>
                      <w:b w:val="0"/>
                      <w:bCs w:val="0"/>
                      <w:u w:val="none"/>
                    </w:rPr>
                    <w:t>台</w:t>
                  </w:r>
                </w:p>
              </w:tc>
              <w:tc>
                <w:tcPr>
                  <w:tcW w:w="989" w:type="dxa"/>
                  <w:tcBorders>
                    <w:tl2br w:val="nil"/>
                    <w:tr2bl w:val="nil"/>
                  </w:tcBorders>
                  <w:shd w:val="clear" w:color="auto" w:fill="auto"/>
                  <w:vAlign w:val="center"/>
                </w:tcPr>
                <w:p w14:paraId="19C5599D">
                  <w:pPr>
                    <w:pStyle w:val="45"/>
                    <w:rPr>
                      <w:rFonts w:hint="default" w:eastAsia="宋体"/>
                      <w:b w:val="0"/>
                      <w:bCs w:val="0"/>
                      <w:u w:val="none"/>
                      <w:lang w:val="en-US" w:eastAsia="zh-CN"/>
                    </w:rPr>
                  </w:pPr>
                  <w:r>
                    <w:rPr>
                      <w:rFonts w:hint="eastAsia"/>
                      <w:b w:val="0"/>
                      <w:bCs w:val="0"/>
                      <w:u w:val="none"/>
                      <w:lang w:val="en-US" w:eastAsia="zh-CN"/>
                    </w:rPr>
                    <w:t>2</w:t>
                  </w:r>
                </w:p>
              </w:tc>
            </w:tr>
            <w:tr w14:paraId="4066A98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513" w:type="dxa"/>
                  <w:tcBorders>
                    <w:tl2br w:val="nil"/>
                    <w:tr2bl w:val="nil"/>
                  </w:tcBorders>
                  <w:shd w:val="clear" w:color="auto" w:fill="auto"/>
                  <w:vAlign w:val="center"/>
                </w:tcPr>
                <w:p w14:paraId="0AAE248E">
                  <w:pPr>
                    <w:pStyle w:val="45"/>
                    <w:rPr>
                      <w:rFonts w:hint="default" w:eastAsia="宋体"/>
                      <w:b w:val="0"/>
                      <w:bCs w:val="0"/>
                      <w:u w:val="none"/>
                      <w:lang w:val="en-US" w:eastAsia="zh-CN"/>
                    </w:rPr>
                  </w:pPr>
                  <w:r>
                    <w:rPr>
                      <w:rFonts w:hint="eastAsia"/>
                      <w:b w:val="0"/>
                      <w:bCs w:val="0"/>
                      <w:u w:val="none"/>
                      <w:lang w:val="en-US" w:eastAsia="zh-CN"/>
                    </w:rPr>
                    <w:t>33</w:t>
                  </w:r>
                </w:p>
              </w:tc>
              <w:tc>
                <w:tcPr>
                  <w:tcW w:w="1513" w:type="dxa"/>
                  <w:tcBorders>
                    <w:tl2br w:val="nil"/>
                    <w:tr2bl w:val="nil"/>
                  </w:tcBorders>
                  <w:shd w:val="clear" w:color="auto" w:fill="auto"/>
                  <w:vAlign w:val="center"/>
                </w:tcPr>
                <w:p w14:paraId="7CD08830">
                  <w:pPr>
                    <w:pStyle w:val="45"/>
                    <w:rPr>
                      <w:rFonts w:hint="eastAsia" w:eastAsia="宋体"/>
                      <w:b w:val="0"/>
                      <w:bCs w:val="0"/>
                      <w:u w:val="none"/>
                      <w:lang w:eastAsia="zh-CN"/>
                    </w:rPr>
                  </w:pPr>
                  <w:r>
                    <w:rPr>
                      <w:rFonts w:hint="eastAsia"/>
                      <w:b w:val="0"/>
                      <w:bCs w:val="0"/>
                      <w:u w:val="none"/>
                      <w:lang w:eastAsia="zh-CN"/>
                    </w:rPr>
                    <w:t>氨水浓度检测仪</w:t>
                  </w:r>
                </w:p>
              </w:tc>
              <w:tc>
                <w:tcPr>
                  <w:tcW w:w="2569" w:type="dxa"/>
                  <w:tcBorders>
                    <w:tl2br w:val="nil"/>
                    <w:tr2bl w:val="nil"/>
                  </w:tcBorders>
                  <w:shd w:val="clear" w:color="auto" w:fill="auto"/>
                  <w:vAlign w:val="center"/>
                </w:tcPr>
                <w:p w14:paraId="230A0714">
                  <w:pPr>
                    <w:pStyle w:val="45"/>
                    <w:rPr>
                      <w:rFonts w:hint="eastAsia" w:eastAsia="宋体"/>
                      <w:b w:val="0"/>
                      <w:bCs w:val="0"/>
                      <w:u w:val="none"/>
                      <w:lang w:val="en-US" w:eastAsia="zh-CN"/>
                    </w:rPr>
                  </w:pPr>
                  <w:r>
                    <w:rPr>
                      <w:rFonts w:hint="eastAsia"/>
                      <w:b w:val="0"/>
                      <w:bCs w:val="0"/>
                      <w:u w:val="none"/>
                      <w:lang w:val="en-US" w:eastAsia="zh-CN"/>
                    </w:rPr>
                    <w:t>/</w:t>
                  </w:r>
                </w:p>
              </w:tc>
              <w:tc>
                <w:tcPr>
                  <w:tcW w:w="982" w:type="dxa"/>
                  <w:tcBorders>
                    <w:tl2br w:val="nil"/>
                    <w:tr2bl w:val="nil"/>
                  </w:tcBorders>
                  <w:shd w:val="clear" w:color="auto" w:fill="auto"/>
                  <w:vAlign w:val="center"/>
                </w:tcPr>
                <w:p w14:paraId="5E9ED05C">
                  <w:pPr>
                    <w:pStyle w:val="45"/>
                    <w:rPr>
                      <w:b w:val="0"/>
                      <w:bCs w:val="0"/>
                      <w:u w:val="none"/>
                    </w:rPr>
                  </w:pPr>
                  <w:r>
                    <w:rPr>
                      <w:b w:val="0"/>
                      <w:bCs w:val="0"/>
                      <w:u w:val="none"/>
                    </w:rPr>
                    <w:t>台</w:t>
                  </w:r>
                </w:p>
              </w:tc>
              <w:tc>
                <w:tcPr>
                  <w:tcW w:w="989" w:type="dxa"/>
                  <w:tcBorders>
                    <w:tl2br w:val="nil"/>
                    <w:tr2bl w:val="nil"/>
                  </w:tcBorders>
                  <w:shd w:val="clear" w:color="auto" w:fill="auto"/>
                  <w:vAlign w:val="center"/>
                </w:tcPr>
                <w:p w14:paraId="41F36B0C">
                  <w:pPr>
                    <w:pStyle w:val="45"/>
                    <w:rPr>
                      <w:rFonts w:hint="eastAsia" w:eastAsia="宋体"/>
                      <w:b w:val="0"/>
                      <w:bCs w:val="0"/>
                      <w:u w:val="none"/>
                      <w:lang w:val="en-US" w:eastAsia="zh-CN"/>
                    </w:rPr>
                  </w:pPr>
                  <w:r>
                    <w:rPr>
                      <w:rFonts w:hint="eastAsia"/>
                      <w:b w:val="0"/>
                      <w:bCs w:val="0"/>
                      <w:u w:val="none"/>
                      <w:lang w:val="en-US" w:eastAsia="zh-CN"/>
                    </w:rPr>
                    <w:t>2</w:t>
                  </w:r>
                </w:p>
              </w:tc>
            </w:tr>
          </w:tbl>
          <w:p w14:paraId="794AEC91">
            <w:pPr>
              <w:pStyle w:val="4"/>
              <w:numPr>
                <w:ilvl w:val="1"/>
                <w:numId w:val="3"/>
              </w:numPr>
              <w:tabs>
                <w:tab w:val="left" w:pos="0"/>
              </w:tabs>
              <w:rPr>
                <w:b w:val="0"/>
                <w:bCs w:val="0"/>
                <w:u w:val="none"/>
              </w:rPr>
            </w:pPr>
            <w:r>
              <w:rPr>
                <w:b w:val="0"/>
                <w:bCs w:val="0"/>
                <w:u w:val="none"/>
              </w:rPr>
              <w:t>劳动定员和工作制度</w:t>
            </w:r>
          </w:p>
          <w:p w14:paraId="4A626292">
            <w:pPr>
              <w:pStyle w:val="5"/>
              <w:rPr>
                <w:rFonts w:hint="default"/>
                <w:b w:val="0"/>
                <w:bCs w:val="0"/>
                <w:u w:val="none"/>
              </w:rPr>
            </w:pPr>
            <w:r>
              <w:rPr>
                <w:rFonts w:hint="default"/>
                <w:b w:val="0"/>
                <w:bCs w:val="0"/>
                <w:u w:val="none"/>
              </w:rPr>
              <w:t>本项目劳动定员</w:t>
            </w:r>
            <w:r>
              <w:rPr>
                <w:b w:val="0"/>
                <w:bCs w:val="0"/>
                <w:u w:val="none"/>
              </w:rPr>
              <w:t>35</w:t>
            </w:r>
            <w:r>
              <w:rPr>
                <w:rFonts w:hint="default"/>
                <w:b w:val="0"/>
                <w:bCs w:val="0"/>
                <w:u w:val="none"/>
              </w:rPr>
              <w:t>人，年工作时间 300 天，实行 8 小时</w:t>
            </w:r>
            <w:r>
              <w:rPr>
                <w:b w:val="0"/>
                <w:bCs w:val="0"/>
                <w:u w:val="none"/>
              </w:rPr>
              <w:t>三</w:t>
            </w:r>
            <w:r>
              <w:rPr>
                <w:rFonts w:hint="default"/>
                <w:b w:val="0"/>
                <w:bCs w:val="0"/>
                <w:u w:val="none"/>
              </w:rPr>
              <w:t>班制。厂区</w:t>
            </w:r>
            <w:r>
              <w:rPr>
                <w:b w:val="0"/>
                <w:bCs w:val="0"/>
                <w:u w:val="none"/>
              </w:rPr>
              <w:t>不设置食宿</w:t>
            </w:r>
            <w:r>
              <w:rPr>
                <w:rFonts w:hint="default"/>
                <w:b w:val="0"/>
                <w:bCs w:val="0"/>
                <w:u w:val="none"/>
              </w:rPr>
              <w:t>。</w:t>
            </w:r>
          </w:p>
          <w:p w14:paraId="3B6C6A75">
            <w:pPr>
              <w:pStyle w:val="4"/>
              <w:numPr>
                <w:ilvl w:val="1"/>
                <w:numId w:val="3"/>
              </w:numPr>
              <w:tabs>
                <w:tab w:val="left" w:pos="0"/>
              </w:tabs>
              <w:rPr>
                <w:b w:val="0"/>
                <w:bCs w:val="0"/>
                <w:u w:val="none"/>
              </w:rPr>
            </w:pPr>
            <w:r>
              <w:rPr>
                <w:b w:val="0"/>
                <w:bCs w:val="0"/>
                <w:u w:val="none"/>
              </w:rPr>
              <w:t>水平衡</w:t>
            </w:r>
          </w:p>
          <w:p w14:paraId="493CE82A">
            <w:pPr>
              <w:pStyle w:val="6"/>
              <w:numPr>
                <w:ilvl w:val="2"/>
                <w:numId w:val="4"/>
              </w:numPr>
              <w:rPr>
                <w:b w:val="0"/>
                <w:bCs w:val="0"/>
                <w:u w:val="none"/>
              </w:rPr>
            </w:pPr>
            <w:r>
              <w:rPr>
                <w:rFonts w:hint="eastAsia"/>
                <w:b w:val="0"/>
                <w:bCs w:val="0"/>
                <w:u w:val="none"/>
              </w:rPr>
              <w:t>供水</w:t>
            </w:r>
          </w:p>
          <w:p w14:paraId="40A36F0C">
            <w:pPr>
              <w:pStyle w:val="5"/>
              <w:rPr>
                <w:rFonts w:hint="default"/>
                <w:b w:val="0"/>
                <w:bCs w:val="0"/>
                <w:u w:val="none"/>
              </w:rPr>
            </w:pPr>
            <w:r>
              <w:rPr>
                <w:rFonts w:hint="default"/>
                <w:b w:val="0"/>
                <w:bCs w:val="0"/>
                <w:u w:val="none"/>
              </w:rPr>
              <w:t>①生活用水</w:t>
            </w:r>
          </w:p>
          <w:p w14:paraId="58E7E664">
            <w:pPr>
              <w:pStyle w:val="5"/>
              <w:rPr>
                <w:rFonts w:hint="default"/>
                <w:b w:val="0"/>
                <w:bCs w:val="0"/>
                <w:u w:val="none"/>
              </w:rPr>
            </w:pPr>
            <w:r>
              <w:rPr>
                <w:rFonts w:hint="default"/>
                <w:b w:val="0"/>
                <w:bCs w:val="0"/>
                <w:u w:val="none"/>
              </w:rPr>
              <w:t>项目营运期间共有员工35人，均不在厂区食宿。根据《工业与城镇生活用水定额》（DB41/T385-2020）中的相关标准及本项目实际情况，员工</w:t>
            </w:r>
            <w:r>
              <w:rPr>
                <w:b w:val="0"/>
                <w:bCs w:val="0"/>
                <w:u w:val="none"/>
              </w:rPr>
              <w:t>用水量</w:t>
            </w:r>
            <w:r>
              <w:rPr>
                <w:rFonts w:hint="default"/>
                <w:b w:val="0"/>
                <w:bCs w:val="0"/>
                <w:u w:val="none"/>
              </w:rPr>
              <w:t>按照50L/人·d计，项目年工作300天，则本项目员工生活用水量为1.75m</w:t>
            </w:r>
            <w:r>
              <w:rPr>
                <w:rFonts w:hint="default"/>
                <w:b w:val="0"/>
                <w:bCs w:val="0"/>
                <w:u w:val="none"/>
                <w:vertAlign w:val="superscript"/>
              </w:rPr>
              <w:t>3</w:t>
            </w:r>
            <w:r>
              <w:rPr>
                <w:rFonts w:hint="default"/>
                <w:b w:val="0"/>
                <w:bCs w:val="0"/>
                <w:u w:val="none"/>
              </w:rPr>
              <w:t>/d（525m</w:t>
            </w:r>
            <w:r>
              <w:rPr>
                <w:rFonts w:hint="default"/>
                <w:b w:val="0"/>
                <w:bCs w:val="0"/>
                <w:u w:val="none"/>
                <w:vertAlign w:val="superscript"/>
              </w:rPr>
              <w:t>3</w:t>
            </w:r>
            <w:r>
              <w:rPr>
                <w:rFonts w:hint="default"/>
                <w:b w:val="0"/>
                <w:bCs w:val="0"/>
                <w:u w:val="none"/>
              </w:rPr>
              <w:t>/a）。</w:t>
            </w:r>
          </w:p>
          <w:p w14:paraId="537E6BA9">
            <w:pPr>
              <w:pStyle w:val="5"/>
              <w:rPr>
                <w:rFonts w:hint="default"/>
                <w:b w:val="0"/>
                <w:bCs w:val="0"/>
                <w:u w:val="none"/>
              </w:rPr>
            </w:pPr>
            <w:r>
              <w:rPr>
                <w:rFonts w:hint="default"/>
                <w:b w:val="0"/>
                <w:bCs w:val="0"/>
                <w:u w:val="none"/>
              </w:rPr>
              <w:t>②循环冷却用水</w:t>
            </w:r>
          </w:p>
          <w:p w14:paraId="33F50A5D">
            <w:pPr>
              <w:pStyle w:val="5"/>
              <w:rPr>
                <w:rFonts w:hint="default"/>
                <w:b w:val="0"/>
                <w:bCs w:val="0"/>
                <w:u w:val="none"/>
              </w:rPr>
            </w:pPr>
            <w:r>
              <w:rPr>
                <w:rFonts w:hint="default"/>
                <w:b w:val="0"/>
                <w:bCs w:val="0"/>
                <w:u w:val="none"/>
              </w:rPr>
              <w:t>根据本项目设计资料，本项目设置</w:t>
            </w:r>
            <w:r>
              <w:rPr>
                <w:b w:val="0"/>
                <w:bCs w:val="0"/>
                <w:u w:val="none"/>
              </w:rPr>
              <w:t>400m</w:t>
            </w:r>
            <w:r>
              <w:rPr>
                <w:b w:val="0"/>
                <w:bCs w:val="0"/>
                <w:u w:val="none"/>
                <w:vertAlign w:val="superscript"/>
              </w:rPr>
              <w:t>3</w:t>
            </w:r>
            <w:r>
              <w:rPr>
                <w:b w:val="0"/>
                <w:bCs w:val="0"/>
                <w:u w:val="none"/>
              </w:rPr>
              <w:t>/h冷却塔</w:t>
            </w:r>
            <w:r>
              <w:rPr>
                <w:rFonts w:hint="default"/>
                <w:b w:val="0"/>
                <w:bCs w:val="0"/>
                <w:u w:val="none"/>
              </w:rPr>
              <w:t>，循环水量为9600m</w:t>
            </w:r>
            <w:r>
              <w:rPr>
                <w:rFonts w:hint="default"/>
                <w:b w:val="0"/>
                <w:bCs w:val="0"/>
                <w:u w:val="none"/>
                <w:vertAlign w:val="superscript"/>
              </w:rPr>
              <w:t>3</w:t>
            </w:r>
            <w:r>
              <w:rPr>
                <w:rFonts w:hint="default"/>
                <w:b w:val="0"/>
                <w:bCs w:val="0"/>
                <w:u w:val="none"/>
              </w:rPr>
              <w:t>/d（288万m</w:t>
            </w:r>
            <w:r>
              <w:rPr>
                <w:rFonts w:hint="default"/>
                <w:b w:val="0"/>
                <w:bCs w:val="0"/>
                <w:u w:val="none"/>
                <w:vertAlign w:val="superscript"/>
              </w:rPr>
              <w:t>3</w:t>
            </w:r>
            <w:r>
              <w:rPr>
                <w:rFonts w:hint="default"/>
                <w:b w:val="0"/>
                <w:bCs w:val="0"/>
                <w:u w:val="none"/>
              </w:rPr>
              <w:t>/a）</w:t>
            </w:r>
            <w:r>
              <w:rPr>
                <w:b w:val="0"/>
                <w:bCs w:val="0"/>
                <w:u w:val="none"/>
              </w:rPr>
              <w:t>，根据《工业循环水冷却设计规范》（GB/T50102-2014），冷却循环水蒸发损失量为循环水量的1%，浓缩倍数为5倍，则排污水为循环水量的0.25%，补充水量为循环水量的1.25%。经计算冷却循环水补充水量为120m</w:t>
            </w:r>
            <w:r>
              <w:rPr>
                <w:b w:val="0"/>
                <w:bCs w:val="0"/>
                <w:u w:val="none"/>
                <w:vertAlign w:val="superscript"/>
              </w:rPr>
              <w:t>3</w:t>
            </w:r>
            <w:r>
              <w:rPr>
                <w:b w:val="0"/>
                <w:bCs w:val="0"/>
                <w:u w:val="none"/>
              </w:rPr>
              <w:t>/d，定期排污量为24m</w:t>
            </w:r>
            <w:r>
              <w:rPr>
                <w:b w:val="0"/>
                <w:bCs w:val="0"/>
                <w:u w:val="none"/>
                <w:vertAlign w:val="superscript"/>
              </w:rPr>
              <w:t>3</w:t>
            </w:r>
            <w:r>
              <w:rPr>
                <w:b w:val="0"/>
                <w:bCs w:val="0"/>
                <w:u w:val="none"/>
              </w:rPr>
              <w:t>/d</w:t>
            </w:r>
            <w:r>
              <w:rPr>
                <w:rFonts w:hint="default"/>
                <w:b w:val="0"/>
                <w:bCs w:val="0"/>
                <w:u w:val="none"/>
              </w:rPr>
              <w:t>。</w:t>
            </w:r>
          </w:p>
          <w:p w14:paraId="5A9B4EB3">
            <w:pPr>
              <w:pStyle w:val="5"/>
              <w:ind w:firstLine="422"/>
              <w:rPr>
                <w:rFonts w:hint="default"/>
                <w:b w:val="0"/>
                <w:bCs w:val="0"/>
                <w:u w:val="none"/>
              </w:rPr>
            </w:pPr>
            <w:r>
              <w:rPr>
                <w:b w:val="0"/>
                <w:bCs w:val="0"/>
                <w:u w:val="none"/>
              </w:rPr>
              <w:t>③制氨水系统工艺用水</w:t>
            </w:r>
          </w:p>
          <w:p w14:paraId="13271CB8">
            <w:pPr>
              <w:pStyle w:val="5"/>
              <w:ind w:firstLine="422"/>
              <w:rPr>
                <w:rFonts w:hint="default"/>
                <w:b w:val="0"/>
                <w:bCs w:val="0"/>
                <w:color w:val="auto"/>
                <w:u w:val="none"/>
              </w:rPr>
            </w:pPr>
            <w:r>
              <w:rPr>
                <w:b w:val="0"/>
                <w:bCs w:val="0"/>
                <w:u w:val="none"/>
              </w:rPr>
              <w:t>根据本项目设计资料</w:t>
            </w:r>
            <w:r>
              <w:rPr>
                <w:b w:val="0"/>
                <w:bCs w:val="0"/>
                <w:color w:val="auto"/>
                <w:u w:val="none"/>
              </w:rPr>
              <w:t>，氨水年生产</w:t>
            </w:r>
            <w:r>
              <w:rPr>
                <w:b w:val="0"/>
                <w:bCs w:val="0"/>
                <w:color w:val="auto"/>
                <w:highlight w:val="none"/>
                <w:u w:val="none"/>
              </w:rPr>
              <w:t>量为</w:t>
            </w:r>
            <w:r>
              <w:rPr>
                <w:rFonts w:hint="eastAsia"/>
                <w:b w:val="0"/>
                <w:bCs w:val="0"/>
                <w:color w:val="auto"/>
                <w:highlight w:val="none"/>
                <w:u w:val="none"/>
                <w:lang w:val="en-US" w:eastAsia="zh-CN"/>
              </w:rPr>
              <w:t>4052</w:t>
            </w:r>
            <w:r>
              <w:rPr>
                <w:b w:val="0"/>
                <w:bCs w:val="0"/>
                <w:color w:val="auto"/>
                <w:highlight w:val="none"/>
                <w:u w:val="none"/>
              </w:rPr>
              <w:t>t，质量分数为2</w:t>
            </w:r>
            <w:r>
              <w:rPr>
                <w:b w:val="0"/>
                <w:bCs w:val="0"/>
                <w:color w:val="auto"/>
                <w:u w:val="none"/>
              </w:rPr>
              <w:t>0%，因此该工艺需水量为12.40</w:t>
            </w:r>
            <w:r>
              <w:rPr>
                <w:rFonts w:hint="default"/>
                <w:b w:val="0"/>
                <w:bCs w:val="0"/>
                <w:color w:val="auto"/>
                <w:u w:val="none"/>
              </w:rPr>
              <w:t>m</w:t>
            </w:r>
            <w:r>
              <w:rPr>
                <w:rFonts w:hint="default"/>
                <w:b w:val="0"/>
                <w:bCs w:val="0"/>
                <w:color w:val="auto"/>
                <w:u w:val="none"/>
                <w:vertAlign w:val="superscript"/>
              </w:rPr>
              <w:t>3</w:t>
            </w:r>
            <w:r>
              <w:rPr>
                <w:rFonts w:hint="default"/>
                <w:b w:val="0"/>
                <w:bCs w:val="0"/>
                <w:color w:val="auto"/>
                <w:u w:val="none"/>
              </w:rPr>
              <w:t>/d（</w:t>
            </w:r>
            <w:r>
              <w:rPr>
                <w:b w:val="0"/>
                <w:bCs w:val="0"/>
                <w:color w:val="auto"/>
                <w:u w:val="none"/>
              </w:rPr>
              <w:t>3721.16</w:t>
            </w:r>
            <w:r>
              <w:rPr>
                <w:rFonts w:hint="default"/>
                <w:b w:val="0"/>
                <w:bCs w:val="0"/>
                <w:color w:val="auto"/>
                <w:u w:val="none"/>
              </w:rPr>
              <w:t>m</w:t>
            </w:r>
            <w:r>
              <w:rPr>
                <w:rFonts w:hint="default"/>
                <w:b w:val="0"/>
                <w:bCs w:val="0"/>
                <w:color w:val="auto"/>
                <w:u w:val="none"/>
                <w:vertAlign w:val="superscript"/>
              </w:rPr>
              <w:t>3</w:t>
            </w:r>
            <w:r>
              <w:rPr>
                <w:rFonts w:hint="default"/>
                <w:b w:val="0"/>
                <w:bCs w:val="0"/>
                <w:color w:val="auto"/>
                <w:u w:val="none"/>
              </w:rPr>
              <w:t>/a）</w:t>
            </w:r>
            <w:r>
              <w:rPr>
                <w:b w:val="0"/>
                <w:bCs w:val="0"/>
                <w:color w:val="auto"/>
                <w:u w:val="none"/>
              </w:rPr>
              <w:t>。</w:t>
            </w:r>
          </w:p>
          <w:p w14:paraId="5E8583B4">
            <w:pPr>
              <w:pStyle w:val="6"/>
              <w:numPr>
                <w:ilvl w:val="2"/>
                <w:numId w:val="4"/>
              </w:numPr>
              <w:rPr>
                <w:b w:val="0"/>
                <w:bCs w:val="0"/>
                <w:u w:val="none"/>
              </w:rPr>
            </w:pPr>
            <w:r>
              <w:rPr>
                <w:rFonts w:hint="eastAsia"/>
                <w:b w:val="0"/>
                <w:bCs w:val="0"/>
                <w:u w:val="none"/>
              </w:rPr>
              <w:t>排水</w:t>
            </w:r>
          </w:p>
          <w:p w14:paraId="431A6775">
            <w:pPr>
              <w:pStyle w:val="5"/>
              <w:rPr>
                <w:rFonts w:hint="default"/>
                <w:b w:val="0"/>
                <w:bCs w:val="0"/>
                <w:u w:val="none"/>
              </w:rPr>
            </w:pPr>
            <w:r>
              <w:rPr>
                <w:b w:val="0"/>
                <w:bCs w:val="0"/>
                <w:u w:val="none"/>
              </w:rPr>
              <w:t>①生活污水</w:t>
            </w:r>
          </w:p>
          <w:p w14:paraId="66FFCFE3">
            <w:pPr>
              <w:pStyle w:val="5"/>
              <w:rPr>
                <w:rFonts w:hint="default"/>
                <w:b w:val="0"/>
                <w:bCs w:val="0"/>
                <w:u w:val="none"/>
              </w:rPr>
            </w:pPr>
            <w:r>
              <w:rPr>
                <w:b w:val="0"/>
                <w:bCs w:val="0"/>
                <w:u w:val="none"/>
              </w:rPr>
              <w:t>生活污水的</w:t>
            </w:r>
            <w:r>
              <w:rPr>
                <w:rFonts w:hint="default"/>
                <w:b w:val="0"/>
                <w:bCs w:val="0"/>
                <w:u w:val="none"/>
              </w:rPr>
              <w:t>排污系数按0.8计，则本项目生活污水排放量为1.4m</w:t>
            </w:r>
            <w:r>
              <w:rPr>
                <w:rFonts w:hint="default"/>
                <w:b w:val="0"/>
                <w:bCs w:val="0"/>
                <w:u w:val="none"/>
                <w:vertAlign w:val="superscript"/>
              </w:rPr>
              <w:t>3</w:t>
            </w:r>
            <w:r>
              <w:rPr>
                <w:rFonts w:hint="default"/>
                <w:b w:val="0"/>
                <w:bCs w:val="0"/>
                <w:u w:val="none"/>
              </w:rPr>
              <w:t>/d（420m</w:t>
            </w:r>
            <w:r>
              <w:rPr>
                <w:rFonts w:hint="default"/>
                <w:b w:val="0"/>
                <w:bCs w:val="0"/>
                <w:u w:val="none"/>
                <w:vertAlign w:val="superscript"/>
              </w:rPr>
              <w:t>3</w:t>
            </w:r>
            <w:r>
              <w:rPr>
                <w:rFonts w:hint="default"/>
                <w:b w:val="0"/>
                <w:bCs w:val="0"/>
                <w:u w:val="none"/>
              </w:rPr>
              <w:t>/a）。</w:t>
            </w:r>
          </w:p>
          <w:p w14:paraId="7ED7363D">
            <w:pPr>
              <w:pStyle w:val="5"/>
              <w:rPr>
                <w:rFonts w:hint="default"/>
                <w:b w:val="0"/>
                <w:bCs w:val="0"/>
                <w:u w:val="none"/>
              </w:rPr>
            </w:pPr>
            <w:r>
              <w:rPr>
                <w:b w:val="0"/>
                <w:bCs w:val="0"/>
                <w:u w:val="none"/>
              </w:rPr>
              <w:t>②冷却塔排水</w:t>
            </w:r>
          </w:p>
          <w:p w14:paraId="2148CF41">
            <w:pPr>
              <w:pStyle w:val="5"/>
              <w:rPr>
                <w:rFonts w:hint="default"/>
                <w:b w:val="0"/>
                <w:bCs w:val="0"/>
                <w:u w:val="none"/>
              </w:rPr>
            </w:pPr>
            <w:r>
              <w:rPr>
                <w:b w:val="0"/>
                <w:bCs w:val="0"/>
                <w:u w:val="none"/>
              </w:rPr>
              <w:t>本项目设置两座400m</w:t>
            </w:r>
            <w:r>
              <w:rPr>
                <w:b w:val="0"/>
                <w:bCs w:val="0"/>
                <w:u w:val="none"/>
                <w:vertAlign w:val="superscript"/>
              </w:rPr>
              <w:t>3</w:t>
            </w:r>
            <w:r>
              <w:rPr>
                <w:b w:val="0"/>
                <w:bCs w:val="0"/>
                <w:u w:val="none"/>
              </w:rPr>
              <w:t>/h冷却塔，现有冷却塔为开式冷却塔，根据《工业循环水冷却设计规范》（GB/T50102-2014），冷却循环水蒸发损失量为循环水量的1%，浓缩倍数为5倍，则排污水为循环水量的0.25%，则排水量为24m</w:t>
            </w:r>
            <w:r>
              <w:rPr>
                <w:b w:val="0"/>
                <w:bCs w:val="0"/>
                <w:u w:val="none"/>
                <w:vertAlign w:val="superscript"/>
              </w:rPr>
              <w:t>3/</w:t>
            </w:r>
            <w:r>
              <w:rPr>
                <w:b w:val="0"/>
                <w:bCs w:val="0"/>
                <w:u w:val="none"/>
              </w:rPr>
              <w:t>d（7200m</w:t>
            </w:r>
            <w:r>
              <w:rPr>
                <w:b w:val="0"/>
                <w:bCs w:val="0"/>
                <w:u w:val="none"/>
                <w:vertAlign w:val="superscript"/>
              </w:rPr>
              <w:t>3</w:t>
            </w:r>
            <w:r>
              <w:rPr>
                <w:b w:val="0"/>
                <w:bCs w:val="0"/>
                <w:u w:val="none"/>
              </w:rPr>
              <w:t>/a）。废水中主要污染因子COD、氨氮、SS、盐类。</w:t>
            </w:r>
          </w:p>
          <w:p w14:paraId="0143A54B">
            <w:pPr>
              <w:pStyle w:val="5"/>
              <w:rPr>
                <w:rFonts w:hint="default"/>
                <w:b w:val="0"/>
                <w:bCs w:val="0"/>
                <w:u w:val="none"/>
              </w:rPr>
            </w:pPr>
            <w:r>
              <w:rPr>
                <w:b w:val="0"/>
                <w:bCs w:val="0"/>
                <w:u w:val="none"/>
              </w:rPr>
              <w:t>③初期雨水</w:t>
            </w:r>
          </w:p>
          <w:p w14:paraId="1B28D5F6">
            <w:pPr>
              <w:pStyle w:val="22"/>
              <w:widowControl w:val="0"/>
              <w:spacing w:beforeAutospacing="0" w:afterAutospacing="0" w:line="360" w:lineRule="auto"/>
              <w:ind w:firstLine="420" w:firstLineChars="200"/>
              <w:jc w:val="both"/>
              <w:rPr>
                <w:b w:val="0"/>
                <w:bCs w:val="0"/>
                <w:kern w:val="2"/>
                <w:sz w:val="21"/>
                <w:u w:val="none"/>
              </w:rPr>
            </w:pPr>
            <w:r>
              <w:rPr>
                <w:rFonts w:hint="eastAsia" w:ascii="宋体" w:hAnsi="宋体" w:cs="宋体"/>
                <w:b w:val="0"/>
                <w:bCs w:val="0"/>
                <w:kern w:val="2"/>
                <w:sz w:val="21"/>
                <w:u w:val="none"/>
                <w:lang w:bidi="ar"/>
              </w:rPr>
              <w:t>初期雨水指降雨初期时（</w:t>
            </w:r>
            <w:r>
              <w:rPr>
                <w:b w:val="0"/>
                <w:bCs w:val="0"/>
                <w:kern w:val="2"/>
                <w:sz w:val="21"/>
                <w:u w:val="none"/>
                <w:lang w:bidi="ar"/>
              </w:rPr>
              <w:t>20min</w:t>
            </w:r>
            <w:r>
              <w:rPr>
                <w:rFonts w:hint="eastAsia" w:ascii="宋体" w:hAnsi="宋体" w:cs="宋体"/>
                <w:b w:val="0"/>
                <w:bCs w:val="0"/>
                <w:kern w:val="2"/>
                <w:sz w:val="21"/>
                <w:u w:val="none"/>
                <w:lang w:bidi="ar"/>
              </w:rPr>
              <w:t>）的雨水，通常是指地面</w:t>
            </w:r>
            <w:r>
              <w:rPr>
                <w:b w:val="0"/>
                <w:bCs w:val="0"/>
                <w:kern w:val="2"/>
                <w:sz w:val="21"/>
                <w:u w:val="none"/>
                <w:lang w:bidi="ar"/>
              </w:rPr>
              <w:t>10</w:t>
            </w:r>
            <w:r>
              <w:rPr>
                <w:rFonts w:hint="eastAsia" w:ascii="宋体" w:hAnsi="宋体" w:cs="宋体"/>
                <w:b w:val="0"/>
                <w:bCs w:val="0"/>
                <w:kern w:val="2"/>
                <w:sz w:val="21"/>
                <w:u w:val="none"/>
                <w:lang w:bidi="ar"/>
              </w:rPr>
              <w:t>～</w:t>
            </w:r>
            <w:r>
              <w:rPr>
                <w:b w:val="0"/>
                <w:bCs w:val="0"/>
                <w:kern w:val="2"/>
                <w:sz w:val="21"/>
                <w:u w:val="none"/>
                <w:lang w:bidi="ar"/>
              </w:rPr>
              <w:t>15mm</w:t>
            </w:r>
            <w:r>
              <w:rPr>
                <w:rFonts w:hint="eastAsia" w:ascii="宋体" w:hAnsi="宋体" w:cs="宋体"/>
                <w:b w:val="0"/>
                <w:bCs w:val="0"/>
                <w:kern w:val="2"/>
                <w:sz w:val="21"/>
                <w:u w:val="none"/>
                <w:lang w:bidi="ar"/>
              </w:rPr>
              <w:t>厚已形成地表径流的降水。暴雨强度公式为：</w:t>
            </w:r>
          </w:p>
          <w:p w14:paraId="08A4FC30">
            <w:pPr>
              <w:pStyle w:val="22"/>
              <w:widowControl w:val="0"/>
              <w:spacing w:beforeAutospacing="0" w:afterAutospacing="0" w:line="360" w:lineRule="auto"/>
              <w:jc w:val="center"/>
              <w:rPr>
                <w:b w:val="0"/>
                <w:bCs w:val="0"/>
                <w:kern w:val="2"/>
                <w:sz w:val="21"/>
                <w:u w:val="none"/>
              </w:rPr>
            </w:pPr>
            <w:r>
              <w:rPr>
                <w:rFonts w:hint="eastAsia"/>
                <w:b w:val="0"/>
                <w:bCs w:val="0"/>
                <w:kern w:val="2"/>
                <w:sz w:val="21"/>
                <w:u w:val="none"/>
                <w:lang w:bidi="ar"/>
              </w:rPr>
              <w:drawing>
                <wp:inline distT="0" distB="0" distL="114300" distR="114300">
                  <wp:extent cx="2162175" cy="485775"/>
                  <wp:effectExtent l="0" t="0" r="9525"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8"/>
                          <a:stretch>
                            <a:fillRect/>
                          </a:stretch>
                        </pic:blipFill>
                        <pic:spPr>
                          <a:xfrm>
                            <a:off x="0" y="0"/>
                            <a:ext cx="2162175" cy="485775"/>
                          </a:xfrm>
                          <a:prstGeom prst="rect">
                            <a:avLst/>
                          </a:prstGeom>
                          <a:noFill/>
                          <a:ln w="9525">
                            <a:noFill/>
                          </a:ln>
                        </pic:spPr>
                      </pic:pic>
                    </a:graphicData>
                  </a:graphic>
                </wp:inline>
              </w:drawing>
            </w:r>
          </w:p>
          <w:p w14:paraId="3C6B76CC">
            <w:pPr>
              <w:pStyle w:val="22"/>
              <w:widowControl w:val="0"/>
              <w:spacing w:beforeAutospacing="0" w:afterAutospacing="0" w:line="360" w:lineRule="auto"/>
              <w:ind w:firstLine="420" w:firstLineChars="200"/>
              <w:jc w:val="both"/>
              <w:rPr>
                <w:b w:val="0"/>
                <w:bCs w:val="0"/>
                <w:kern w:val="2"/>
                <w:sz w:val="21"/>
                <w:u w:val="none"/>
              </w:rPr>
            </w:pPr>
            <w:r>
              <w:rPr>
                <w:rFonts w:hint="eastAsia" w:ascii="宋体" w:hAnsi="宋体" w:cs="宋体"/>
                <w:b w:val="0"/>
                <w:bCs w:val="0"/>
                <w:kern w:val="2"/>
                <w:sz w:val="21"/>
                <w:u w:val="none"/>
                <w:lang w:bidi="ar"/>
              </w:rPr>
              <w:t>式中，</w:t>
            </w:r>
            <w:r>
              <w:rPr>
                <w:b w:val="0"/>
                <w:bCs w:val="0"/>
                <w:kern w:val="2"/>
                <w:sz w:val="21"/>
                <w:u w:val="none"/>
                <w:lang w:bidi="ar"/>
              </w:rPr>
              <w:t>q——</w:t>
            </w:r>
            <w:r>
              <w:rPr>
                <w:rFonts w:hint="eastAsia" w:ascii="宋体" w:hAnsi="宋体" w:cs="宋体"/>
                <w:b w:val="0"/>
                <w:bCs w:val="0"/>
                <w:kern w:val="2"/>
                <w:sz w:val="21"/>
                <w:u w:val="none"/>
                <w:lang w:bidi="ar"/>
              </w:rPr>
              <w:t>设计暴雨强度，</w:t>
            </w:r>
            <w:r>
              <w:rPr>
                <w:b w:val="0"/>
                <w:bCs w:val="0"/>
                <w:kern w:val="2"/>
                <w:sz w:val="21"/>
                <w:u w:val="none"/>
                <w:lang w:bidi="ar"/>
              </w:rPr>
              <w:t>L/</w:t>
            </w:r>
            <w:r>
              <w:rPr>
                <w:rFonts w:hint="eastAsia" w:ascii="宋体" w:hAnsi="宋体" w:cs="宋体"/>
                <w:b w:val="0"/>
                <w:bCs w:val="0"/>
                <w:kern w:val="2"/>
                <w:sz w:val="21"/>
                <w:u w:val="none"/>
                <w:lang w:bidi="ar"/>
              </w:rPr>
              <w:t>（</w:t>
            </w:r>
            <w:r>
              <w:rPr>
                <w:b w:val="0"/>
                <w:bCs w:val="0"/>
                <w:kern w:val="2"/>
                <w:sz w:val="21"/>
                <w:u w:val="none"/>
                <w:lang w:bidi="ar"/>
              </w:rPr>
              <w:t>s·</w:t>
            </w:r>
            <w:r>
              <w:rPr>
                <w:rFonts w:hint="eastAsia" w:ascii="宋体" w:hAnsi="宋体" w:cs="宋体"/>
                <w:b w:val="0"/>
                <w:bCs w:val="0"/>
                <w:kern w:val="2"/>
                <w:sz w:val="21"/>
                <w:u w:val="none"/>
                <w:lang w:bidi="ar"/>
              </w:rPr>
              <w:t>公顷）；</w:t>
            </w:r>
          </w:p>
          <w:p w14:paraId="01B93888">
            <w:pPr>
              <w:pStyle w:val="22"/>
              <w:widowControl w:val="0"/>
              <w:spacing w:beforeAutospacing="0" w:afterAutospacing="0" w:line="360" w:lineRule="auto"/>
              <w:ind w:firstLine="420" w:firstLineChars="200"/>
              <w:jc w:val="both"/>
              <w:rPr>
                <w:b w:val="0"/>
                <w:bCs w:val="0"/>
                <w:kern w:val="2"/>
                <w:sz w:val="21"/>
                <w:u w:val="none"/>
              </w:rPr>
            </w:pPr>
            <w:r>
              <w:rPr>
                <w:b w:val="0"/>
                <w:bCs w:val="0"/>
                <w:kern w:val="2"/>
                <w:sz w:val="21"/>
                <w:u w:val="none"/>
                <w:lang w:bidi="ar"/>
              </w:rPr>
              <w:t>t——</w:t>
            </w:r>
            <w:r>
              <w:rPr>
                <w:rFonts w:hint="eastAsia" w:ascii="宋体" w:hAnsi="宋体" w:cs="宋体"/>
                <w:b w:val="0"/>
                <w:bCs w:val="0"/>
                <w:kern w:val="2"/>
                <w:sz w:val="21"/>
                <w:u w:val="none"/>
                <w:lang w:bidi="ar"/>
              </w:rPr>
              <w:t>设计降雨历时，</w:t>
            </w:r>
            <w:r>
              <w:rPr>
                <w:b w:val="0"/>
                <w:bCs w:val="0"/>
                <w:kern w:val="2"/>
                <w:sz w:val="21"/>
                <w:u w:val="none"/>
                <w:lang w:bidi="ar"/>
              </w:rPr>
              <w:t>min</w:t>
            </w:r>
            <w:r>
              <w:rPr>
                <w:rFonts w:hint="eastAsia" w:ascii="宋体" w:hAnsi="宋体" w:cs="宋体"/>
                <w:b w:val="0"/>
                <w:bCs w:val="0"/>
                <w:kern w:val="2"/>
                <w:sz w:val="21"/>
                <w:u w:val="none"/>
                <w:lang w:bidi="ar"/>
              </w:rPr>
              <w:t>，按</w:t>
            </w:r>
            <w:r>
              <w:rPr>
                <w:b w:val="0"/>
                <w:bCs w:val="0"/>
                <w:kern w:val="2"/>
                <w:sz w:val="21"/>
                <w:u w:val="none"/>
                <w:lang w:bidi="ar"/>
              </w:rPr>
              <w:t>20min</w:t>
            </w:r>
            <w:r>
              <w:rPr>
                <w:rFonts w:hint="eastAsia" w:ascii="宋体" w:hAnsi="宋体" w:cs="宋体"/>
                <w:b w:val="0"/>
                <w:bCs w:val="0"/>
                <w:kern w:val="2"/>
                <w:sz w:val="21"/>
                <w:u w:val="none"/>
                <w:lang w:bidi="ar"/>
              </w:rPr>
              <w:t>计；</w:t>
            </w:r>
          </w:p>
          <w:p w14:paraId="39BA6F0E">
            <w:pPr>
              <w:pStyle w:val="22"/>
              <w:widowControl w:val="0"/>
              <w:spacing w:beforeAutospacing="0" w:afterAutospacing="0" w:line="360" w:lineRule="auto"/>
              <w:ind w:firstLine="420" w:firstLineChars="200"/>
              <w:jc w:val="both"/>
              <w:rPr>
                <w:b w:val="0"/>
                <w:bCs w:val="0"/>
                <w:kern w:val="2"/>
                <w:sz w:val="21"/>
                <w:u w:val="none"/>
              </w:rPr>
            </w:pPr>
            <w:r>
              <w:rPr>
                <w:b w:val="0"/>
                <w:bCs w:val="0"/>
                <w:kern w:val="2"/>
                <w:sz w:val="21"/>
                <w:u w:val="none"/>
                <w:lang w:bidi="ar"/>
              </w:rPr>
              <w:t>P——</w:t>
            </w:r>
            <w:r>
              <w:rPr>
                <w:rFonts w:hint="eastAsia" w:ascii="宋体" w:hAnsi="宋体" w:cs="宋体"/>
                <w:b w:val="0"/>
                <w:bCs w:val="0"/>
                <w:kern w:val="2"/>
                <w:sz w:val="21"/>
                <w:u w:val="none"/>
                <w:lang w:bidi="ar"/>
              </w:rPr>
              <w:t>设计重现期，年，按</w:t>
            </w:r>
            <w:r>
              <w:rPr>
                <w:b w:val="0"/>
                <w:bCs w:val="0"/>
                <w:kern w:val="2"/>
                <w:sz w:val="21"/>
                <w:u w:val="none"/>
                <w:lang w:bidi="ar"/>
              </w:rPr>
              <w:t>2</w:t>
            </w:r>
            <w:r>
              <w:rPr>
                <w:rFonts w:hint="eastAsia" w:ascii="宋体" w:hAnsi="宋体" w:cs="宋体"/>
                <w:b w:val="0"/>
                <w:bCs w:val="0"/>
                <w:kern w:val="2"/>
                <w:sz w:val="21"/>
                <w:u w:val="none"/>
                <w:lang w:bidi="ar"/>
              </w:rPr>
              <w:t>年计。</w:t>
            </w:r>
          </w:p>
          <w:p w14:paraId="40434807">
            <w:pPr>
              <w:pStyle w:val="22"/>
              <w:widowControl w:val="0"/>
              <w:spacing w:beforeAutospacing="0" w:afterAutospacing="0" w:line="360" w:lineRule="auto"/>
              <w:ind w:firstLine="420" w:firstLineChars="200"/>
              <w:jc w:val="both"/>
              <w:rPr>
                <w:b w:val="0"/>
                <w:bCs w:val="0"/>
                <w:kern w:val="2"/>
                <w:sz w:val="21"/>
                <w:u w:val="none"/>
              </w:rPr>
            </w:pPr>
            <w:r>
              <w:rPr>
                <w:rFonts w:hint="eastAsia" w:ascii="宋体" w:hAnsi="宋体" w:cs="宋体"/>
                <w:b w:val="0"/>
                <w:bCs w:val="0"/>
                <w:kern w:val="2"/>
                <w:sz w:val="21"/>
                <w:u w:val="none"/>
                <w:lang w:bidi="ar"/>
              </w:rPr>
              <w:t>根据计算可知，区域暴雨强度</w:t>
            </w:r>
            <w:r>
              <w:rPr>
                <w:b w:val="0"/>
                <w:bCs w:val="0"/>
                <w:kern w:val="2"/>
                <w:sz w:val="21"/>
                <w:u w:val="none"/>
                <w:lang w:bidi="ar"/>
              </w:rPr>
              <w:t>q</w:t>
            </w:r>
            <w:r>
              <w:rPr>
                <w:rFonts w:hint="eastAsia" w:ascii="宋体" w:hAnsi="宋体" w:cs="宋体"/>
                <w:b w:val="0"/>
                <w:bCs w:val="0"/>
                <w:kern w:val="2"/>
                <w:sz w:val="21"/>
                <w:u w:val="none"/>
                <w:lang w:bidi="ar"/>
              </w:rPr>
              <w:t>为</w:t>
            </w:r>
            <w:r>
              <w:rPr>
                <w:b w:val="0"/>
                <w:bCs w:val="0"/>
                <w:kern w:val="2"/>
                <w:sz w:val="21"/>
                <w:u w:val="none"/>
                <w:lang w:bidi="ar"/>
              </w:rPr>
              <w:t>200.61L/</w:t>
            </w:r>
            <w:r>
              <w:rPr>
                <w:rFonts w:hint="eastAsia" w:ascii="宋体" w:hAnsi="宋体" w:cs="宋体"/>
                <w:b w:val="0"/>
                <w:bCs w:val="0"/>
                <w:kern w:val="2"/>
                <w:sz w:val="21"/>
                <w:u w:val="none"/>
                <w:lang w:bidi="ar"/>
              </w:rPr>
              <w:t>（</w:t>
            </w:r>
            <w:r>
              <w:rPr>
                <w:b w:val="0"/>
                <w:bCs w:val="0"/>
                <w:kern w:val="2"/>
                <w:sz w:val="21"/>
                <w:u w:val="none"/>
                <w:lang w:bidi="ar"/>
              </w:rPr>
              <w:t>s·hm</w:t>
            </w:r>
            <w:r>
              <w:rPr>
                <w:b w:val="0"/>
                <w:bCs w:val="0"/>
                <w:kern w:val="2"/>
                <w:sz w:val="21"/>
                <w:u w:val="none"/>
                <w:vertAlign w:val="superscript"/>
                <w:lang w:bidi="ar"/>
              </w:rPr>
              <w:t>2</w:t>
            </w:r>
            <w:r>
              <w:rPr>
                <w:rFonts w:hint="eastAsia" w:ascii="宋体" w:hAnsi="宋体" w:cs="宋体"/>
                <w:b w:val="0"/>
                <w:bCs w:val="0"/>
                <w:kern w:val="2"/>
                <w:sz w:val="21"/>
                <w:u w:val="none"/>
                <w:lang w:bidi="ar"/>
              </w:rPr>
              <w:t>）。本次按照一期工程</w:t>
            </w:r>
            <w:r>
              <w:rPr>
                <w:rFonts w:hint="eastAsia" w:ascii="宋体" w:hAnsi="宋体" w:cs="宋体"/>
                <w:b w:val="0"/>
                <w:bCs w:val="0"/>
                <w:kern w:val="2"/>
                <w:sz w:val="21"/>
                <w:u w:val="none"/>
                <w:lang w:eastAsia="zh-CN" w:bidi="ar"/>
              </w:rPr>
              <w:t>二氧化碳</w:t>
            </w:r>
            <w:r>
              <w:rPr>
                <w:rFonts w:hint="eastAsia" w:ascii="宋体" w:hAnsi="宋体" w:cs="宋体"/>
                <w:b w:val="0"/>
                <w:bCs w:val="0"/>
                <w:kern w:val="2"/>
                <w:sz w:val="21"/>
                <w:u w:val="none"/>
                <w:lang w:bidi="ar"/>
              </w:rPr>
              <w:t>和</w:t>
            </w:r>
            <w:r>
              <w:rPr>
                <w:rFonts w:hint="eastAsia" w:ascii="宋体" w:hAnsi="宋体" w:cs="宋体"/>
                <w:b w:val="0"/>
                <w:bCs w:val="0"/>
                <w:kern w:val="2"/>
                <w:sz w:val="21"/>
                <w:u w:val="none"/>
                <w:lang w:eastAsia="zh-CN" w:bidi="ar"/>
              </w:rPr>
              <w:t>超纯氨</w:t>
            </w:r>
            <w:r>
              <w:rPr>
                <w:rFonts w:hint="eastAsia" w:ascii="宋体" w:hAnsi="宋体" w:cs="宋体"/>
                <w:b w:val="0"/>
                <w:bCs w:val="0"/>
                <w:kern w:val="2"/>
                <w:sz w:val="21"/>
                <w:u w:val="none"/>
                <w:lang w:bidi="ar"/>
              </w:rPr>
              <w:t>提纯装置区域为主要计算面积，集雨面积约为</w:t>
            </w:r>
            <w:r>
              <w:rPr>
                <w:b w:val="0"/>
                <w:bCs w:val="0"/>
                <w:kern w:val="2"/>
                <w:sz w:val="21"/>
                <w:u w:val="none"/>
                <w:lang w:bidi="ar"/>
              </w:rPr>
              <w:t>174</w:t>
            </w:r>
            <w:r>
              <w:rPr>
                <w:rFonts w:hint="eastAsia"/>
                <w:b w:val="0"/>
                <w:bCs w:val="0"/>
                <w:kern w:val="2"/>
                <w:sz w:val="21"/>
                <w:u w:val="none"/>
                <w:lang w:bidi="ar"/>
              </w:rPr>
              <w:t>30</w:t>
            </w:r>
            <w:r>
              <w:rPr>
                <w:b w:val="0"/>
                <w:bCs w:val="0"/>
                <w:kern w:val="2"/>
                <w:sz w:val="21"/>
                <w:u w:val="none"/>
                <w:lang w:bidi="ar"/>
              </w:rPr>
              <w:t>m</w:t>
            </w:r>
            <w:r>
              <w:rPr>
                <w:b w:val="0"/>
                <w:bCs w:val="0"/>
                <w:kern w:val="2"/>
                <w:sz w:val="21"/>
                <w:u w:val="none"/>
                <w:vertAlign w:val="superscript"/>
                <w:lang w:bidi="ar"/>
              </w:rPr>
              <w:t>2</w:t>
            </w:r>
            <w:r>
              <w:rPr>
                <w:rFonts w:hint="eastAsia" w:ascii="宋体" w:hAnsi="宋体" w:cs="宋体"/>
                <w:b w:val="0"/>
                <w:bCs w:val="0"/>
                <w:kern w:val="2"/>
                <w:sz w:val="21"/>
                <w:u w:val="none"/>
                <w:lang w:bidi="ar"/>
              </w:rPr>
              <w:t>，雨水流量计算公式为：</w:t>
            </w:r>
          </w:p>
          <w:p w14:paraId="702EFA26">
            <w:pPr>
              <w:pStyle w:val="22"/>
              <w:widowControl w:val="0"/>
              <w:spacing w:beforeAutospacing="0" w:afterAutospacing="0" w:line="360" w:lineRule="auto"/>
              <w:jc w:val="center"/>
              <w:rPr>
                <w:b w:val="0"/>
                <w:bCs w:val="0"/>
                <w:kern w:val="2"/>
                <w:sz w:val="21"/>
                <w:u w:val="none"/>
              </w:rPr>
            </w:pPr>
            <w:r>
              <w:rPr>
                <w:b w:val="0"/>
                <w:bCs w:val="0"/>
                <w:kern w:val="2"/>
                <w:sz w:val="21"/>
                <w:u w:val="none"/>
                <w:lang w:bidi="ar"/>
              </w:rPr>
              <w:t>Q=q×Ψ×S</w:t>
            </w:r>
          </w:p>
          <w:p w14:paraId="553F7A31">
            <w:pPr>
              <w:pStyle w:val="22"/>
              <w:widowControl w:val="0"/>
              <w:spacing w:beforeAutospacing="0" w:afterAutospacing="0" w:line="360" w:lineRule="auto"/>
              <w:ind w:firstLine="420" w:firstLineChars="200"/>
              <w:jc w:val="both"/>
              <w:rPr>
                <w:b w:val="0"/>
                <w:bCs w:val="0"/>
                <w:kern w:val="2"/>
                <w:sz w:val="21"/>
                <w:u w:val="none"/>
              </w:rPr>
            </w:pPr>
            <w:r>
              <w:rPr>
                <w:rFonts w:hint="eastAsia" w:ascii="宋体" w:hAnsi="宋体" w:cs="宋体"/>
                <w:b w:val="0"/>
                <w:bCs w:val="0"/>
                <w:kern w:val="2"/>
                <w:sz w:val="21"/>
                <w:u w:val="none"/>
                <w:lang w:bidi="ar"/>
              </w:rPr>
              <w:t>式中，</w:t>
            </w:r>
            <w:r>
              <w:rPr>
                <w:b w:val="0"/>
                <w:bCs w:val="0"/>
                <w:kern w:val="2"/>
                <w:sz w:val="21"/>
                <w:u w:val="none"/>
                <w:lang w:bidi="ar"/>
              </w:rPr>
              <w:t>Ψ——</w:t>
            </w:r>
            <w:r>
              <w:rPr>
                <w:rFonts w:hint="eastAsia" w:ascii="宋体" w:hAnsi="宋体" w:cs="宋体"/>
                <w:b w:val="0"/>
                <w:bCs w:val="0"/>
                <w:kern w:val="2"/>
                <w:sz w:val="21"/>
                <w:u w:val="none"/>
                <w:lang w:bidi="ar"/>
              </w:rPr>
              <w:t>径流系数，取</w:t>
            </w:r>
            <w:r>
              <w:rPr>
                <w:b w:val="0"/>
                <w:bCs w:val="0"/>
                <w:kern w:val="2"/>
                <w:sz w:val="21"/>
                <w:u w:val="none"/>
                <w:lang w:bidi="ar"/>
              </w:rPr>
              <w:t>0.9</w:t>
            </w:r>
            <w:r>
              <w:rPr>
                <w:rFonts w:hint="eastAsia" w:ascii="宋体" w:hAnsi="宋体" w:cs="宋体"/>
                <w:b w:val="0"/>
                <w:bCs w:val="0"/>
                <w:kern w:val="2"/>
                <w:sz w:val="21"/>
                <w:u w:val="none"/>
                <w:lang w:bidi="ar"/>
              </w:rPr>
              <w:t>；</w:t>
            </w:r>
          </w:p>
          <w:p w14:paraId="7F3F8356">
            <w:pPr>
              <w:pStyle w:val="22"/>
              <w:widowControl w:val="0"/>
              <w:spacing w:beforeAutospacing="0" w:afterAutospacing="0" w:line="360" w:lineRule="auto"/>
              <w:ind w:firstLine="420" w:firstLineChars="200"/>
              <w:jc w:val="both"/>
              <w:rPr>
                <w:b w:val="0"/>
                <w:bCs w:val="0"/>
                <w:kern w:val="2"/>
                <w:sz w:val="21"/>
                <w:u w:val="none"/>
              </w:rPr>
            </w:pPr>
            <w:r>
              <w:rPr>
                <w:b w:val="0"/>
                <w:bCs w:val="0"/>
                <w:kern w:val="2"/>
                <w:sz w:val="21"/>
                <w:u w:val="none"/>
                <w:lang w:bidi="ar"/>
              </w:rPr>
              <w:t>S——</w:t>
            </w:r>
            <w:r>
              <w:rPr>
                <w:rFonts w:hint="eastAsia" w:ascii="宋体" w:hAnsi="宋体" w:cs="宋体"/>
                <w:b w:val="0"/>
                <w:bCs w:val="0"/>
                <w:kern w:val="2"/>
                <w:sz w:val="21"/>
                <w:u w:val="none"/>
                <w:lang w:bidi="ar"/>
              </w:rPr>
              <w:t>汇水面积，</w:t>
            </w:r>
            <w:r>
              <w:rPr>
                <w:b w:val="0"/>
                <w:bCs w:val="0"/>
                <w:kern w:val="2"/>
                <w:sz w:val="21"/>
                <w:u w:val="none"/>
                <w:lang w:bidi="ar"/>
              </w:rPr>
              <w:t>hm</w:t>
            </w:r>
            <w:r>
              <w:rPr>
                <w:b w:val="0"/>
                <w:bCs w:val="0"/>
                <w:kern w:val="2"/>
                <w:sz w:val="21"/>
                <w:u w:val="none"/>
                <w:vertAlign w:val="superscript"/>
                <w:lang w:bidi="ar"/>
              </w:rPr>
              <w:t>2</w:t>
            </w:r>
            <w:r>
              <w:rPr>
                <w:rFonts w:hint="eastAsia" w:ascii="宋体" w:hAnsi="宋体" w:cs="宋体"/>
                <w:b w:val="0"/>
                <w:bCs w:val="0"/>
                <w:kern w:val="2"/>
                <w:sz w:val="21"/>
                <w:u w:val="none"/>
                <w:lang w:bidi="ar"/>
              </w:rPr>
              <w:t>。</w:t>
            </w:r>
          </w:p>
          <w:p w14:paraId="429E7CC4">
            <w:pPr>
              <w:pStyle w:val="22"/>
              <w:widowControl w:val="0"/>
              <w:spacing w:beforeAutospacing="0" w:afterAutospacing="0" w:line="360" w:lineRule="auto"/>
              <w:ind w:firstLine="420" w:firstLineChars="200"/>
              <w:jc w:val="both"/>
              <w:rPr>
                <w:b w:val="0"/>
                <w:bCs w:val="0"/>
                <w:kern w:val="2"/>
                <w:sz w:val="21"/>
                <w:u w:val="none"/>
              </w:rPr>
            </w:pPr>
            <w:r>
              <w:rPr>
                <w:rFonts w:hint="eastAsia" w:ascii="宋体" w:hAnsi="宋体" w:cs="宋体"/>
                <w:b w:val="0"/>
                <w:bCs w:val="0"/>
                <w:kern w:val="2"/>
                <w:sz w:val="21"/>
                <w:u w:val="none"/>
                <w:lang w:bidi="ar"/>
              </w:rPr>
              <w:t>根据计算可知，本项目雨水流量</w:t>
            </w:r>
            <w:r>
              <w:rPr>
                <w:b w:val="0"/>
                <w:bCs w:val="0"/>
                <w:kern w:val="2"/>
                <w:sz w:val="21"/>
                <w:u w:val="none"/>
                <w:lang w:bidi="ar"/>
              </w:rPr>
              <w:t>Q</w:t>
            </w:r>
            <w:r>
              <w:rPr>
                <w:rFonts w:hint="eastAsia" w:ascii="宋体" w:hAnsi="宋体" w:cs="宋体"/>
                <w:b w:val="0"/>
                <w:bCs w:val="0"/>
                <w:kern w:val="2"/>
                <w:sz w:val="21"/>
                <w:u w:val="none"/>
                <w:lang w:bidi="ar"/>
              </w:rPr>
              <w:t>为</w:t>
            </w:r>
            <w:r>
              <w:rPr>
                <w:rFonts w:hint="eastAsia"/>
                <w:b w:val="0"/>
                <w:bCs w:val="0"/>
                <w:kern w:val="2"/>
                <w:sz w:val="21"/>
                <w:u w:val="none"/>
                <w:lang w:bidi="ar"/>
              </w:rPr>
              <w:t>314.7</w:t>
            </w:r>
            <w:r>
              <w:rPr>
                <w:b w:val="0"/>
                <w:bCs w:val="0"/>
                <w:kern w:val="2"/>
                <w:sz w:val="21"/>
                <w:u w:val="none"/>
                <w:lang w:bidi="ar"/>
              </w:rPr>
              <w:t>L/s</w:t>
            </w:r>
            <w:r>
              <w:rPr>
                <w:rFonts w:hint="eastAsia" w:ascii="宋体" w:hAnsi="宋体" w:cs="宋体"/>
                <w:b w:val="0"/>
                <w:bCs w:val="0"/>
                <w:kern w:val="2"/>
                <w:sz w:val="21"/>
                <w:u w:val="none"/>
                <w:lang w:bidi="ar"/>
              </w:rPr>
              <w:t>，</w:t>
            </w:r>
            <w:r>
              <w:rPr>
                <w:b w:val="0"/>
                <w:bCs w:val="0"/>
                <w:kern w:val="2"/>
                <w:sz w:val="21"/>
                <w:u w:val="none"/>
                <w:lang w:bidi="ar"/>
              </w:rPr>
              <w:t>一次暴雨（15min）</w:t>
            </w:r>
            <w:r>
              <w:rPr>
                <w:rFonts w:hint="eastAsia" w:ascii="宋体" w:hAnsi="宋体" w:cs="宋体"/>
                <w:b w:val="0"/>
                <w:bCs w:val="0"/>
                <w:kern w:val="2"/>
                <w:sz w:val="21"/>
                <w:u w:val="none"/>
                <w:lang w:bidi="ar"/>
              </w:rPr>
              <w:t>初期雨水量为</w:t>
            </w:r>
            <w:r>
              <w:rPr>
                <w:b w:val="0"/>
                <w:bCs w:val="0"/>
                <w:kern w:val="2"/>
                <w:sz w:val="21"/>
                <w:u w:val="none"/>
                <w:lang w:bidi="ar"/>
              </w:rPr>
              <w:t>28</w:t>
            </w:r>
            <w:r>
              <w:rPr>
                <w:rFonts w:hint="eastAsia"/>
                <w:b w:val="0"/>
                <w:bCs w:val="0"/>
                <w:kern w:val="2"/>
                <w:sz w:val="21"/>
                <w:u w:val="none"/>
                <w:lang w:bidi="ar"/>
              </w:rPr>
              <w:t>3.23</w:t>
            </w:r>
            <w:r>
              <w:rPr>
                <w:b w:val="0"/>
                <w:bCs w:val="0"/>
                <w:kern w:val="2"/>
                <w:sz w:val="21"/>
                <w:u w:val="none"/>
                <w:lang w:bidi="ar"/>
              </w:rPr>
              <w:t>m</w:t>
            </w:r>
            <w:r>
              <w:rPr>
                <w:b w:val="0"/>
                <w:bCs w:val="0"/>
                <w:kern w:val="2"/>
                <w:sz w:val="21"/>
                <w:u w:val="none"/>
                <w:vertAlign w:val="superscript"/>
                <w:lang w:bidi="ar"/>
              </w:rPr>
              <w:t>3</w:t>
            </w:r>
            <w:r>
              <w:rPr>
                <w:rFonts w:hint="eastAsia" w:ascii="宋体" w:hAnsi="宋体" w:cs="宋体"/>
                <w:b w:val="0"/>
                <w:bCs w:val="0"/>
                <w:kern w:val="2"/>
                <w:sz w:val="21"/>
                <w:u w:val="none"/>
                <w:lang w:bidi="ar"/>
              </w:rPr>
              <w:t>。</w:t>
            </w:r>
          </w:p>
          <w:p w14:paraId="5525553A">
            <w:pPr>
              <w:pStyle w:val="22"/>
              <w:widowControl w:val="0"/>
              <w:spacing w:beforeAutospacing="0" w:afterAutospacing="0" w:line="360" w:lineRule="auto"/>
              <w:ind w:firstLine="420" w:firstLineChars="200"/>
              <w:jc w:val="both"/>
              <w:rPr>
                <w:b w:val="0"/>
                <w:bCs w:val="0"/>
                <w:kern w:val="2"/>
                <w:sz w:val="21"/>
                <w:u w:val="none"/>
              </w:rPr>
            </w:pPr>
            <w:r>
              <w:rPr>
                <w:rFonts w:hint="eastAsia" w:ascii="宋体" w:hAnsi="宋体" w:cs="宋体"/>
                <w:b w:val="0"/>
                <w:bCs w:val="0"/>
                <w:kern w:val="2"/>
                <w:sz w:val="21"/>
                <w:u w:val="none"/>
                <w:lang w:bidi="ar"/>
              </w:rPr>
              <w:t>全年初期雨水总量估算：</w:t>
            </w:r>
          </w:p>
          <w:p w14:paraId="14436CBD">
            <w:pPr>
              <w:pStyle w:val="22"/>
              <w:widowControl w:val="0"/>
              <w:spacing w:beforeAutospacing="0" w:afterAutospacing="0" w:line="360" w:lineRule="auto"/>
              <w:ind w:firstLine="420" w:firstLineChars="200"/>
              <w:jc w:val="both"/>
              <w:rPr>
                <w:b w:val="0"/>
                <w:bCs w:val="0"/>
                <w:kern w:val="2"/>
                <w:sz w:val="21"/>
                <w:u w:val="none"/>
              </w:rPr>
            </w:pPr>
            <w:r>
              <w:rPr>
                <w:rFonts w:hint="eastAsia" w:ascii="宋体" w:hAnsi="宋体" w:cs="宋体"/>
                <w:b w:val="0"/>
                <w:bCs w:val="0"/>
                <w:kern w:val="2"/>
                <w:sz w:val="21"/>
                <w:u w:val="none"/>
                <w:lang w:bidi="ar"/>
              </w:rPr>
              <w:t>其产生量可按下述公式计算：</w:t>
            </w:r>
          </w:p>
          <w:p w14:paraId="79AF39E4">
            <w:pPr>
              <w:pStyle w:val="22"/>
              <w:widowControl w:val="0"/>
              <w:spacing w:beforeAutospacing="0" w:afterAutospacing="0" w:line="360" w:lineRule="auto"/>
              <w:ind w:firstLine="420" w:firstLineChars="200"/>
              <w:jc w:val="both"/>
              <w:rPr>
                <w:b w:val="0"/>
                <w:bCs w:val="0"/>
                <w:kern w:val="2"/>
                <w:sz w:val="21"/>
                <w:u w:val="none"/>
              </w:rPr>
            </w:pPr>
            <w:r>
              <w:rPr>
                <w:rFonts w:hint="eastAsia" w:ascii="宋体" w:hAnsi="宋体" w:cs="宋体"/>
                <w:b w:val="0"/>
                <w:bCs w:val="0"/>
                <w:kern w:val="2"/>
                <w:sz w:val="21"/>
                <w:u w:val="none"/>
                <w:lang w:bidi="ar"/>
              </w:rPr>
              <w:t>年均初期雨水量</w:t>
            </w:r>
            <w:r>
              <w:rPr>
                <w:b w:val="0"/>
                <w:bCs w:val="0"/>
                <w:kern w:val="2"/>
                <w:sz w:val="21"/>
                <w:u w:val="none"/>
                <w:lang w:bidi="ar"/>
              </w:rPr>
              <w:t>=</w:t>
            </w:r>
            <w:r>
              <w:rPr>
                <w:rFonts w:hint="eastAsia" w:ascii="宋体" w:hAnsi="宋体" w:cs="宋体"/>
                <w:b w:val="0"/>
                <w:bCs w:val="0"/>
                <w:kern w:val="2"/>
                <w:sz w:val="21"/>
                <w:u w:val="none"/>
                <w:lang w:bidi="ar"/>
              </w:rPr>
              <w:t>所在地区年均降雨量</w:t>
            </w:r>
            <w:r>
              <w:rPr>
                <w:b w:val="0"/>
                <w:bCs w:val="0"/>
                <w:kern w:val="2"/>
                <w:sz w:val="21"/>
                <w:u w:val="none"/>
                <w:lang w:bidi="ar"/>
              </w:rPr>
              <w:t>(mm)</w:t>
            </w:r>
            <w:r>
              <w:rPr>
                <w:rFonts w:hint="eastAsia" w:ascii="宋体" w:hAnsi="宋体" w:cs="宋体"/>
                <w:b w:val="0"/>
                <w:bCs w:val="0"/>
                <w:kern w:val="2"/>
                <w:sz w:val="21"/>
                <w:u w:val="none"/>
                <w:lang w:bidi="ar"/>
              </w:rPr>
              <w:t>×</w:t>
            </w:r>
            <w:r>
              <w:rPr>
                <w:b w:val="0"/>
                <w:bCs w:val="0"/>
                <w:kern w:val="2"/>
                <w:sz w:val="21"/>
                <w:u w:val="none"/>
                <w:lang w:bidi="ar"/>
              </w:rPr>
              <w:t>10</w:t>
            </w:r>
            <w:r>
              <w:rPr>
                <w:b w:val="0"/>
                <w:bCs w:val="0"/>
                <w:kern w:val="2"/>
                <w:sz w:val="21"/>
                <w:u w:val="none"/>
                <w:vertAlign w:val="superscript"/>
                <w:lang w:bidi="ar"/>
              </w:rPr>
              <w:t>-3</w:t>
            </w:r>
            <w:r>
              <w:rPr>
                <w:rFonts w:hint="eastAsia" w:ascii="宋体" w:hAnsi="宋体" w:cs="宋体"/>
                <w:b w:val="0"/>
                <w:bCs w:val="0"/>
                <w:kern w:val="2"/>
                <w:sz w:val="21"/>
                <w:u w:val="none"/>
                <w:lang w:bidi="ar"/>
              </w:rPr>
              <w:t>×径流系数×集雨面积</w:t>
            </w:r>
            <w:r>
              <w:rPr>
                <w:b w:val="0"/>
                <w:bCs w:val="0"/>
                <w:kern w:val="2"/>
                <w:sz w:val="21"/>
                <w:u w:val="none"/>
                <w:lang w:bidi="ar"/>
              </w:rPr>
              <w:t>(m</w:t>
            </w:r>
            <w:r>
              <w:rPr>
                <w:rFonts w:hint="eastAsia"/>
                <w:b w:val="0"/>
                <w:bCs w:val="0"/>
                <w:kern w:val="2"/>
                <w:sz w:val="21"/>
                <w:u w:val="none"/>
                <w:vertAlign w:val="superscript"/>
                <w:lang w:bidi="ar"/>
              </w:rPr>
              <w:t>2</w:t>
            </w:r>
            <w:r>
              <w:rPr>
                <w:b w:val="0"/>
                <w:bCs w:val="0"/>
                <w:kern w:val="2"/>
                <w:sz w:val="21"/>
                <w:u w:val="none"/>
                <w:lang w:bidi="ar"/>
              </w:rPr>
              <w:t>)</w:t>
            </w:r>
            <w:r>
              <w:rPr>
                <w:rFonts w:hint="eastAsia" w:ascii="宋体" w:hAnsi="宋体" w:cs="宋体"/>
                <w:b w:val="0"/>
                <w:bCs w:val="0"/>
                <w:kern w:val="2"/>
                <w:sz w:val="21"/>
                <w:u w:val="none"/>
                <w:lang w:bidi="ar"/>
              </w:rPr>
              <w:t>×</w:t>
            </w:r>
            <w:r>
              <w:rPr>
                <w:b w:val="0"/>
                <w:bCs w:val="0"/>
                <w:kern w:val="2"/>
                <w:sz w:val="21"/>
                <w:u w:val="none"/>
                <w:lang w:bidi="ar"/>
              </w:rPr>
              <w:t>20/180</w:t>
            </w:r>
          </w:p>
          <w:p w14:paraId="524CD89D">
            <w:pPr>
              <w:pStyle w:val="22"/>
              <w:widowControl w:val="0"/>
              <w:spacing w:beforeAutospacing="0" w:afterAutospacing="0" w:line="360" w:lineRule="auto"/>
              <w:ind w:firstLine="420" w:firstLineChars="200"/>
              <w:jc w:val="both"/>
              <w:rPr>
                <w:rFonts w:ascii="宋体" w:hAnsi="宋体" w:cs="宋体"/>
                <w:b w:val="0"/>
                <w:bCs w:val="0"/>
                <w:kern w:val="2"/>
                <w:sz w:val="21"/>
                <w:u w:val="none"/>
              </w:rPr>
            </w:pPr>
            <w:r>
              <w:rPr>
                <w:rFonts w:hint="eastAsia" w:ascii="宋体" w:hAnsi="宋体" w:cs="宋体"/>
                <w:b w:val="0"/>
                <w:bCs w:val="0"/>
                <w:kern w:val="2"/>
                <w:sz w:val="21"/>
                <w:u w:val="none"/>
                <w:lang w:bidi="ar"/>
              </w:rPr>
              <w:t>经计算，全年初期雨水总量为</w:t>
            </w:r>
            <w:r>
              <w:rPr>
                <w:b w:val="0"/>
                <w:bCs w:val="0"/>
                <w:kern w:val="2"/>
                <w:sz w:val="21"/>
                <w:u w:val="none"/>
                <w:lang w:bidi="ar"/>
              </w:rPr>
              <w:t>1398.88m</w:t>
            </w:r>
            <w:r>
              <w:rPr>
                <w:rFonts w:hint="eastAsia" w:ascii="宋体" w:hAnsi="宋体" w:cs="宋体"/>
                <w:b w:val="0"/>
                <w:bCs w:val="0"/>
                <w:kern w:val="2"/>
                <w:sz w:val="21"/>
                <w:u w:val="none"/>
                <w:lang w:bidi="ar"/>
              </w:rPr>
              <w:t>³</w:t>
            </w:r>
            <w:r>
              <w:rPr>
                <w:b w:val="0"/>
                <w:bCs w:val="0"/>
                <w:kern w:val="2"/>
                <w:sz w:val="21"/>
                <w:u w:val="none"/>
                <w:lang w:bidi="ar"/>
              </w:rPr>
              <w:t>/a</w:t>
            </w:r>
            <w:r>
              <w:rPr>
                <w:rFonts w:hint="eastAsia" w:ascii="宋体" w:hAnsi="宋体" w:cs="宋体"/>
                <w:b w:val="0"/>
                <w:bCs w:val="0"/>
                <w:kern w:val="2"/>
                <w:sz w:val="21"/>
                <w:u w:val="none"/>
                <w:lang w:bidi="ar"/>
              </w:rPr>
              <w:t>，即</w:t>
            </w:r>
            <w:r>
              <w:rPr>
                <w:b w:val="0"/>
                <w:bCs w:val="0"/>
                <w:kern w:val="2"/>
                <w:sz w:val="21"/>
                <w:u w:val="none"/>
                <w:lang w:bidi="ar"/>
              </w:rPr>
              <w:t>4.663m</w:t>
            </w:r>
            <w:r>
              <w:rPr>
                <w:b w:val="0"/>
                <w:bCs w:val="0"/>
                <w:kern w:val="2"/>
                <w:sz w:val="21"/>
                <w:u w:val="none"/>
                <w:vertAlign w:val="superscript"/>
                <w:lang w:bidi="ar"/>
              </w:rPr>
              <w:t>3</w:t>
            </w:r>
            <w:r>
              <w:rPr>
                <w:b w:val="0"/>
                <w:bCs w:val="0"/>
                <w:kern w:val="2"/>
                <w:sz w:val="21"/>
                <w:u w:val="none"/>
                <w:lang w:bidi="ar"/>
              </w:rPr>
              <w:t>/d</w:t>
            </w:r>
            <w:r>
              <w:rPr>
                <w:rFonts w:hint="eastAsia" w:ascii="宋体" w:hAnsi="宋体" w:cs="宋体"/>
                <w:b w:val="0"/>
                <w:bCs w:val="0"/>
                <w:kern w:val="2"/>
                <w:sz w:val="21"/>
                <w:u w:val="none"/>
                <w:lang w:bidi="ar"/>
              </w:rPr>
              <w:t>（按</w:t>
            </w:r>
            <w:r>
              <w:rPr>
                <w:b w:val="0"/>
                <w:bCs w:val="0"/>
                <w:kern w:val="2"/>
                <w:sz w:val="21"/>
                <w:u w:val="none"/>
                <w:lang w:bidi="ar"/>
              </w:rPr>
              <w:t>300d/a</w:t>
            </w:r>
            <w:r>
              <w:rPr>
                <w:rFonts w:hint="eastAsia" w:ascii="宋体" w:hAnsi="宋体" w:cs="宋体"/>
                <w:b w:val="0"/>
                <w:bCs w:val="0"/>
                <w:kern w:val="2"/>
                <w:sz w:val="21"/>
                <w:u w:val="none"/>
                <w:lang w:bidi="ar"/>
              </w:rPr>
              <w:t>计）。</w:t>
            </w:r>
          </w:p>
          <w:p w14:paraId="691ED161">
            <w:pPr>
              <w:pStyle w:val="44"/>
              <w:numPr>
                <w:ilvl w:val="0"/>
                <w:numId w:val="2"/>
              </w:numPr>
              <w:rPr>
                <w:rFonts w:hint="default"/>
                <w:b w:val="0"/>
                <w:bCs w:val="0"/>
                <w:u w:val="none"/>
              </w:rPr>
            </w:pPr>
            <w:r>
              <w:rPr>
                <w:rFonts w:hint="default"/>
                <w:b w:val="0"/>
                <w:bCs w:val="0"/>
                <w:u w:val="none"/>
              </w:rPr>
              <w:t>项目水平衡表单位：m</w:t>
            </w:r>
            <w:r>
              <w:rPr>
                <w:rFonts w:hint="default"/>
                <w:b w:val="0"/>
                <w:bCs w:val="0"/>
                <w:u w:val="none"/>
                <w:vertAlign w:val="superscript"/>
              </w:rPr>
              <w:t>3</w:t>
            </w:r>
            <w:r>
              <w:rPr>
                <w:rFonts w:hint="default"/>
                <w:b w:val="0"/>
                <w:bCs w:val="0"/>
                <w:u w:val="none"/>
              </w:rPr>
              <w:t>/d</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072"/>
              <w:gridCol w:w="1138"/>
              <w:gridCol w:w="897"/>
              <w:gridCol w:w="886"/>
              <w:gridCol w:w="1125"/>
              <w:gridCol w:w="1170"/>
              <w:gridCol w:w="1278"/>
            </w:tblGrid>
            <w:tr w14:paraId="1650B5B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3" w:type="dxa"/>
                  <w:tcBorders>
                    <w:tl2br w:val="nil"/>
                    <w:tr2bl w:val="nil"/>
                  </w:tcBorders>
                  <w:shd w:val="clear" w:color="auto" w:fill="auto"/>
                  <w:vAlign w:val="center"/>
                </w:tcPr>
                <w:p w14:paraId="5E5367FA">
                  <w:pPr>
                    <w:pStyle w:val="45"/>
                    <w:rPr>
                      <w:rFonts w:hint="default"/>
                      <w:b w:val="0"/>
                      <w:bCs w:val="0"/>
                      <w:u w:val="none"/>
                    </w:rPr>
                  </w:pPr>
                  <w:r>
                    <w:rPr>
                      <w:b w:val="0"/>
                      <w:bCs w:val="0"/>
                      <w:u w:val="none"/>
                    </w:rPr>
                    <w:t>用水名称</w:t>
                  </w:r>
                </w:p>
              </w:tc>
              <w:tc>
                <w:tcPr>
                  <w:tcW w:w="1138" w:type="dxa"/>
                  <w:tcBorders>
                    <w:tl2br w:val="nil"/>
                    <w:tr2bl w:val="nil"/>
                  </w:tcBorders>
                  <w:shd w:val="clear" w:color="auto" w:fill="auto"/>
                  <w:vAlign w:val="center"/>
                </w:tcPr>
                <w:p w14:paraId="40C8D7AF">
                  <w:pPr>
                    <w:pStyle w:val="45"/>
                    <w:rPr>
                      <w:rFonts w:hint="default"/>
                      <w:b w:val="0"/>
                      <w:bCs w:val="0"/>
                      <w:u w:val="none"/>
                    </w:rPr>
                  </w:pPr>
                  <w:r>
                    <w:rPr>
                      <w:b w:val="0"/>
                      <w:bCs w:val="0"/>
                      <w:u w:val="none"/>
                    </w:rPr>
                    <w:t>新鲜水用量</w:t>
                  </w:r>
                </w:p>
              </w:tc>
              <w:tc>
                <w:tcPr>
                  <w:tcW w:w="897" w:type="dxa"/>
                  <w:tcBorders>
                    <w:tl2br w:val="nil"/>
                    <w:tr2bl w:val="nil"/>
                  </w:tcBorders>
                  <w:shd w:val="clear" w:color="auto" w:fill="auto"/>
                  <w:vAlign w:val="center"/>
                </w:tcPr>
                <w:p w14:paraId="740723B2">
                  <w:pPr>
                    <w:pStyle w:val="45"/>
                    <w:rPr>
                      <w:rFonts w:hint="default"/>
                      <w:b w:val="0"/>
                      <w:bCs w:val="0"/>
                      <w:u w:val="none"/>
                    </w:rPr>
                  </w:pPr>
                  <w:r>
                    <w:rPr>
                      <w:b w:val="0"/>
                      <w:bCs w:val="0"/>
                      <w:u w:val="none"/>
                    </w:rPr>
                    <w:t>循环用水</w:t>
                  </w:r>
                </w:p>
              </w:tc>
              <w:tc>
                <w:tcPr>
                  <w:tcW w:w="886" w:type="dxa"/>
                  <w:tcBorders>
                    <w:tl2br w:val="nil"/>
                    <w:tr2bl w:val="nil"/>
                  </w:tcBorders>
                  <w:shd w:val="clear" w:color="auto" w:fill="auto"/>
                  <w:vAlign w:val="center"/>
                </w:tcPr>
                <w:p w14:paraId="50F15CAC">
                  <w:pPr>
                    <w:pStyle w:val="45"/>
                    <w:rPr>
                      <w:rFonts w:hint="default"/>
                      <w:b w:val="0"/>
                      <w:bCs w:val="0"/>
                      <w:u w:val="none"/>
                    </w:rPr>
                  </w:pPr>
                  <w:r>
                    <w:rPr>
                      <w:b w:val="0"/>
                      <w:bCs w:val="0"/>
                      <w:u w:val="none"/>
                    </w:rPr>
                    <w:t>损耗量</w:t>
                  </w:r>
                </w:p>
              </w:tc>
              <w:tc>
                <w:tcPr>
                  <w:tcW w:w="1125" w:type="dxa"/>
                  <w:tcBorders>
                    <w:tl2br w:val="nil"/>
                    <w:tr2bl w:val="nil"/>
                  </w:tcBorders>
                  <w:shd w:val="clear" w:color="auto" w:fill="auto"/>
                  <w:vAlign w:val="center"/>
                </w:tcPr>
                <w:p w14:paraId="567D19CF">
                  <w:pPr>
                    <w:pStyle w:val="45"/>
                    <w:rPr>
                      <w:rFonts w:hint="default"/>
                      <w:b w:val="0"/>
                      <w:bCs w:val="0"/>
                      <w:u w:val="none"/>
                    </w:rPr>
                  </w:pPr>
                  <w:r>
                    <w:rPr>
                      <w:b w:val="0"/>
                      <w:bCs w:val="0"/>
                      <w:u w:val="none"/>
                    </w:rPr>
                    <w:t>废水产生量</w:t>
                  </w:r>
                </w:p>
              </w:tc>
              <w:tc>
                <w:tcPr>
                  <w:tcW w:w="1170" w:type="dxa"/>
                  <w:tcBorders>
                    <w:tl2br w:val="nil"/>
                    <w:tr2bl w:val="nil"/>
                  </w:tcBorders>
                  <w:shd w:val="clear" w:color="auto" w:fill="auto"/>
                  <w:vAlign w:val="center"/>
                </w:tcPr>
                <w:p w14:paraId="1854068C">
                  <w:pPr>
                    <w:pStyle w:val="45"/>
                    <w:rPr>
                      <w:rFonts w:hint="default"/>
                      <w:b w:val="0"/>
                      <w:bCs w:val="0"/>
                      <w:u w:val="none"/>
                    </w:rPr>
                  </w:pPr>
                  <w:r>
                    <w:rPr>
                      <w:b w:val="0"/>
                      <w:bCs w:val="0"/>
                      <w:u w:val="none"/>
                    </w:rPr>
                    <w:t>废水排放量</w:t>
                  </w:r>
                </w:p>
              </w:tc>
              <w:tc>
                <w:tcPr>
                  <w:tcW w:w="1278" w:type="dxa"/>
                  <w:tcBorders>
                    <w:tl2br w:val="nil"/>
                    <w:tr2bl w:val="nil"/>
                  </w:tcBorders>
                  <w:shd w:val="clear" w:color="auto" w:fill="auto"/>
                  <w:vAlign w:val="center"/>
                </w:tcPr>
                <w:p w14:paraId="6A8BF55C">
                  <w:pPr>
                    <w:pStyle w:val="45"/>
                    <w:rPr>
                      <w:rFonts w:hint="default"/>
                      <w:b w:val="0"/>
                      <w:bCs w:val="0"/>
                      <w:u w:val="none"/>
                    </w:rPr>
                  </w:pPr>
                  <w:r>
                    <w:rPr>
                      <w:b w:val="0"/>
                      <w:bCs w:val="0"/>
                      <w:u w:val="none"/>
                    </w:rPr>
                    <w:t>排放去向</w:t>
                  </w:r>
                </w:p>
              </w:tc>
            </w:tr>
            <w:tr w14:paraId="6632C17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3" w:type="dxa"/>
                  <w:tcBorders>
                    <w:tl2br w:val="nil"/>
                    <w:tr2bl w:val="nil"/>
                  </w:tcBorders>
                  <w:shd w:val="clear" w:color="auto" w:fill="auto"/>
                  <w:vAlign w:val="center"/>
                </w:tcPr>
                <w:p w14:paraId="315831E1">
                  <w:pPr>
                    <w:pStyle w:val="45"/>
                    <w:rPr>
                      <w:rFonts w:hint="default"/>
                      <w:b w:val="0"/>
                      <w:bCs w:val="0"/>
                      <w:u w:val="none"/>
                    </w:rPr>
                  </w:pPr>
                  <w:r>
                    <w:rPr>
                      <w:b w:val="0"/>
                      <w:bCs w:val="0"/>
                      <w:u w:val="none"/>
                    </w:rPr>
                    <w:t>制氨水系统用水</w:t>
                  </w:r>
                </w:p>
              </w:tc>
              <w:tc>
                <w:tcPr>
                  <w:tcW w:w="1138" w:type="dxa"/>
                  <w:tcBorders>
                    <w:tl2br w:val="nil"/>
                    <w:tr2bl w:val="nil"/>
                  </w:tcBorders>
                  <w:shd w:val="clear" w:color="auto" w:fill="auto"/>
                  <w:vAlign w:val="center"/>
                </w:tcPr>
                <w:p w14:paraId="1F7E5D02">
                  <w:pPr>
                    <w:pStyle w:val="45"/>
                    <w:rPr>
                      <w:rFonts w:hint="default" w:eastAsia="宋体"/>
                      <w:b w:val="0"/>
                      <w:bCs w:val="0"/>
                      <w:u w:val="none"/>
                      <w:lang w:val="en-US" w:eastAsia="zh-CN"/>
                    </w:rPr>
                  </w:pPr>
                  <w:r>
                    <w:rPr>
                      <w:rFonts w:hint="eastAsia"/>
                      <w:b w:val="0"/>
                      <w:bCs w:val="0"/>
                      <w:u w:val="none"/>
                      <w:lang w:val="en-US" w:eastAsia="zh-CN"/>
                    </w:rPr>
                    <w:t>12.40</w:t>
                  </w:r>
                </w:p>
              </w:tc>
              <w:tc>
                <w:tcPr>
                  <w:tcW w:w="897" w:type="dxa"/>
                  <w:tcBorders>
                    <w:tl2br w:val="nil"/>
                    <w:tr2bl w:val="nil"/>
                  </w:tcBorders>
                  <w:shd w:val="clear" w:color="auto" w:fill="auto"/>
                  <w:vAlign w:val="center"/>
                </w:tcPr>
                <w:p w14:paraId="4DC2C827">
                  <w:pPr>
                    <w:pStyle w:val="45"/>
                    <w:rPr>
                      <w:rFonts w:hint="default"/>
                      <w:b w:val="0"/>
                      <w:bCs w:val="0"/>
                      <w:u w:val="none"/>
                    </w:rPr>
                  </w:pPr>
                  <w:r>
                    <w:rPr>
                      <w:b w:val="0"/>
                      <w:bCs w:val="0"/>
                      <w:u w:val="none"/>
                    </w:rPr>
                    <w:t>0</w:t>
                  </w:r>
                </w:p>
              </w:tc>
              <w:tc>
                <w:tcPr>
                  <w:tcW w:w="886" w:type="dxa"/>
                  <w:tcBorders>
                    <w:tl2br w:val="nil"/>
                    <w:tr2bl w:val="nil"/>
                  </w:tcBorders>
                  <w:shd w:val="clear" w:color="auto" w:fill="auto"/>
                  <w:vAlign w:val="center"/>
                </w:tcPr>
                <w:p w14:paraId="44856360">
                  <w:pPr>
                    <w:pStyle w:val="45"/>
                    <w:rPr>
                      <w:rFonts w:hint="default"/>
                      <w:b w:val="0"/>
                      <w:bCs w:val="0"/>
                      <w:u w:val="none"/>
                    </w:rPr>
                  </w:pPr>
                  <w:r>
                    <w:rPr>
                      <w:b w:val="0"/>
                      <w:bCs w:val="0"/>
                      <w:u w:val="none"/>
                    </w:rPr>
                    <w:t>0</w:t>
                  </w:r>
                </w:p>
              </w:tc>
              <w:tc>
                <w:tcPr>
                  <w:tcW w:w="1125" w:type="dxa"/>
                  <w:tcBorders>
                    <w:tl2br w:val="nil"/>
                    <w:tr2bl w:val="nil"/>
                  </w:tcBorders>
                  <w:shd w:val="clear" w:color="auto" w:fill="auto"/>
                  <w:vAlign w:val="center"/>
                </w:tcPr>
                <w:p w14:paraId="4C42203B">
                  <w:pPr>
                    <w:pStyle w:val="45"/>
                    <w:rPr>
                      <w:rFonts w:hint="default"/>
                      <w:b w:val="0"/>
                      <w:bCs w:val="0"/>
                      <w:u w:val="none"/>
                    </w:rPr>
                  </w:pPr>
                  <w:r>
                    <w:rPr>
                      <w:b w:val="0"/>
                      <w:bCs w:val="0"/>
                      <w:u w:val="none"/>
                    </w:rPr>
                    <w:t>0</w:t>
                  </w:r>
                </w:p>
              </w:tc>
              <w:tc>
                <w:tcPr>
                  <w:tcW w:w="1170" w:type="dxa"/>
                  <w:tcBorders>
                    <w:tl2br w:val="nil"/>
                    <w:tr2bl w:val="nil"/>
                  </w:tcBorders>
                  <w:shd w:val="clear" w:color="auto" w:fill="auto"/>
                  <w:vAlign w:val="center"/>
                </w:tcPr>
                <w:p w14:paraId="1FDB66C8">
                  <w:pPr>
                    <w:pStyle w:val="45"/>
                    <w:rPr>
                      <w:rFonts w:hint="default"/>
                      <w:b w:val="0"/>
                      <w:bCs w:val="0"/>
                      <w:u w:val="none"/>
                    </w:rPr>
                  </w:pPr>
                  <w:r>
                    <w:rPr>
                      <w:b w:val="0"/>
                      <w:bCs w:val="0"/>
                      <w:u w:val="none"/>
                    </w:rPr>
                    <w:t>0</w:t>
                  </w:r>
                </w:p>
              </w:tc>
              <w:tc>
                <w:tcPr>
                  <w:tcW w:w="1278" w:type="dxa"/>
                  <w:tcBorders>
                    <w:tl2br w:val="nil"/>
                    <w:tr2bl w:val="nil"/>
                  </w:tcBorders>
                  <w:shd w:val="clear" w:color="auto" w:fill="auto"/>
                  <w:vAlign w:val="center"/>
                </w:tcPr>
                <w:p w14:paraId="3F02B6FC">
                  <w:pPr>
                    <w:pStyle w:val="45"/>
                    <w:rPr>
                      <w:rFonts w:hint="default"/>
                      <w:b w:val="0"/>
                      <w:bCs w:val="0"/>
                      <w:u w:val="none"/>
                    </w:rPr>
                  </w:pPr>
                  <w:r>
                    <w:rPr>
                      <w:b w:val="0"/>
                      <w:bCs w:val="0"/>
                      <w:u w:val="none"/>
                    </w:rPr>
                    <w:t>产品</w:t>
                  </w:r>
                </w:p>
              </w:tc>
            </w:tr>
            <w:tr w14:paraId="4824453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3" w:type="dxa"/>
                  <w:tcBorders>
                    <w:tl2br w:val="nil"/>
                    <w:tr2bl w:val="nil"/>
                  </w:tcBorders>
                  <w:shd w:val="clear" w:color="auto" w:fill="auto"/>
                  <w:vAlign w:val="center"/>
                </w:tcPr>
                <w:p w14:paraId="44346C29">
                  <w:pPr>
                    <w:pStyle w:val="45"/>
                    <w:rPr>
                      <w:rFonts w:hint="default"/>
                      <w:b w:val="0"/>
                      <w:bCs w:val="0"/>
                      <w:u w:val="none"/>
                    </w:rPr>
                  </w:pPr>
                  <w:r>
                    <w:rPr>
                      <w:b w:val="0"/>
                      <w:bCs w:val="0"/>
                      <w:u w:val="none"/>
                    </w:rPr>
                    <w:t>生活用水</w:t>
                  </w:r>
                </w:p>
              </w:tc>
              <w:tc>
                <w:tcPr>
                  <w:tcW w:w="1138" w:type="dxa"/>
                  <w:tcBorders>
                    <w:tl2br w:val="nil"/>
                    <w:tr2bl w:val="nil"/>
                  </w:tcBorders>
                  <w:shd w:val="clear" w:color="auto" w:fill="auto"/>
                  <w:vAlign w:val="center"/>
                </w:tcPr>
                <w:p w14:paraId="2A2645C0">
                  <w:pPr>
                    <w:pStyle w:val="45"/>
                    <w:rPr>
                      <w:rFonts w:hint="default"/>
                      <w:b w:val="0"/>
                      <w:bCs w:val="0"/>
                      <w:u w:val="none"/>
                    </w:rPr>
                  </w:pPr>
                  <w:r>
                    <w:rPr>
                      <w:rFonts w:hint="default"/>
                      <w:b w:val="0"/>
                      <w:bCs w:val="0"/>
                      <w:u w:val="none"/>
                    </w:rPr>
                    <w:t>1.75</w:t>
                  </w:r>
                </w:p>
              </w:tc>
              <w:tc>
                <w:tcPr>
                  <w:tcW w:w="897" w:type="dxa"/>
                  <w:tcBorders>
                    <w:tl2br w:val="nil"/>
                    <w:tr2bl w:val="nil"/>
                  </w:tcBorders>
                  <w:shd w:val="clear" w:color="auto" w:fill="auto"/>
                  <w:vAlign w:val="center"/>
                </w:tcPr>
                <w:p w14:paraId="194E9CF6">
                  <w:pPr>
                    <w:pStyle w:val="45"/>
                    <w:rPr>
                      <w:rFonts w:hint="default"/>
                      <w:b w:val="0"/>
                      <w:bCs w:val="0"/>
                      <w:u w:val="none"/>
                    </w:rPr>
                  </w:pPr>
                  <w:r>
                    <w:rPr>
                      <w:rFonts w:hint="default"/>
                      <w:b w:val="0"/>
                      <w:bCs w:val="0"/>
                      <w:u w:val="none"/>
                    </w:rPr>
                    <w:t>0</w:t>
                  </w:r>
                </w:p>
              </w:tc>
              <w:tc>
                <w:tcPr>
                  <w:tcW w:w="886" w:type="dxa"/>
                  <w:tcBorders>
                    <w:tl2br w:val="nil"/>
                    <w:tr2bl w:val="nil"/>
                  </w:tcBorders>
                  <w:shd w:val="clear" w:color="auto" w:fill="auto"/>
                  <w:vAlign w:val="center"/>
                </w:tcPr>
                <w:p w14:paraId="77E84468">
                  <w:pPr>
                    <w:pStyle w:val="45"/>
                    <w:rPr>
                      <w:rFonts w:hint="default"/>
                      <w:b w:val="0"/>
                      <w:bCs w:val="0"/>
                      <w:u w:val="none"/>
                    </w:rPr>
                  </w:pPr>
                  <w:r>
                    <w:rPr>
                      <w:rFonts w:hint="default"/>
                      <w:b w:val="0"/>
                      <w:bCs w:val="0"/>
                      <w:u w:val="none"/>
                    </w:rPr>
                    <w:t>0.35</w:t>
                  </w:r>
                </w:p>
              </w:tc>
              <w:tc>
                <w:tcPr>
                  <w:tcW w:w="1125" w:type="dxa"/>
                  <w:tcBorders>
                    <w:tl2br w:val="nil"/>
                    <w:tr2bl w:val="nil"/>
                  </w:tcBorders>
                  <w:shd w:val="clear" w:color="auto" w:fill="auto"/>
                  <w:vAlign w:val="center"/>
                </w:tcPr>
                <w:p w14:paraId="24954F15">
                  <w:pPr>
                    <w:pStyle w:val="45"/>
                    <w:rPr>
                      <w:rFonts w:hint="default"/>
                      <w:b w:val="0"/>
                      <w:bCs w:val="0"/>
                      <w:u w:val="none"/>
                    </w:rPr>
                  </w:pPr>
                  <w:r>
                    <w:rPr>
                      <w:b w:val="0"/>
                      <w:bCs w:val="0"/>
                      <w:u w:val="none"/>
                    </w:rPr>
                    <w:t>1.4</w:t>
                  </w:r>
                </w:p>
              </w:tc>
              <w:tc>
                <w:tcPr>
                  <w:tcW w:w="1170" w:type="dxa"/>
                  <w:tcBorders>
                    <w:tl2br w:val="nil"/>
                    <w:tr2bl w:val="nil"/>
                  </w:tcBorders>
                  <w:shd w:val="clear" w:color="auto" w:fill="auto"/>
                  <w:vAlign w:val="center"/>
                </w:tcPr>
                <w:p w14:paraId="0F079181">
                  <w:pPr>
                    <w:pStyle w:val="45"/>
                    <w:rPr>
                      <w:rFonts w:hint="default"/>
                      <w:b w:val="0"/>
                      <w:bCs w:val="0"/>
                      <w:u w:val="none"/>
                    </w:rPr>
                  </w:pPr>
                  <w:r>
                    <w:rPr>
                      <w:rFonts w:hint="default"/>
                      <w:b w:val="0"/>
                      <w:bCs w:val="0"/>
                      <w:u w:val="none"/>
                    </w:rPr>
                    <w:t>1.4</w:t>
                  </w:r>
                </w:p>
              </w:tc>
              <w:tc>
                <w:tcPr>
                  <w:tcW w:w="1278" w:type="dxa"/>
                  <w:vMerge w:val="restart"/>
                  <w:tcBorders>
                    <w:tl2br w:val="nil"/>
                    <w:tr2bl w:val="nil"/>
                  </w:tcBorders>
                  <w:shd w:val="clear" w:color="auto" w:fill="auto"/>
                  <w:vAlign w:val="center"/>
                </w:tcPr>
                <w:p w14:paraId="3065B02C">
                  <w:pPr>
                    <w:pStyle w:val="45"/>
                    <w:rPr>
                      <w:rFonts w:hint="default"/>
                      <w:b w:val="0"/>
                      <w:bCs w:val="0"/>
                      <w:u w:val="none"/>
                    </w:rPr>
                  </w:pPr>
                  <w:r>
                    <w:rPr>
                      <w:b w:val="0"/>
                      <w:bCs w:val="0"/>
                      <w:kern w:val="0"/>
                      <w:szCs w:val="18"/>
                      <w:u w:val="none"/>
                      <w:lang w:val="zh-CN"/>
                    </w:rPr>
                    <w:t>平顶山首创水务有限公司（平顶山市第三污水处理厂）</w:t>
                  </w:r>
                </w:p>
              </w:tc>
            </w:tr>
            <w:tr w14:paraId="34326B5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3" w:type="dxa"/>
                  <w:tcBorders>
                    <w:tl2br w:val="nil"/>
                    <w:tr2bl w:val="nil"/>
                  </w:tcBorders>
                  <w:shd w:val="clear" w:color="auto" w:fill="auto"/>
                  <w:vAlign w:val="center"/>
                </w:tcPr>
                <w:p w14:paraId="327F9EBA">
                  <w:pPr>
                    <w:pStyle w:val="45"/>
                    <w:rPr>
                      <w:rFonts w:hint="default"/>
                      <w:b w:val="0"/>
                      <w:bCs w:val="0"/>
                      <w:u w:val="none"/>
                    </w:rPr>
                  </w:pPr>
                  <w:r>
                    <w:rPr>
                      <w:b w:val="0"/>
                      <w:bCs w:val="0"/>
                      <w:u w:val="none"/>
                    </w:rPr>
                    <w:t>循环冷却用水</w:t>
                  </w:r>
                </w:p>
              </w:tc>
              <w:tc>
                <w:tcPr>
                  <w:tcW w:w="1138" w:type="dxa"/>
                  <w:tcBorders>
                    <w:tl2br w:val="nil"/>
                    <w:tr2bl w:val="nil"/>
                  </w:tcBorders>
                  <w:shd w:val="clear" w:color="auto" w:fill="auto"/>
                  <w:vAlign w:val="center"/>
                </w:tcPr>
                <w:p w14:paraId="64F9204E">
                  <w:pPr>
                    <w:pStyle w:val="45"/>
                    <w:rPr>
                      <w:rFonts w:hint="default"/>
                      <w:b w:val="0"/>
                      <w:bCs w:val="0"/>
                      <w:u w:val="none"/>
                    </w:rPr>
                  </w:pPr>
                  <w:r>
                    <w:rPr>
                      <w:b w:val="0"/>
                      <w:bCs w:val="0"/>
                      <w:u w:val="none"/>
                    </w:rPr>
                    <w:t>120</w:t>
                  </w:r>
                </w:p>
              </w:tc>
              <w:tc>
                <w:tcPr>
                  <w:tcW w:w="897" w:type="dxa"/>
                  <w:tcBorders>
                    <w:tl2br w:val="nil"/>
                    <w:tr2bl w:val="nil"/>
                  </w:tcBorders>
                  <w:shd w:val="clear" w:color="auto" w:fill="auto"/>
                  <w:vAlign w:val="center"/>
                </w:tcPr>
                <w:p w14:paraId="44594F44">
                  <w:pPr>
                    <w:pStyle w:val="45"/>
                    <w:rPr>
                      <w:rFonts w:hint="default"/>
                      <w:b w:val="0"/>
                      <w:bCs w:val="0"/>
                      <w:u w:val="none"/>
                    </w:rPr>
                  </w:pPr>
                  <w:r>
                    <w:rPr>
                      <w:rFonts w:hint="default"/>
                      <w:b w:val="0"/>
                      <w:bCs w:val="0"/>
                      <w:u w:val="none"/>
                    </w:rPr>
                    <w:t>9600</w:t>
                  </w:r>
                </w:p>
              </w:tc>
              <w:tc>
                <w:tcPr>
                  <w:tcW w:w="886" w:type="dxa"/>
                  <w:tcBorders>
                    <w:tl2br w:val="nil"/>
                    <w:tr2bl w:val="nil"/>
                  </w:tcBorders>
                  <w:shd w:val="clear" w:color="auto" w:fill="auto"/>
                  <w:vAlign w:val="center"/>
                </w:tcPr>
                <w:p w14:paraId="3142B201">
                  <w:pPr>
                    <w:pStyle w:val="45"/>
                    <w:rPr>
                      <w:rFonts w:hint="default"/>
                      <w:b w:val="0"/>
                      <w:bCs w:val="0"/>
                      <w:u w:val="none"/>
                    </w:rPr>
                  </w:pPr>
                  <w:r>
                    <w:rPr>
                      <w:b w:val="0"/>
                      <w:bCs w:val="0"/>
                      <w:u w:val="none"/>
                    </w:rPr>
                    <w:t>96</w:t>
                  </w:r>
                </w:p>
              </w:tc>
              <w:tc>
                <w:tcPr>
                  <w:tcW w:w="1125" w:type="dxa"/>
                  <w:tcBorders>
                    <w:tl2br w:val="nil"/>
                    <w:tr2bl w:val="nil"/>
                  </w:tcBorders>
                  <w:shd w:val="clear" w:color="auto" w:fill="auto"/>
                  <w:vAlign w:val="center"/>
                </w:tcPr>
                <w:p w14:paraId="66B3A315">
                  <w:pPr>
                    <w:pStyle w:val="45"/>
                    <w:rPr>
                      <w:rFonts w:hint="default"/>
                      <w:b w:val="0"/>
                      <w:bCs w:val="0"/>
                      <w:u w:val="none"/>
                    </w:rPr>
                  </w:pPr>
                  <w:r>
                    <w:rPr>
                      <w:b w:val="0"/>
                      <w:bCs w:val="0"/>
                      <w:u w:val="none"/>
                    </w:rPr>
                    <w:t>24</w:t>
                  </w:r>
                </w:p>
              </w:tc>
              <w:tc>
                <w:tcPr>
                  <w:tcW w:w="1170" w:type="dxa"/>
                  <w:tcBorders>
                    <w:tl2br w:val="nil"/>
                    <w:tr2bl w:val="nil"/>
                  </w:tcBorders>
                  <w:shd w:val="clear" w:color="auto" w:fill="auto"/>
                  <w:vAlign w:val="center"/>
                </w:tcPr>
                <w:p w14:paraId="14844ADA">
                  <w:pPr>
                    <w:pStyle w:val="45"/>
                    <w:rPr>
                      <w:rFonts w:hint="default"/>
                      <w:b w:val="0"/>
                      <w:bCs w:val="0"/>
                      <w:u w:val="none"/>
                    </w:rPr>
                  </w:pPr>
                  <w:r>
                    <w:rPr>
                      <w:b w:val="0"/>
                      <w:bCs w:val="0"/>
                      <w:u w:val="none"/>
                    </w:rPr>
                    <w:t>24</w:t>
                  </w:r>
                </w:p>
              </w:tc>
              <w:tc>
                <w:tcPr>
                  <w:tcW w:w="1278" w:type="dxa"/>
                  <w:vMerge w:val="continue"/>
                  <w:tcBorders>
                    <w:tl2br w:val="nil"/>
                    <w:tr2bl w:val="nil"/>
                  </w:tcBorders>
                  <w:shd w:val="clear" w:color="auto" w:fill="auto"/>
                  <w:vAlign w:val="center"/>
                </w:tcPr>
                <w:p w14:paraId="32384817">
                  <w:pPr>
                    <w:pStyle w:val="45"/>
                    <w:rPr>
                      <w:rFonts w:hint="default"/>
                      <w:b w:val="0"/>
                      <w:bCs w:val="0"/>
                      <w:u w:val="none"/>
                    </w:rPr>
                  </w:pPr>
                </w:p>
              </w:tc>
            </w:tr>
            <w:tr w14:paraId="0C601BB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73" w:type="dxa"/>
                  <w:tcBorders>
                    <w:tl2br w:val="nil"/>
                    <w:tr2bl w:val="nil"/>
                  </w:tcBorders>
                  <w:shd w:val="clear" w:color="auto" w:fill="auto"/>
                  <w:vAlign w:val="center"/>
                </w:tcPr>
                <w:p w14:paraId="0D4D431A">
                  <w:pPr>
                    <w:pStyle w:val="45"/>
                    <w:rPr>
                      <w:rFonts w:hint="default"/>
                      <w:b w:val="0"/>
                      <w:bCs w:val="0"/>
                      <w:u w:val="none"/>
                    </w:rPr>
                  </w:pPr>
                  <w:r>
                    <w:rPr>
                      <w:b w:val="0"/>
                      <w:bCs w:val="0"/>
                      <w:u w:val="none"/>
                    </w:rPr>
                    <w:t>合计</w:t>
                  </w:r>
                </w:p>
              </w:tc>
              <w:tc>
                <w:tcPr>
                  <w:tcW w:w="1138" w:type="dxa"/>
                  <w:tcBorders>
                    <w:tl2br w:val="nil"/>
                    <w:tr2bl w:val="nil"/>
                  </w:tcBorders>
                  <w:shd w:val="clear" w:color="auto" w:fill="auto"/>
                  <w:vAlign w:val="center"/>
                </w:tcPr>
                <w:p w14:paraId="6813E308">
                  <w:pPr>
                    <w:pStyle w:val="45"/>
                    <w:rPr>
                      <w:rFonts w:hint="default" w:eastAsia="宋体"/>
                      <w:b w:val="0"/>
                      <w:bCs w:val="0"/>
                      <w:u w:val="none"/>
                      <w:lang w:val="en-US" w:eastAsia="zh-CN"/>
                    </w:rPr>
                  </w:pPr>
                  <w:r>
                    <w:rPr>
                      <w:rFonts w:hint="eastAsia"/>
                      <w:b w:val="0"/>
                      <w:bCs w:val="0"/>
                      <w:u w:val="none"/>
                      <w:lang w:val="en-US" w:eastAsia="zh-CN"/>
                    </w:rPr>
                    <w:t>134.15</w:t>
                  </w:r>
                </w:p>
              </w:tc>
              <w:tc>
                <w:tcPr>
                  <w:tcW w:w="897" w:type="dxa"/>
                  <w:tcBorders>
                    <w:tl2br w:val="nil"/>
                    <w:tr2bl w:val="nil"/>
                  </w:tcBorders>
                  <w:shd w:val="clear" w:color="auto" w:fill="auto"/>
                  <w:vAlign w:val="center"/>
                </w:tcPr>
                <w:p w14:paraId="5DF998A6">
                  <w:pPr>
                    <w:pStyle w:val="45"/>
                    <w:rPr>
                      <w:rFonts w:hint="default"/>
                      <w:b w:val="0"/>
                      <w:bCs w:val="0"/>
                      <w:u w:val="none"/>
                    </w:rPr>
                  </w:pPr>
                  <w:r>
                    <w:rPr>
                      <w:rFonts w:hint="default"/>
                      <w:b w:val="0"/>
                      <w:bCs w:val="0"/>
                      <w:u w:val="none"/>
                    </w:rPr>
                    <w:t>/</w:t>
                  </w:r>
                </w:p>
              </w:tc>
              <w:tc>
                <w:tcPr>
                  <w:tcW w:w="886" w:type="dxa"/>
                  <w:tcBorders>
                    <w:tl2br w:val="nil"/>
                    <w:tr2bl w:val="nil"/>
                  </w:tcBorders>
                  <w:shd w:val="clear" w:color="auto" w:fill="auto"/>
                  <w:vAlign w:val="center"/>
                </w:tcPr>
                <w:p w14:paraId="4B6203FA">
                  <w:pPr>
                    <w:pStyle w:val="45"/>
                    <w:rPr>
                      <w:rFonts w:hint="default"/>
                      <w:b w:val="0"/>
                      <w:bCs w:val="0"/>
                      <w:u w:val="none"/>
                    </w:rPr>
                  </w:pPr>
                  <w:r>
                    <w:rPr>
                      <w:rFonts w:hint="default"/>
                      <w:b w:val="0"/>
                      <w:bCs w:val="0"/>
                      <w:u w:val="none"/>
                    </w:rPr>
                    <w:t>/</w:t>
                  </w:r>
                </w:p>
              </w:tc>
              <w:tc>
                <w:tcPr>
                  <w:tcW w:w="1125" w:type="dxa"/>
                  <w:tcBorders>
                    <w:tl2br w:val="nil"/>
                    <w:tr2bl w:val="nil"/>
                  </w:tcBorders>
                  <w:shd w:val="clear" w:color="auto" w:fill="auto"/>
                  <w:vAlign w:val="center"/>
                </w:tcPr>
                <w:p w14:paraId="0A3F6856">
                  <w:pPr>
                    <w:pStyle w:val="45"/>
                    <w:rPr>
                      <w:rFonts w:hint="default"/>
                      <w:b w:val="0"/>
                      <w:bCs w:val="0"/>
                      <w:u w:val="none"/>
                    </w:rPr>
                  </w:pPr>
                  <w:r>
                    <w:rPr>
                      <w:rFonts w:hint="default"/>
                      <w:b w:val="0"/>
                      <w:bCs w:val="0"/>
                      <w:u w:val="none"/>
                    </w:rPr>
                    <w:t>/</w:t>
                  </w:r>
                </w:p>
              </w:tc>
              <w:tc>
                <w:tcPr>
                  <w:tcW w:w="1170" w:type="dxa"/>
                  <w:tcBorders>
                    <w:tl2br w:val="nil"/>
                    <w:tr2bl w:val="nil"/>
                  </w:tcBorders>
                  <w:shd w:val="clear" w:color="auto" w:fill="auto"/>
                  <w:vAlign w:val="center"/>
                </w:tcPr>
                <w:p w14:paraId="3D926EE7">
                  <w:pPr>
                    <w:pStyle w:val="45"/>
                    <w:rPr>
                      <w:rFonts w:hint="default"/>
                      <w:b w:val="0"/>
                      <w:bCs w:val="0"/>
                      <w:u w:val="none"/>
                    </w:rPr>
                  </w:pPr>
                  <w:r>
                    <w:rPr>
                      <w:b w:val="0"/>
                      <w:bCs w:val="0"/>
                      <w:u w:val="none"/>
                    </w:rPr>
                    <w:t>25.4</w:t>
                  </w:r>
                </w:p>
              </w:tc>
              <w:tc>
                <w:tcPr>
                  <w:tcW w:w="1278" w:type="dxa"/>
                  <w:tcBorders>
                    <w:tl2br w:val="nil"/>
                    <w:tr2bl w:val="nil"/>
                  </w:tcBorders>
                  <w:shd w:val="clear" w:color="auto" w:fill="auto"/>
                  <w:vAlign w:val="center"/>
                </w:tcPr>
                <w:p w14:paraId="35B56E95">
                  <w:pPr>
                    <w:pStyle w:val="45"/>
                    <w:rPr>
                      <w:rFonts w:hint="default"/>
                      <w:b w:val="0"/>
                      <w:bCs w:val="0"/>
                      <w:u w:val="none"/>
                    </w:rPr>
                  </w:pPr>
                  <w:r>
                    <w:rPr>
                      <w:b w:val="0"/>
                      <w:bCs w:val="0"/>
                      <w:u w:val="none"/>
                    </w:rPr>
                    <w:t>/</w:t>
                  </w:r>
                </w:p>
              </w:tc>
            </w:tr>
          </w:tbl>
          <w:p w14:paraId="5E1480FD">
            <w:pPr>
              <w:pStyle w:val="5"/>
              <w:ind w:firstLine="0" w:firstLineChars="0"/>
              <w:rPr>
                <w:rFonts w:hint="default"/>
                <w:b w:val="0"/>
                <w:bCs w:val="0"/>
                <w:u w:val="none"/>
              </w:rPr>
            </w:pPr>
            <w:r>
              <w:rPr>
                <w:rFonts w:hint="default"/>
                <w:color w:val="auto"/>
                <w:lang w:val="en-US" w:eastAsia="zh-CN"/>
              </w:rPr>
              <w:drawing>
                <wp:inline distT="0" distB="0" distL="114300" distR="114300">
                  <wp:extent cx="4624070" cy="2433320"/>
                  <wp:effectExtent l="0" t="0" r="5080" b="5080"/>
                  <wp:docPr id="17" name="F360BE8B-6686-4F3D-AEAF-501FE73E4058-1" descr="C:/Users/Administrator/AppData/Local/Temp/水平衡图.png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360BE8B-6686-4F3D-AEAF-501FE73E4058-1" descr="C:/Users/Administrator/AppData/Local/Temp/水平衡图.png水平衡图"/>
                          <pic:cNvPicPr>
                            <a:picLocks noChangeAspect="1"/>
                          </pic:cNvPicPr>
                        </pic:nvPicPr>
                        <pic:blipFill>
                          <a:blip r:embed="rId9"/>
                          <a:stretch>
                            <a:fillRect/>
                          </a:stretch>
                        </pic:blipFill>
                        <pic:spPr>
                          <a:xfrm>
                            <a:off x="0" y="0"/>
                            <a:ext cx="4624070" cy="2433320"/>
                          </a:xfrm>
                          <a:prstGeom prst="rect">
                            <a:avLst/>
                          </a:prstGeom>
                        </pic:spPr>
                      </pic:pic>
                    </a:graphicData>
                  </a:graphic>
                </wp:inline>
              </w:drawing>
            </w:r>
          </w:p>
          <w:p w14:paraId="53A5629E">
            <w:pPr>
              <w:pStyle w:val="44"/>
              <w:rPr>
                <w:rFonts w:hint="default"/>
                <w:b w:val="0"/>
                <w:bCs w:val="0"/>
                <w:u w:val="none"/>
              </w:rPr>
            </w:pPr>
            <w:r>
              <w:rPr>
                <w:b w:val="0"/>
                <w:bCs w:val="0"/>
                <w:u w:val="none"/>
              </w:rPr>
              <w:t xml:space="preserve">图2-1  </w:t>
            </w:r>
            <w:r>
              <w:rPr>
                <w:rFonts w:hint="default"/>
                <w:b w:val="0"/>
                <w:bCs w:val="0"/>
                <w:u w:val="none"/>
              </w:rPr>
              <w:t>本项目用排水平衡图      单位：m</w:t>
            </w:r>
            <w:r>
              <w:rPr>
                <w:rFonts w:hint="default"/>
                <w:b w:val="0"/>
                <w:bCs w:val="0"/>
                <w:u w:val="none"/>
                <w:vertAlign w:val="superscript"/>
              </w:rPr>
              <w:t>3</w:t>
            </w:r>
            <w:r>
              <w:rPr>
                <w:rFonts w:hint="default"/>
                <w:b w:val="0"/>
                <w:bCs w:val="0"/>
                <w:u w:val="none"/>
              </w:rPr>
              <w:t>/d</w:t>
            </w:r>
          </w:p>
          <w:p w14:paraId="0AC53925">
            <w:pPr>
              <w:pStyle w:val="4"/>
              <w:numPr>
                <w:ilvl w:val="1"/>
                <w:numId w:val="4"/>
              </w:numPr>
              <w:tabs>
                <w:tab w:val="left" w:pos="0"/>
              </w:tabs>
              <w:rPr>
                <w:b w:val="0"/>
                <w:bCs w:val="0"/>
                <w:u w:val="none"/>
              </w:rPr>
            </w:pPr>
            <w:r>
              <w:rPr>
                <w:b w:val="0"/>
                <w:bCs w:val="0"/>
                <w:u w:val="none"/>
              </w:rPr>
              <w:t>厂区及厂房平面布局</w:t>
            </w:r>
          </w:p>
          <w:p w14:paraId="4B2DE994">
            <w:pPr>
              <w:pStyle w:val="5"/>
              <w:rPr>
                <w:rStyle w:val="33"/>
                <w:rFonts w:hint="default"/>
                <w:b w:val="0"/>
                <w:bCs w:val="0"/>
                <w:kern w:val="0"/>
                <w:szCs w:val="20"/>
                <w:u w:val="none"/>
              </w:rPr>
            </w:pPr>
            <w:r>
              <w:rPr>
                <w:rStyle w:val="33"/>
                <w:rFonts w:hint="default"/>
                <w:b w:val="0"/>
                <w:bCs w:val="0"/>
                <w:kern w:val="0"/>
                <w:szCs w:val="20"/>
                <w:u w:val="none"/>
              </w:rPr>
              <w:t>厂区</w:t>
            </w:r>
            <w:r>
              <w:rPr>
                <w:rStyle w:val="33"/>
                <w:b w:val="0"/>
                <w:bCs w:val="0"/>
                <w:kern w:val="0"/>
                <w:szCs w:val="20"/>
                <w:u w:val="none"/>
              </w:rPr>
              <w:t>西北角</w:t>
            </w:r>
            <w:r>
              <w:rPr>
                <w:rStyle w:val="33"/>
                <w:rFonts w:hint="default"/>
                <w:b w:val="0"/>
                <w:bCs w:val="0"/>
                <w:kern w:val="0"/>
                <w:szCs w:val="20"/>
                <w:u w:val="none"/>
              </w:rPr>
              <w:t>设有一幢生产辅助用房，东</w:t>
            </w:r>
            <w:r>
              <w:rPr>
                <w:rStyle w:val="33"/>
                <w:b w:val="0"/>
                <w:bCs w:val="0"/>
                <w:kern w:val="0"/>
                <w:szCs w:val="20"/>
                <w:u w:val="none"/>
              </w:rPr>
              <w:t>北角</w:t>
            </w:r>
            <w:r>
              <w:rPr>
                <w:rStyle w:val="33"/>
                <w:rFonts w:hint="default"/>
                <w:b w:val="0"/>
                <w:bCs w:val="0"/>
                <w:kern w:val="0"/>
                <w:szCs w:val="20"/>
                <w:u w:val="none"/>
              </w:rPr>
              <w:t>设有</w:t>
            </w:r>
            <w:r>
              <w:rPr>
                <w:rStyle w:val="33"/>
                <w:b w:val="0"/>
                <w:bCs w:val="0"/>
                <w:kern w:val="0"/>
                <w:szCs w:val="20"/>
                <w:u w:val="none"/>
              </w:rPr>
              <w:t>危废暂存间</w:t>
            </w:r>
            <w:r>
              <w:rPr>
                <w:rStyle w:val="33"/>
                <w:rFonts w:hint="default"/>
                <w:b w:val="0"/>
                <w:bCs w:val="0"/>
                <w:kern w:val="0"/>
                <w:szCs w:val="20"/>
                <w:u w:val="none"/>
              </w:rPr>
              <w:t>，</w:t>
            </w:r>
            <w:r>
              <w:rPr>
                <w:rStyle w:val="33"/>
                <w:b w:val="0"/>
                <w:bCs w:val="0"/>
                <w:kern w:val="0"/>
                <w:szCs w:val="20"/>
                <w:u w:val="none"/>
              </w:rPr>
              <w:t>北部设有</w:t>
            </w:r>
            <w:r>
              <w:rPr>
                <w:rStyle w:val="33"/>
                <w:rFonts w:hint="eastAsia"/>
                <w:b w:val="0"/>
                <w:bCs w:val="0"/>
                <w:kern w:val="0"/>
                <w:szCs w:val="20"/>
                <w:u w:val="none"/>
                <w:lang w:eastAsia="zh-CN"/>
              </w:rPr>
              <w:t>二氧化碳</w:t>
            </w:r>
            <w:r>
              <w:rPr>
                <w:rStyle w:val="33"/>
                <w:b w:val="0"/>
                <w:bCs w:val="0"/>
                <w:kern w:val="0"/>
                <w:szCs w:val="20"/>
                <w:u w:val="none"/>
              </w:rPr>
              <w:t>生产线及干冰厂房</w:t>
            </w:r>
            <w:r>
              <w:rPr>
                <w:rStyle w:val="33"/>
                <w:rFonts w:hint="default"/>
                <w:b w:val="0"/>
                <w:bCs w:val="0"/>
                <w:kern w:val="0"/>
                <w:szCs w:val="20"/>
                <w:u w:val="none"/>
              </w:rPr>
              <w:t>，</w:t>
            </w:r>
            <w:r>
              <w:rPr>
                <w:rStyle w:val="33"/>
                <w:b w:val="0"/>
                <w:bCs w:val="0"/>
                <w:kern w:val="0"/>
                <w:szCs w:val="20"/>
                <w:u w:val="none"/>
              </w:rPr>
              <w:t>中部设有液氨及氨水生产线，</w:t>
            </w:r>
            <w:r>
              <w:rPr>
                <w:rStyle w:val="33"/>
                <w:rFonts w:hint="default"/>
                <w:b w:val="0"/>
                <w:bCs w:val="0"/>
                <w:kern w:val="0"/>
                <w:szCs w:val="20"/>
                <w:u w:val="none"/>
              </w:rPr>
              <w:t>中</w:t>
            </w:r>
            <w:r>
              <w:rPr>
                <w:rStyle w:val="33"/>
                <w:b w:val="0"/>
                <w:bCs w:val="0"/>
                <w:kern w:val="0"/>
                <w:szCs w:val="20"/>
                <w:u w:val="none"/>
              </w:rPr>
              <w:t>西</w:t>
            </w:r>
            <w:r>
              <w:rPr>
                <w:rStyle w:val="33"/>
                <w:rFonts w:hint="default"/>
                <w:b w:val="0"/>
                <w:bCs w:val="0"/>
                <w:kern w:val="0"/>
                <w:szCs w:val="20"/>
                <w:u w:val="none"/>
              </w:rPr>
              <w:t>部设有</w:t>
            </w:r>
            <w:r>
              <w:rPr>
                <w:rStyle w:val="33"/>
                <w:b w:val="0"/>
                <w:bCs w:val="0"/>
                <w:kern w:val="0"/>
                <w:szCs w:val="20"/>
                <w:u w:val="none"/>
              </w:rPr>
              <w:t>氨水及</w:t>
            </w:r>
            <w:r>
              <w:rPr>
                <w:rStyle w:val="33"/>
                <w:rFonts w:hint="default"/>
                <w:b w:val="0"/>
                <w:bCs w:val="0"/>
                <w:kern w:val="0"/>
                <w:szCs w:val="20"/>
                <w:u w:val="none"/>
              </w:rPr>
              <w:t>液氨罐区。此外厂区</w:t>
            </w:r>
            <w:r>
              <w:rPr>
                <w:rStyle w:val="33"/>
                <w:b w:val="0"/>
                <w:bCs w:val="0"/>
                <w:kern w:val="0"/>
                <w:szCs w:val="20"/>
                <w:u w:val="none"/>
              </w:rPr>
              <w:t>西侧</w:t>
            </w:r>
            <w:r>
              <w:rPr>
                <w:rStyle w:val="33"/>
                <w:rFonts w:hint="default"/>
                <w:b w:val="0"/>
                <w:bCs w:val="0"/>
                <w:kern w:val="0"/>
                <w:szCs w:val="20"/>
                <w:u w:val="none"/>
              </w:rPr>
              <w:t>还设置了</w:t>
            </w:r>
            <w:r>
              <w:rPr>
                <w:rStyle w:val="33"/>
                <w:b w:val="0"/>
                <w:bCs w:val="0"/>
                <w:kern w:val="0"/>
                <w:szCs w:val="20"/>
                <w:u w:val="none"/>
              </w:rPr>
              <w:t>生产及</w:t>
            </w:r>
            <w:r>
              <w:rPr>
                <w:rStyle w:val="33"/>
                <w:rFonts w:hint="default"/>
                <w:b w:val="0"/>
                <w:bCs w:val="0"/>
                <w:kern w:val="0"/>
                <w:szCs w:val="20"/>
                <w:u w:val="none"/>
              </w:rPr>
              <w:t>消防水池、事故</w:t>
            </w:r>
            <w:r>
              <w:rPr>
                <w:rStyle w:val="33"/>
                <w:b w:val="0"/>
                <w:bCs w:val="0"/>
                <w:kern w:val="0"/>
                <w:szCs w:val="20"/>
                <w:u w:val="none"/>
              </w:rPr>
              <w:t>水</w:t>
            </w:r>
            <w:r>
              <w:rPr>
                <w:rStyle w:val="33"/>
                <w:rFonts w:hint="default"/>
                <w:b w:val="0"/>
                <w:bCs w:val="0"/>
                <w:kern w:val="0"/>
                <w:szCs w:val="20"/>
                <w:u w:val="none"/>
              </w:rPr>
              <w:t>池、</w:t>
            </w:r>
            <w:r>
              <w:rPr>
                <w:rStyle w:val="33"/>
                <w:b w:val="0"/>
                <w:bCs w:val="0"/>
                <w:kern w:val="0"/>
                <w:szCs w:val="20"/>
                <w:u w:val="none"/>
              </w:rPr>
              <w:t>初期雨水收集池</w:t>
            </w:r>
            <w:r>
              <w:rPr>
                <w:rStyle w:val="33"/>
                <w:rFonts w:hint="default"/>
                <w:b w:val="0"/>
                <w:bCs w:val="0"/>
                <w:kern w:val="0"/>
                <w:szCs w:val="20"/>
                <w:u w:val="none"/>
              </w:rPr>
              <w:t>等，</w:t>
            </w:r>
            <w:r>
              <w:rPr>
                <w:rStyle w:val="33"/>
                <w:rFonts w:hint="eastAsia"/>
                <w:b w:val="0"/>
                <w:bCs w:val="0"/>
                <w:kern w:val="0"/>
                <w:szCs w:val="20"/>
                <w:u w:val="none"/>
                <w:lang w:eastAsia="zh-CN"/>
              </w:rPr>
              <w:t>二氧化碳</w:t>
            </w:r>
            <w:r>
              <w:rPr>
                <w:rStyle w:val="33"/>
                <w:b w:val="0"/>
                <w:bCs w:val="0"/>
                <w:kern w:val="0"/>
                <w:szCs w:val="20"/>
                <w:u w:val="none"/>
              </w:rPr>
              <w:t>和</w:t>
            </w:r>
            <w:r>
              <w:rPr>
                <w:rStyle w:val="33"/>
                <w:rFonts w:hint="eastAsia"/>
                <w:b w:val="0"/>
                <w:bCs w:val="0"/>
                <w:kern w:val="0"/>
                <w:szCs w:val="20"/>
                <w:highlight w:val="none"/>
                <w:u w:val="none"/>
                <w:lang w:eastAsia="zh-CN"/>
              </w:rPr>
              <w:t>超纯氨</w:t>
            </w:r>
            <w:r>
              <w:rPr>
                <w:rStyle w:val="33"/>
                <w:b w:val="0"/>
                <w:bCs w:val="0"/>
                <w:kern w:val="0"/>
                <w:szCs w:val="20"/>
                <w:highlight w:val="none"/>
                <w:u w:val="none"/>
              </w:rPr>
              <w:t>生产</w:t>
            </w:r>
            <w:r>
              <w:rPr>
                <w:rStyle w:val="33"/>
                <w:b w:val="0"/>
                <w:bCs w:val="0"/>
                <w:kern w:val="0"/>
                <w:szCs w:val="20"/>
                <w:u w:val="none"/>
              </w:rPr>
              <w:t>单元之间</w:t>
            </w:r>
            <w:r>
              <w:rPr>
                <w:rStyle w:val="33"/>
                <w:rFonts w:hint="default"/>
                <w:b w:val="0"/>
                <w:bCs w:val="0"/>
                <w:kern w:val="0"/>
                <w:szCs w:val="20"/>
                <w:u w:val="none"/>
              </w:rPr>
              <w:t xml:space="preserve">设有物流通道。具体见附图 </w:t>
            </w:r>
            <w:r>
              <w:rPr>
                <w:rStyle w:val="33"/>
                <w:b w:val="0"/>
                <w:bCs w:val="0"/>
                <w:kern w:val="0"/>
                <w:szCs w:val="20"/>
                <w:u w:val="none"/>
              </w:rPr>
              <w:t>5</w:t>
            </w:r>
            <w:r>
              <w:rPr>
                <w:rStyle w:val="33"/>
                <w:rFonts w:hint="default"/>
                <w:b w:val="0"/>
                <w:bCs w:val="0"/>
                <w:kern w:val="0"/>
                <w:szCs w:val="20"/>
                <w:u w:val="none"/>
              </w:rPr>
              <w:t>。</w:t>
            </w:r>
          </w:p>
        </w:tc>
      </w:tr>
      <w:tr w14:paraId="2FAD03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6" w:hRule="atLeast"/>
          <w:jc w:val="center"/>
        </w:trPr>
        <w:tc>
          <w:tcPr>
            <w:tcW w:w="734" w:type="dxa"/>
            <w:tcBorders>
              <w:top w:val="single" w:color="auto" w:sz="4" w:space="0"/>
              <w:left w:val="single" w:color="auto" w:sz="8" w:space="0"/>
              <w:bottom w:val="single" w:color="auto" w:sz="4" w:space="0"/>
              <w:right w:val="single" w:color="auto" w:sz="4" w:space="0"/>
            </w:tcBorders>
            <w:vAlign w:val="center"/>
          </w:tcPr>
          <w:p w14:paraId="6B5D7A79">
            <w:pPr>
              <w:rPr>
                <w:b w:val="0"/>
                <w:bCs w:val="0"/>
                <w:u w:val="none"/>
              </w:rPr>
            </w:pPr>
            <w:r>
              <w:rPr>
                <w:rFonts w:hint="eastAsia"/>
                <w:b w:val="0"/>
                <w:bCs w:val="0"/>
                <w:u w:val="none"/>
              </w:rPr>
              <w:t>工艺流程和产排污环节</w:t>
            </w:r>
          </w:p>
        </w:tc>
        <w:tc>
          <w:tcPr>
            <w:tcW w:w="7782" w:type="dxa"/>
            <w:tcBorders>
              <w:top w:val="single" w:color="auto" w:sz="4" w:space="0"/>
              <w:left w:val="single" w:color="auto" w:sz="4" w:space="0"/>
              <w:bottom w:val="single" w:color="auto" w:sz="4" w:space="0"/>
              <w:right w:val="single" w:color="auto" w:sz="8" w:space="0"/>
            </w:tcBorders>
          </w:tcPr>
          <w:p w14:paraId="7C305B34">
            <w:pPr>
              <w:pStyle w:val="4"/>
              <w:numPr>
                <w:ilvl w:val="1"/>
                <w:numId w:val="5"/>
              </w:numPr>
              <w:tabs>
                <w:tab w:val="left" w:pos="0"/>
              </w:tabs>
              <w:rPr>
                <w:b w:val="0"/>
                <w:bCs w:val="0"/>
                <w:u w:val="none"/>
              </w:rPr>
            </w:pPr>
            <w:r>
              <w:rPr>
                <w:rFonts w:hint="eastAsia"/>
                <w:b w:val="0"/>
                <w:bCs w:val="0"/>
                <w:u w:val="none"/>
              </w:rPr>
              <w:t>施工期</w:t>
            </w:r>
          </w:p>
          <w:p w14:paraId="6627E5C8">
            <w:pPr>
              <w:pStyle w:val="5"/>
              <w:rPr>
                <w:rFonts w:hint="default"/>
                <w:b w:val="0"/>
                <w:bCs w:val="0"/>
                <w:u w:val="none"/>
              </w:rPr>
            </w:pPr>
            <w:r>
              <w:rPr>
                <w:b w:val="0"/>
                <w:bCs w:val="0"/>
                <w:u w:val="none"/>
              </w:rPr>
              <w:t>本项目选址位于平顶山尼龙新材料产业集聚区，施工期主要建设主体装置、辅助设施、环保设施等构筑物。本项目施工期10个月，根据现场踏勘，项目现状用地为荒草地，地表主要覆盖有季节性草灌。本项目施工过程中产生的噪声、扬尘、废水、固废等会对周围环境产生一定影响，但影响持续时间短，强度低，施工期结束影响将随之消失。</w:t>
            </w:r>
          </w:p>
          <w:p w14:paraId="23A7084B">
            <w:pPr>
              <w:pStyle w:val="5"/>
              <w:rPr>
                <w:rFonts w:hint="default"/>
                <w:b w:val="0"/>
                <w:bCs w:val="0"/>
                <w:u w:val="none"/>
              </w:rPr>
            </w:pPr>
            <w:r>
              <w:rPr>
                <w:b w:val="0"/>
                <w:bCs w:val="0"/>
                <w:u w:val="none"/>
              </w:rPr>
              <w:t>本项目施工期工艺流程图见下图。</w:t>
            </w:r>
          </w:p>
          <w:p w14:paraId="59F5E888">
            <w:pPr>
              <w:pStyle w:val="5"/>
              <w:rPr>
                <w:rFonts w:hint="default"/>
                <w:b w:val="0"/>
                <w:bCs w:val="0"/>
                <w:u w:val="none"/>
              </w:rPr>
            </w:pPr>
            <w:r>
              <w:rPr>
                <w:b w:val="0"/>
                <w:bCs w:val="0"/>
                <w:u w:val="none"/>
              </w:rPr>
              <w:drawing>
                <wp:anchor distT="0" distB="0" distL="114300" distR="114300" simplePos="0" relativeHeight="251660288" behindDoc="0" locked="0" layoutInCell="1" allowOverlap="1">
                  <wp:simplePos x="0" y="0"/>
                  <wp:positionH relativeFrom="column">
                    <wp:posOffset>227330</wp:posOffset>
                  </wp:positionH>
                  <wp:positionV relativeFrom="paragraph">
                    <wp:posOffset>22225</wp:posOffset>
                  </wp:positionV>
                  <wp:extent cx="4168775" cy="1708150"/>
                  <wp:effectExtent l="0" t="0" r="3175" b="635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4168775" cy="1708150"/>
                          </a:xfrm>
                          <a:prstGeom prst="rect">
                            <a:avLst/>
                          </a:prstGeom>
                          <a:noFill/>
                          <a:ln>
                            <a:noFill/>
                          </a:ln>
                        </pic:spPr>
                      </pic:pic>
                    </a:graphicData>
                  </a:graphic>
                </wp:anchor>
              </w:drawing>
            </w:r>
          </w:p>
          <w:p w14:paraId="49E68797">
            <w:pPr>
              <w:pStyle w:val="5"/>
              <w:rPr>
                <w:rFonts w:hint="default"/>
                <w:b w:val="0"/>
                <w:bCs w:val="0"/>
                <w:u w:val="none"/>
              </w:rPr>
            </w:pPr>
          </w:p>
          <w:p w14:paraId="2BEC920F">
            <w:pPr>
              <w:pStyle w:val="5"/>
              <w:rPr>
                <w:rFonts w:hint="default"/>
                <w:b w:val="0"/>
                <w:bCs w:val="0"/>
                <w:u w:val="none"/>
              </w:rPr>
            </w:pPr>
          </w:p>
          <w:p w14:paraId="2DAC1A00">
            <w:pPr>
              <w:pStyle w:val="5"/>
              <w:rPr>
                <w:rFonts w:hint="default"/>
                <w:b w:val="0"/>
                <w:bCs w:val="0"/>
                <w:u w:val="none"/>
              </w:rPr>
            </w:pPr>
          </w:p>
          <w:p w14:paraId="3E6E2F97">
            <w:pPr>
              <w:pStyle w:val="5"/>
              <w:rPr>
                <w:rFonts w:hint="default"/>
                <w:b w:val="0"/>
                <w:bCs w:val="0"/>
                <w:u w:val="none"/>
              </w:rPr>
            </w:pPr>
          </w:p>
          <w:p w14:paraId="24249989">
            <w:pPr>
              <w:pStyle w:val="5"/>
              <w:ind w:firstLine="0" w:firstLineChars="0"/>
              <w:rPr>
                <w:rFonts w:hint="default"/>
                <w:b w:val="0"/>
                <w:bCs w:val="0"/>
                <w:u w:val="none"/>
              </w:rPr>
            </w:pPr>
          </w:p>
          <w:p w14:paraId="2B22E2E7">
            <w:pPr>
              <w:pStyle w:val="44"/>
              <w:rPr>
                <w:rFonts w:hint="default"/>
                <w:b w:val="0"/>
                <w:bCs w:val="0"/>
                <w:u w:val="none"/>
              </w:rPr>
            </w:pPr>
            <w:r>
              <w:rPr>
                <w:b w:val="0"/>
                <w:bCs w:val="0"/>
                <w:u w:val="none"/>
              </w:rPr>
              <w:t>图2-2  本项目施工期工艺流程及产污环节示意图</w:t>
            </w:r>
          </w:p>
          <w:p w14:paraId="7467925B">
            <w:pPr>
              <w:pStyle w:val="4"/>
              <w:numPr>
                <w:ilvl w:val="1"/>
                <w:numId w:val="5"/>
              </w:numPr>
              <w:tabs>
                <w:tab w:val="left" w:pos="0"/>
              </w:tabs>
              <w:rPr>
                <w:b w:val="0"/>
                <w:bCs w:val="0"/>
                <w:u w:val="none"/>
              </w:rPr>
            </w:pPr>
            <w:r>
              <w:rPr>
                <w:rFonts w:hint="eastAsia"/>
                <w:b w:val="0"/>
                <w:bCs w:val="0"/>
                <w:u w:val="none"/>
              </w:rPr>
              <w:t>运营期</w:t>
            </w:r>
          </w:p>
          <w:p w14:paraId="4466901D">
            <w:pPr>
              <w:pStyle w:val="6"/>
              <w:numPr>
                <w:ilvl w:val="2"/>
                <w:numId w:val="5"/>
              </w:numPr>
              <w:rPr>
                <w:b w:val="0"/>
                <w:bCs w:val="0"/>
                <w:u w:val="none"/>
              </w:rPr>
            </w:pPr>
            <w:r>
              <w:rPr>
                <w:rFonts w:hint="eastAsia"/>
                <w:b w:val="0"/>
                <w:bCs w:val="0"/>
                <w:u w:val="none"/>
              </w:rPr>
              <w:t>液体CO</w:t>
            </w:r>
            <w:r>
              <w:rPr>
                <w:rFonts w:hint="eastAsia"/>
                <w:b w:val="0"/>
                <w:bCs w:val="0"/>
                <w:u w:val="none"/>
                <w:vertAlign w:val="subscript"/>
              </w:rPr>
              <w:t>2</w:t>
            </w:r>
            <w:r>
              <w:rPr>
                <w:rFonts w:hint="eastAsia"/>
                <w:b w:val="0"/>
                <w:bCs w:val="0"/>
                <w:u w:val="none"/>
              </w:rPr>
              <w:t>工艺流程及产污环节</w:t>
            </w:r>
          </w:p>
          <w:p w14:paraId="2DB38779">
            <w:pPr>
              <w:pStyle w:val="5"/>
              <w:rPr>
                <w:rFonts w:hint="default"/>
                <w:b w:val="0"/>
                <w:bCs w:val="0"/>
                <w:u w:val="none"/>
              </w:rPr>
            </w:pPr>
            <w:r>
              <w:rPr>
                <w:b w:val="0"/>
                <w:bCs w:val="0"/>
                <w:u w:val="none"/>
              </w:rPr>
              <w:t>本项目采用精脱硫和液化精馏组合法工艺生产液体CO</w:t>
            </w:r>
            <w:r>
              <w:rPr>
                <w:b w:val="0"/>
                <w:bCs w:val="0"/>
                <w:u w:val="none"/>
                <w:vertAlign w:val="subscript"/>
              </w:rPr>
              <w:t>2</w:t>
            </w:r>
            <w:r>
              <w:rPr>
                <w:b w:val="0"/>
                <w:bCs w:val="0"/>
                <w:u w:val="none"/>
              </w:rPr>
              <w:t>，其工艺流程及产污环节如下图。</w:t>
            </w:r>
          </w:p>
          <w:p w14:paraId="5B60E5C0">
            <w:pPr>
              <w:pStyle w:val="5"/>
              <w:ind w:firstLine="0" w:firstLineChars="0"/>
              <w:jc w:val="center"/>
              <w:rPr>
                <w:rFonts w:hint="default"/>
                <w:b w:val="0"/>
                <w:bCs w:val="0"/>
                <w:u w:val="none"/>
              </w:rPr>
            </w:pPr>
            <w:r>
              <w:rPr>
                <w:b w:val="0"/>
                <w:bCs w:val="0"/>
                <w:u w:val="none"/>
              </w:rPr>
              <w:drawing>
                <wp:inline distT="0" distB="0" distL="114300" distR="114300">
                  <wp:extent cx="4798060" cy="2640330"/>
                  <wp:effectExtent l="0" t="0" r="2540" b="7620"/>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1"/>
                          <a:stretch>
                            <a:fillRect/>
                          </a:stretch>
                        </pic:blipFill>
                        <pic:spPr>
                          <a:xfrm>
                            <a:off x="0" y="0"/>
                            <a:ext cx="4798060" cy="2640330"/>
                          </a:xfrm>
                          <a:prstGeom prst="rect">
                            <a:avLst/>
                          </a:prstGeom>
                        </pic:spPr>
                      </pic:pic>
                    </a:graphicData>
                  </a:graphic>
                </wp:inline>
              </w:drawing>
            </w:r>
          </w:p>
          <w:p w14:paraId="2F5AEAD1">
            <w:pPr>
              <w:pStyle w:val="44"/>
              <w:rPr>
                <w:rStyle w:val="33"/>
                <w:rFonts w:hint="default" w:eastAsia="宋体"/>
                <w:b w:val="0"/>
                <w:bCs w:val="0"/>
                <w:kern w:val="0"/>
                <w:szCs w:val="20"/>
                <w:u w:val="none"/>
              </w:rPr>
            </w:pPr>
            <w:r>
              <w:rPr>
                <w:b w:val="0"/>
                <w:bCs w:val="0"/>
                <w:u w:val="none"/>
              </w:rPr>
              <w:t xml:space="preserve">图2-3  </w:t>
            </w:r>
            <w:r>
              <w:rPr>
                <w:rFonts w:hint="eastAsia"/>
                <w:b w:val="0"/>
                <w:bCs w:val="0"/>
                <w:u w:val="none"/>
                <w:lang w:eastAsia="zh-CN"/>
              </w:rPr>
              <w:t>二氧化碳</w:t>
            </w:r>
            <w:r>
              <w:rPr>
                <w:b w:val="0"/>
                <w:bCs w:val="0"/>
                <w:u w:val="none"/>
              </w:rPr>
              <w:t>工艺流程及产污环节图</w:t>
            </w:r>
          </w:p>
          <w:p w14:paraId="4DEF1543">
            <w:pPr>
              <w:pStyle w:val="5"/>
              <w:tabs>
                <w:tab w:val="left" w:pos="0"/>
              </w:tabs>
              <w:ind w:left="420" w:leftChars="200" w:firstLine="0" w:firstLineChars="0"/>
              <w:rPr>
                <w:rFonts w:hint="default"/>
                <w:b w:val="0"/>
                <w:bCs w:val="0"/>
                <w:u w:val="none"/>
              </w:rPr>
            </w:pPr>
            <w:r>
              <w:rPr>
                <w:b w:val="0"/>
                <w:bCs w:val="0"/>
                <w:u w:val="none"/>
              </w:rPr>
              <w:t>工艺流程简简述：</w:t>
            </w:r>
          </w:p>
          <w:p w14:paraId="680F942A">
            <w:pPr>
              <w:pStyle w:val="5"/>
              <w:rPr>
                <w:rFonts w:hint="default"/>
                <w:b w:val="0"/>
                <w:bCs w:val="0"/>
                <w:u w:val="none"/>
              </w:rPr>
            </w:pPr>
            <w:r>
              <w:rPr>
                <w:b w:val="0"/>
                <w:bCs w:val="0"/>
                <w:u w:val="none"/>
              </w:rPr>
              <w:t>（1）缓冲、增压：来自河南神马氢化学有限责任公司CO</w:t>
            </w:r>
            <w:r>
              <w:rPr>
                <w:b w:val="0"/>
                <w:bCs w:val="0"/>
                <w:u w:val="none"/>
                <w:vertAlign w:val="subscript"/>
              </w:rPr>
              <w:t>2</w:t>
            </w:r>
            <w:r>
              <w:rPr>
                <w:b w:val="0"/>
                <w:bCs w:val="0"/>
                <w:u w:val="none"/>
              </w:rPr>
              <w:t>原料气常温常压下进入液体CO</w:t>
            </w:r>
            <w:r>
              <w:rPr>
                <w:b w:val="0"/>
                <w:bCs w:val="0"/>
                <w:u w:val="none"/>
                <w:vertAlign w:val="subscript"/>
              </w:rPr>
              <w:t>2</w:t>
            </w:r>
            <w:r>
              <w:rPr>
                <w:b w:val="0"/>
                <w:bCs w:val="0"/>
                <w:u w:val="none"/>
              </w:rPr>
              <w:t>系统，经过原料压缩机增压至2.5MPa后进入脱硫塔。</w:t>
            </w:r>
          </w:p>
          <w:p w14:paraId="38B3ED85">
            <w:pPr>
              <w:pStyle w:val="5"/>
              <w:keepNext w:val="0"/>
              <w:keepLines w:val="0"/>
              <w:pageBreakBefore w:val="0"/>
              <w:kinsoku/>
              <w:wordWrap/>
              <w:overflowPunct/>
              <w:topLinePunct w:val="0"/>
              <w:bidi w:val="0"/>
              <w:adjustRightInd/>
              <w:snapToGrid/>
              <w:ind w:firstLine="422"/>
              <w:textAlignment w:val="auto"/>
              <w:rPr>
                <w:rFonts w:hint="default"/>
                <w:b/>
                <w:bCs/>
                <w:u w:val="single"/>
              </w:rPr>
            </w:pPr>
            <w:r>
              <w:rPr>
                <w:b/>
                <w:bCs/>
                <w:u w:val="single"/>
              </w:rPr>
              <w:t>（2）粗、精脱硫：在20℃、2.5MPa工作条件下，进入精脱硫塔，本项目采用 CMT103（H</w:t>
            </w:r>
            <w:r>
              <w:rPr>
                <w:b/>
                <w:bCs/>
                <w:u w:val="single"/>
                <w:vertAlign w:val="subscript"/>
              </w:rPr>
              <w:t>2</w:t>
            </w:r>
            <w:r>
              <w:rPr>
                <w:b/>
                <w:bCs/>
                <w:u w:val="single"/>
              </w:rPr>
              <w:t>S精脱硫剂）串CMEZX-4（H</w:t>
            </w:r>
            <w:r>
              <w:rPr>
                <w:b/>
                <w:bCs/>
                <w:u w:val="single"/>
                <w:vertAlign w:val="subscript"/>
              </w:rPr>
              <w:t>2</w:t>
            </w:r>
            <w:r>
              <w:rPr>
                <w:b/>
                <w:bCs/>
                <w:u w:val="single"/>
              </w:rPr>
              <w:t>S+COS深度净化剂）的脱硫工艺，设置 2台脱硫塔以确保脱硫后的硫含量低于20ppb，脱硫效率高达97.5%以上。CO</w:t>
            </w:r>
            <w:r>
              <w:rPr>
                <w:b/>
                <w:bCs/>
                <w:u w:val="single"/>
                <w:vertAlign w:val="subscript"/>
              </w:rPr>
              <w:t>2</w:t>
            </w:r>
            <w:r>
              <w:rPr>
                <w:b/>
                <w:bCs/>
                <w:u w:val="single"/>
              </w:rPr>
              <w:t>原料气进入粗</w:t>
            </w:r>
            <w:r>
              <w:rPr>
                <w:b/>
                <w:bCs/>
                <w:u w:val="single"/>
                <w:lang w:val="zh-CN"/>
              </w:rPr>
              <w:t>脱硫塔</w:t>
            </w:r>
            <w:r>
              <w:rPr>
                <w:b/>
                <w:bCs/>
                <w:u w:val="single"/>
              </w:rPr>
              <w:t>塔底部</w:t>
            </w:r>
            <w:r>
              <w:rPr>
                <w:b/>
                <w:bCs/>
                <w:u w:val="single"/>
                <w:lang w:val="zh-CN"/>
              </w:rPr>
              <w:t>，</w:t>
            </w:r>
            <w:r>
              <w:rPr>
                <w:b/>
                <w:bCs/>
                <w:u w:val="single"/>
              </w:rPr>
              <w:t>CO</w:t>
            </w:r>
            <w:r>
              <w:rPr>
                <w:b/>
                <w:bCs/>
                <w:u w:val="single"/>
                <w:vertAlign w:val="subscript"/>
              </w:rPr>
              <w:t>2</w:t>
            </w:r>
            <w:r>
              <w:rPr>
                <w:b/>
                <w:bCs/>
                <w:u w:val="single"/>
              </w:rPr>
              <w:t>原料气向塔顶上升过程中，所含的H</w:t>
            </w:r>
            <w:r>
              <w:rPr>
                <w:b/>
                <w:bCs/>
                <w:u w:val="single"/>
                <w:vertAlign w:val="subscript"/>
              </w:rPr>
              <w:t>2</w:t>
            </w:r>
            <w:r>
              <w:rPr>
                <w:b/>
                <w:bCs/>
                <w:u w:val="single"/>
              </w:rPr>
              <w:t>S杂质被CMT103（H</w:t>
            </w:r>
            <w:r>
              <w:rPr>
                <w:b/>
                <w:bCs/>
                <w:u w:val="single"/>
                <w:vertAlign w:val="subscript"/>
              </w:rPr>
              <w:t>2</w:t>
            </w:r>
            <w:r>
              <w:rPr>
                <w:b/>
                <w:bCs/>
                <w:u w:val="single"/>
              </w:rPr>
              <w:t>S精脱硫剂）吸附。</w:t>
            </w:r>
            <w:r>
              <w:rPr>
                <w:b/>
                <w:bCs/>
                <w:u w:val="single"/>
                <w:lang w:val="zh-CN"/>
              </w:rPr>
              <w:t>脱除H</w:t>
            </w:r>
            <w:r>
              <w:rPr>
                <w:b/>
                <w:bCs/>
                <w:u w:val="single"/>
                <w:vertAlign w:val="subscript"/>
                <w:lang w:val="zh-CN"/>
              </w:rPr>
              <w:t>2</w:t>
            </w:r>
            <w:r>
              <w:rPr>
                <w:b/>
                <w:bCs/>
                <w:u w:val="single"/>
                <w:lang w:val="zh-CN"/>
              </w:rPr>
              <w:t>S</w:t>
            </w:r>
            <w:r>
              <w:rPr>
                <w:b/>
                <w:bCs/>
                <w:u w:val="single"/>
              </w:rPr>
              <w:t>后的原料气再进入精脱硫塔底部，原料气向塔顶上升过程中，所含的羟基硫杂质被CMEZX-4（H</w:t>
            </w:r>
            <w:r>
              <w:rPr>
                <w:b/>
                <w:bCs/>
                <w:u w:val="single"/>
                <w:vertAlign w:val="subscript"/>
              </w:rPr>
              <w:t>2</w:t>
            </w:r>
            <w:r>
              <w:rPr>
                <w:b/>
                <w:bCs/>
                <w:u w:val="single"/>
              </w:rPr>
              <w:t>S+COS深度净化剂）吸附脱除。此过程产生噪声和废脱硫剂。</w:t>
            </w:r>
          </w:p>
          <w:p w14:paraId="69ABCE1F">
            <w:pPr>
              <w:keepNext w:val="0"/>
              <w:keepLines w:val="0"/>
              <w:pageBreakBefore w:val="0"/>
              <w:kinsoku/>
              <w:wordWrap/>
              <w:overflowPunct/>
              <w:topLinePunct w:val="0"/>
              <w:autoSpaceDE w:val="0"/>
              <w:autoSpaceDN w:val="0"/>
              <w:bidi w:val="0"/>
              <w:adjustRightInd/>
              <w:snapToGrid/>
              <w:spacing w:line="360" w:lineRule="auto"/>
              <w:ind w:firstLine="422" w:firstLineChars="200"/>
              <w:textAlignment w:val="auto"/>
              <w:rPr>
                <w:b/>
                <w:bCs/>
                <w:u w:val="single"/>
              </w:rPr>
            </w:pPr>
            <w:r>
              <w:rPr>
                <w:b/>
                <w:bCs/>
                <w:u w:val="single"/>
              </w:rPr>
              <w:t>（2）吸附</w:t>
            </w:r>
            <w:r>
              <w:rPr>
                <w:rFonts w:hint="eastAsia"/>
                <w:b/>
                <w:bCs/>
                <w:u w:val="single"/>
              </w:rPr>
              <w:t>脱水</w:t>
            </w:r>
            <w:r>
              <w:rPr>
                <w:b/>
                <w:bCs/>
                <w:u w:val="single"/>
              </w:rPr>
              <w:t>：</w:t>
            </w:r>
            <w:r>
              <w:rPr>
                <w:rFonts w:hint="eastAsia"/>
                <w:b/>
                <w:bCs/>
                <w:u w:val="single"/>
              </w:rPr>
              <w:t>吸附脱水法是当原料气通过吸附床时，床层内的干燥剂将气体中的水分吸收，常用的脱水吸附材料为3A分子筛。</w:t>
            </w:r>
          </w:p>
          <w:p w14:paraId="7F0F6E0C">
            <w:pPr>
              <w:keepNext w:val="0"/>
              <w:keepLines w:val="0"/>
              <w:pageBreakBefore w:val="0"/>
              <w:kinsoku/>
              <w:wordWrap/>
              <w:overflowPunct/>
              <w:topLinePunct w:val="0"/>
              <w:autoSpaceDE w:val="0"/>
              <w:autoSpaceDN w:val="0"/>
              <w:bidi w:val="0"/>
              <w:adjustRightInd/>
              <w:snapToGrid/>
              <w:spacing w:line="360" w:lineRule="auto"/>
              <w:ind w:firstLine="422" w:firstLineChars="200"/>
              <w:textAlignment w:val="auto"/>
              <w:rPr>
                <w:b/>
                <w:bCs/>
                <w:u w:val="single"/>
              </w:rPr>
            </w:pPr>
            <w:r>
              <w:rPr>
                <w:rFonts w:hint="eastAsia"/>
                <w:b/>
                <w:bCs/>
                <w:u w:val="single"/>
              </w:rPr>
              <w:t>3A 分子筛对气体中的微量水具有很高的吸附能力。本工序采用装有一定体积3A 分子筛的干燥塔对二氧化碳净化气进行除水干燥，一开一备。过程通过水分在线分析仪提供的对干燥气体中微量水分检测数据对干燥器中的分子筛进行及时再生，满足生产要求。分子筛采用通入约200℃高温空气实现再生。干燥器采用一开一备形式。分子筛吸附饱和后加热再生，循环使用。干燥器的整个再生过程分为切换、泄压、加热再生、吹冷、充压备用五个步骤。此过程脱除原料气中水份</w:t>
            </w:r>
            <w:r>
              <w:rPr>
                <w:rFonts w:hint="eastAsia"/>
                <w:b/>
                <w:bCs/>
                <w:u w:val="single"/>
                <w:lang w:val="zh-CN"/>
              </w:rPr>
              <w:t>，</w:t>
            </w:r>
            <w:r>
              <w:rPr>
                <w:rFonts w:hint="eastAsia"/>
                <w:b/>
                <w:bCs/>
                <w:u w:val="single"/>
              </w:rPr>
              <w:t>并</w:t>
            </w:r>
            <w:r>
              <w:rPr>
                <w:b/>
                <w:bCs/>
                <w:u w:val="single"/>
              </w:rPr>
              <w:t>产生废分子筛</w:t>
            </w:r>
            <w:r>
              <w:rPr>
                <w:rFonts w:hint="eastAsia"/>
                <w:b/>
                <w:bCs/>
                <w:u w:val="single"/>
              </w:rPr>
              <w:t>。</w:t>
            </w:r>
          </w:p>
          <w:p w14:paraId="0DFDCD0E">
            <w:pPr>
              <w:pStyle w:val="5"/>
              <w:rPr>
                <w:rFonts w:hint="default"/>
                <w:b w:val="0"/>
                <w:bCs w:val="0"/>
                <w:u w:val="none"/>
              </w:rPr>
            </w:pPr>
            <w:r>
              <w:rPr>
                <w:b w:val="0"/>
                <w:bCs w:val="0"/>
                <w:u w:val="none"/>
              </w:rPr>
              <w:t>（3）冷却液化：脱水后的原料气进入冷却系统进行冷却液化，为下一步精馏做准备。本项目制冷单元液氨制冷，冷却系统由压缩机、冷凝器、节流阀和蒸发器连接形成一个全封闭系统，制冷剂液氨在系统内不断循环流动，液态氨在蒸发器中吸收被冷却物的热量后，气化成低温低压氨气，被压缩机吸入，压缩成高温高压氨气后排入冷凝器，在冷凝器中降温为高压液氨，经节流阀调节为低温低压液氨，再次进入蒸发器吸收热量，达到循环目的。冷却系统为全封闭状态，正常情况下液氨不外排。</w:t>
            </w:r>
          </w:p>
          <w:p w14:paraId="5CB04DF4">
            <w:pPr>
              <w:pStyle w:val="5"/>
              <w:rPr>
                <w:rFonts w:hint="default"/>
                <w:b w:val="0"/>
                <w:bCs w:val="0"/>
                <w:u w:val="none"/>
              </w:rPr>
            </w:pPr>
            <w:r>
              <w:rPr>
                <w:b w:val="0"/>
                <w:bCs w:val="0"/>
                <w:u w:val="none"/>
              </w:rPr>
              <w:t>（4）预精馏：预精馏在零下20℃、2.5MPa工作条件下进行，冷却、液化后的原料进入预精馏塔。原料经过预精馏塔分离，沸点比二氧化碳高的甲醇和部分二氧化碳液化后流至塔底；轻组分汽相则聚集在塔顶。</w:t>
            </w:r>
          </w:p>
          <w:p w14:paraId="72AB687F">
            <w:pPr>
              <w:pStyle w:val="5"/>
              <w:rPr>
                <w:rFonts w:hint="default"/>
                <w:b w:val="0"/>
                <w:bCs w:val="0"/>
                <w:u w:val="none"/>
                <w:lang w:val="zh-CN"/>
              </w:rPr>
            </w:pPr>
            <w:r>
              <w:rPr>
                <w:b w:val="0"/>
                <w:bCs w:val="0"/>
                <w:u w:val="none"/>
              </w:rPr>
              <w:t>轻组分气体主要为二氧化碳、氧气、氮气，在塔顶再次冷却液化后，从预精馏塔中部取出，此部分二氧化碳满足工业级二氧化碳指标，</w:t>
            </w:r>
            <w:r>
              <w:rPr>
                <w:b w:val="0"/>
                <w:bCs w:val="0"/>
                <w:u w:val="none"/>
                <w:lang w:val="zh-CN"/>
              </w:rPr>
              <w:t>在经过冷器降温后，进入储罐储存。</w:t>
            </w:r>
          </w:p>
          <w:p w14:paraId="34D4CEB1">
            <w:pPr>
              <w:pStyle w:val="5"/>
              <w:rPr>
                <w:rFonts w:hint="default"/>
                <w:b w:val="0"/>
                <w:bCs w:val="0"/>
                <w:u w:val="none"/>
                <w:lang w:val="zh-CN"/>
              </w:rPr>
            </w:pPr>
            <w:r>
              <w:rPr>
                <w:b w:val="0"/>
                <w:bCs w:val="0"/>
                <w:u w:val="none"/>
              </w:rPr>
              <w:t>塔底设有再沸器，通过调节在再沸器的负荷，使塔底含重组分甲醇较多的二氧化碳液蒸发，引入液体CO</w:t>
            </w:r>
            <w:r>
              <w:rPr>
                <w:b w:val="0"/>
                <w:bCs w:val="0"/>
                <w:u w:val="none"/>
                <w:vertAlign w:val="subscript"/>
              </w:rPr>
              <w:t>2</w:t>
            </w:r>
            <w:r>
              <w:rPr>
                <w:b w:val="0"/>
                <w:bCs w:val="0"/>
                <w:u w:val="none"/>
              </w:rPr>
              <w:t>尾气管道，经30m高排气筒排放经（DA001）排放。</w:t>
            </w:r>
            <w:r>
              <w:rPr>
                <w:b w:val="0"/>
                <w:bCs w:val="0"/>
                <w:u w:val="none"/>
                <w:lang w:val="zh-CN"/>
              </w:rPr>
              <w:t>此过程</w:t>
            </w:r>
            <w:r>
              <w:rPr>
                <w:b w:val="0"/>
                <w:bCs w:val="0"/>
                <w:u w:val="none"/>
              </w:rPr>
              <w:t>产生含CO</w:t>
            </w:r>
            <w:r>
              <w:rPr>
                <w:b w:val="0"/>
                <w:bCs w:val="0"/>
                <w:u w:val="none"/>
                <w:vertAlign w:val="subscript"/>
              </w:rPr>
              <w:t>2</w:t>
            </w:r>
            <w:r>
              <w:rPr>
                <w:b w:val="0"/>
                <w:bCs w:val="0"/>
                <w:u w:val="none"/>
              </w:rPr>
              <w:t>、甲醇废气。</w:t>
            </w:r>
          </w:p>
          <w:p w14:paraId="630A2E32">
            <w:pPr>
              <w:pStyle w:val="5"/>
              <w:numPr>
                <w:ilvl w:val="0"/>
                <w:numId w:val="6"/>
              </w:numPr>
              <w:rPr>
                <w:rFonts w:hint="default"/>
                <w:b w:val="0"/>
                <w:bCs w:val="0"/>
                <w:u w:val="none"/>
              </w:rPr>
            </w:pPr>
            <w:r>
              <w:rPr>
                <w:b w:val="0"/>
                <w:bCs w:val="0"/>
                <w:u w:val="none"/>
              </w:rPr>
              <w:t>提纯</w:t>
            </w:r>
            <w:r>
              <w:rPr>
                <w:b w:val="0"/>
                <w:bCs w:val="0"/>
                <w:highlight w:val="none"/>
                <w:u w:val="none"/>
              </w:rPr>
              <w:t>：</w:t>
            </w:r>
            <w:r>
              <w:rPr>
                <w:rFonts w:hint="eastAsia"/>
                <w:b w:val="0"/>
                <w:bCs w:val="0"/>
                <w:highlight w:val="none"/>
                <w:u w:val="none"/>
                <w:lang w:eastAsia="zh-CN"/>
              </w:rPr>
              <w:t>脱重塔</w:t>
            </w:r>
            <w:r>
              <w:rPr>
                <w:b w:val="0"/>
                <w:bCs w:val="0"/>
                <w:highlight w:val="none"/>
                <w:u w:val="none"/>
              </w:rPr>
              <w:t>中部</w:t>
            </w:r>
            <w:r>
              <w:rPr>
                <w:b w:val="0"/>
                <w:bCs w:val="0"/>
                <w:u w:val="none"/>
              </w:rPr>
              <w:t>流出满足工业级二氧化碳指标的产品，回流至提纯塔进行提纯，氧气、氮气等气体的沸点均低于二氧化碳沸点，作为不凝气从提纯塔顶部引入液体CO</w:t>
            </w:r>
            <w:r>
              <w:rPr>
                <w:b w:val="0"/>
                <w:bCs w:val="0"/>
                <w:u w:val="none"/>
                <w:vertAlign w:val="subscript"/>
              </w:rPr>
              <w:t>2</w:t>
            </w:r>
            <w:r>
              <w:rPr>
                <w:b w:val="0"/>
                <w:bCs w:val="0"/>
                <w:u w:val="none"/>
              </w:rPr>
              <w:t>尾气管道，经30m高排气筒排放经（DA001）排放。脱除轻组分（氧气、 氮气、及其它物质）后得到食品级液体CO</w:t>
            </w:r>
            <w:r>
              <w:rPr>
                <w:b w:val="0"/>
                <w:bCs w:val="0"/>
                <w:u w:val="none"/>
                <w:vertAlign w:val="subscript"/>
              </w:rPr>
              <w:t>2</w:t>
            </w:r>
            <w:r>
              <w:rPr>
                <w:b w:val="0"/>
                <w:bCs w:val="0"/>
                <w:u w:val="none"/>
              </w:rPr>
              <w:t>，过冷至-25℃后节流至1.6～2.0MPa进入储罐储存。</w:t>
            </w:r>
          </w:p>
          <w:p w14:paraId="189B2276">
            <w:pPr>
              <w:pStyle w:val="5"/>
              <w:rPr>
                <w:rFonts w:hint="default"/>
                <w:b w:val="0"/>
                <w:bCs w:val="0"/>
                <w:u w:val="none"/>
              </w:rPr>
            </w:pPr>
            <w:r>
              <w:rPr>
                <w:b w:val="0"/>
                <w:bCs w:val="0"/>
                <w:u w:val="none"/>
              </w:rPr>
              <w:t>（5）压缩</w:t>
            </w:r>
            <w:r>
              <w:rPr>
                <w:b w:val="0"/>
                <w:bCs w:val="0"/>
                <w:highlight w:val="none"/>
                <w:u w:val="none"/>
              </w:rPr>
              <w:t>：</w:t>
            </w:r>
            <w:r>
              <w:rPr>
                <w:rFonts w:hint="eastAsia"/>
                <w:b w:val="0"/>
                <w:bCs w:val="0"/>
                <w:highlight w:val="none"/>
                <w:u w:val="none"/>
                <w:lang w:eastAsia="zh-CN"/>
              </w:rPr>
              <w:t>脱轻塔</w:t>
            </w:r>
            <w:r>
              <w:rPr>
                <w:b w:val="0"/>
                <w:bCs w:val="0"/>
                <w:highlight w:val="none"/>
                <w:u w:val="none"/>
              </w:rPr>
              <w:t>分离出</w:t>
            </w:r>
            <w:r>
              <w:rPr>
                <w:b w:val="0"/>
                <w:bCs w:val="0"/>
                <w:u w:val="none"/>
              </w:rPr>
              <w:t>的食品级二氧化</w:t>
            </w:r>
            <w:r>
              <w:rPr>
                <w:b w:val="0"/>
                <w:bCs w:val="0"/>
                <w:highlight w:val="none"/>
                <w:u w:val="none"/>
              </w:rPr>
              <w:t>碳，进入食品二氧化碳储罐储存</w:t>
            </w:r>
            <w:r>
              <w:rPr>
                <w:rFonts w:hint="eastAsia"/>
                <w:b w:val="0"/>
                <w:bCs w:val="0"/>
                <w:highlight w:val="none"/>
                <w:u w:val="none"/>
                <w:lang w:eastAsia="zh-CN"/>
              </w:rPr>
              <w:t>。期中</w:t>
            </w:r>
            <w:r>
              <w:rPr>
                <w:rFonts w:hint="eastAsia"/>
                <w:b w:val="0"/>
                <w:bCs w:val="0"/>
                <w:highlight w:val="none"/>
                <w:u w:val="none"/>
                <w:lang w:val="en-US" w:eastAsia="zh-CN"/>
              </w:rPr>
              <w:t>10万t/a食品级二氧化碳作为产品外售；6.4万t/a食品级二氧化碳</w:t>
            </w:r>
            <w:r>
              <w:rPr>
                <w:b w:val="0"/>
                <w:bCs w:val="0"/>
                <w:highlight w:val="none"/>
                <w:u w:val="none"/>
              </w:rPr>
              <w:t>利用</w:t>
            </w:r>
            <w:r>
              <w:rPr>
                <w:b w:val="0"/>
                <w:bCs w:val="0"/>
                <w:u w:val="none"/>
              </w:rPr>
              <w:t>干冰生产线制成固态干冰外售。本项目干冰生产线利用中压液体 CO</w:t>
            </w:r>
            <w:r>
              <w:rPr>
                <w:b w:val="0"/>
                <w:bCs w:val="0"/>
                <w:u w:val="none"/>
                <w:vertAlign w:val="subscript"/>
              </w:rPr>
              <w:t>2</w:t>
            </w:r>
            <w:r>
              <w:rPr>
                <w:b w:val="0"/>
                <w:bCs w:val="0"/>
                <w:u w:val="none"/>
              </w:rPr>
              <w:t>的节流膨胀降温，使部分液体CO</w:t>
            </w:r>
            <w:r>
              <w:rPr>
                <w:b w:val="0"/>
                <w:bCs w:val="0"/>
                <w:u w:val="none"/>
                <w:vertAlign w:val="subscript"/>
              </w:rPr>
              <w:t>2</w:t>
            </w:r>
            <w:r>
              <w:rPr>
                <w:b w:val="0"/>
                <w:bCs w:val="0"/>
                <w:u w:val="none"/>
              </w:rPr>
              <w:t>凝结成固体雪状CO</w:t>
            </w:r>
            <w:r>
              <w:rPr>
                <w:b w:val="0"/>
                <w:bCs w:val="0"/>
                <w:u w:val="none"/>
                <w:vertAlign w:val="subscript"/>
              </w:rPr>
              <w:t>2</w:t>
            </w:r>
            <w:r>
              <w:rPr>
                <w:b w:val="0"/>
                <w:bCs w:val="0"/>
                <w:u w:val="none"/>
              </w:rPr>
              <w:t>，然后在干冰机内经柱塞紧压成密实的块状或粒状产品。</w:t>
            </w:r>
          </w:p>
          <w:p w14:paraId="1285CABB">
            <w:pPr>
              <w:pStyle w:val="6"/>
              <w:numPr>
                <w:ilvl w:val="2"/>
                <w:numId w:val="4"/>
              </w:numPr>
              <w:rPr>
                <w:b w:val="0"/>
                <w:bCs w:val="0"/>
                <w:u w:val="none"/>
              </w:rPr>
            </w:pPr>
            <w:r>
              <w:rPr>
                <w:rFonts w:hint="eastAsia"/>
                <w:b w:val="0"/>
                <w:bCs w:val="0"/>
                <w:highlight w:val="none"/>
                <w:u w:val="none"/>
                <w:lang w:eastAsia="zh-CN"/>
              </w:rPr>
              <w:t>超纯氨</w:t>
            </w:r>
            <w:r>
              <w:rPr>
                <w:rFonts w:hint="eastAsia"/>
                <w:b w:val="0"/>
                <w:bCs w:val="0"/>
                <w:u w:val="none"/>
              </w:rPr>
              <w:t>工艺流程及产污环节</w:t>
            </w:r>
          </w:p>
          <w:p w14:paraId="31BF34D0">
            <w:pPr>
              <w:pStyle w:val="5"/>
              <w:rPr>
                <w:rFonts w:hint="default"/>
                <w:b w:val="0"/>
                <w:bCs w:val="0"/>
                <w:u w:val="none"/>
              </w:rPr>
            </w:pPr>
            <w:r>
              <w:rPr>
                <w:rFonts w:hint="default"/>
                <w:b w:val="0"/>
                <w:bCs w:val="0"/>
                <w:u w:val="none"/>
              </w:rPr>
              <w:t>工艺流程及产污环节</w:t>
            </w:r>
            <w:r>
              <w:rPr>
                <w:b w:val="0"/>
                <w:bCs w:val="0"/>
                <w:u w:val="none"/>
              </w:rPr>
              <w:t>：</w:t>
            </w:r>
          </w:p>
          <w:p w14:paraId="0F59D0FA">
            <w:pPr>
              <w:pStyle w:val="5"/>
              <w:ind w:firstLine="0" w:firstLineChars="0"/>
              <w:rPr>
                <w:rFonts w:hint="default"/>
                <w:b w:val="0"/>
                <w:bCs w:val="0"/>
                <w:u w:val="none"/>
              </w:rPr>
            </w:pPr>
            <w:r>
              <w:rPr>
                <w:b w:val="0"/>
                <w:bCs w:val="0"/>
                <w:u w:val="none"/>
              </w:rPr>
              <w:drawing>
                <wp:inline distT="0" distB="0" distL="114300" distR="114300">
                  <wp:extent cx="4797425" cy="1939925"/>
                  <wp:effectExtent l="0" t="0" r="3175" b="3175"/>
                  <wp:docPr id="19" name="图片 1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2"/>
                          <pic:cNvPicPr>
                            <a:picLocks noChangeAspect="1"/>
                          </pic:cNvPicPr>
                        </pic:nvPicPr>
                        <pic:blipFill>
                          <a:blip r:embed="rId12"/>
                          <a:stretch>
                            <a:fillRect/>
                          </a:stretch>
                        </pic:blipFill>
                        <pic:spPr>
                          <a:xfrm>
                            <a:off x="0" y="0"/>
                            <a:ext cx="4797425" cy="1939925"/>
                          </a:xfrm>
                          <a:prstGeom prst="rect">
                            <a:avLst/>
                          </a:prstGeom>
                        </pic:spPr>
                      </pic:pic>
                    </a:graphicData>
                  </a:graphic>
                </wp:inline>
              </w:drawing>
            </w:r>
          </w:p>
          <w:p w14:paraId="03B2D041">
            <w:pPr>
              <w:pStyle w:val="44"/>
              <w:rPr>
                <w:rFonts w:hint="default"/>
                <w:b w:val="0"/>
                <w:bCs w:val="0"/>
                <w:u w:val="none"/>
              </w:rPr>
            </w:pPr>
            <w:r>
              <w:rPr>
                <w:b w:val="0"/>
                <w:bCs w:val="0"/>
                <w:u w:val="none"/>
              </w:rPr>
              <w:t xml:space="preserve">图2-4  </w:t>
            </w:r>
            <w:r>
              <w:rPr>
                <w:rFonts w:hint="eastAsia"/>
                <w:b w:val="0"/>
                <w:bCs w:val="0"/>
                <w:u w:val="none"/>
                <w:lang w:eastAsia="zh-CN"/>
              </w:rPr>
              <w:t>超纯氨</w:t>
            </w:r>
            <w:r>
              <w:rPr>
                <w:b w:val="0"/>
                <w:bCs w:val="0"/>
                <w:u w:val="none"/>
              </w:rPr>
              <w:t>工艺流程及产污环节图</w:t>
            </w:r>
          </w:p>
          <w:p w14:paraId="7DEC0163">
            <w:pPr>
              <w:pStyle w:val="5"/>
              <w:tabs>
                <w:tab w:val="left" w:pos="0"/>
              </w:tabs>
              <w:ind w:left="420" w:leftChars="200" w:firstLine="0" w:firstLineChars="0"/>
              <w:rPr>
                <w:rFonts w:hint="default"/>
                <w:b w:val="0"/>
                <w:bCs w:val="0"/>
                <w:u w:val="none"/>
              </w:rPr>
            </w:pPr>
            <w:r>
              <w:rPr>
                <w:b w:val="0"/>
                <w:bCs w:val="0"/>
                <w:u w:val="none"/>
              </w:rPr>
              <w:t>工艺流程简述：</w:t>
            </w:r>
          </w:p>
          <w:p w14:paraId="61FE2082">
            <w:pPr>
              <w:pStyle w:val="5"/>
              <w:rPr>
                <w:rFonts w:hint="default"/>
                <w:b w:val="0"/>
                <w:bCs w:val="0"/>
                <w:u w:val="none"/>
              </w:rPr>
            </w:pPr>
            <w:r>
              <w:rPr>
                <w:rFonts w:hint="default"/>
                <w:b w:val="0"/>
                <w:bCs w:val="0"/>
                <w:u w:val="none"/>
              </w:rPr>
              <w:t>（1）缓冲、增压：</w:t>
            </w:r>
            <w:r>
              <w:rPr>
                <w:b w:val="0"/>
                <w:bCs w:val="0"/>
                <w:u w:val="none"/>
              </w:rPr>
              <w:t>液氨原料</w:t>
            </w:r>
            <w:r>
              <w:rPr>
                <w:rFonts w:hint="default"/>
                <w:b w:val="0"/>
                <w:bCs w:val="0"/>
                <w:u w:val="none"/>
              </w:rPr>
              <w:t>首先进入</w:t>
            </w:r>
            <w:r>
              <w:rPr>
                <w:b w:val="0"/>
                <w:bCs w:val="0"/>
                <w:u w:val="none"/>
              </w:rPr>
              <w:t>原料液氨储罐</w:t>
            </w:r>
            <w:r>
              <w:rPr>
                <w:rFonts w:hint="default"/>
                <w:b w:val="0"/>
                <w:bCs w:val="0"/>
                <w:u w:val="none"/>
              </w:rPr>
              <w:t>进行缓冲，再</w:t>
            </w:r>
            <w:r>
              <w:rPr>
                <w:rFonts w:hint="default"/>
                <w:b w:val="0"/>
                <w:bCs w:val="0"/>
                <w:highlight w:val="none"/>
                <w:u w:val="none"/>
              </w:rPr>
              <w:t>经过</w:t>
            </w:r>
            <w:r>
              <w:rPr>
                <w:rFonts w:hint="eastAsia"/>
                <w:b w:val="0"/>
                <w:bCs w:val="0"/>
                <w:highlight w:val="none"/>
                <w:u w:val="none"/>
                <w:lang w:eastAsia="zh-CN"/>
              </w:rPr>
              <w:t>进料泵</w:t>
            </w:r>
            <w:r>
              <w:rPr>
                <w:rFonts w:hint="default"/>
                <w:b w:val="0"/>
                <w:bCs w:val="0"/>
                <w:highlight w:val="none"/>
                <w:u w:val="none"/>
              </w:rPr>
              <w:t>增</w:t>
            </w:r>
            <w:r>
              <w:rPr>
                <w:rFonts w:hint="default"/>
                <w:b w:val="0"/>
                <w:bCs w:val="0"/>
                <w:u w:val="none"/>
              </w:rPr>
              <w:t>压至</w:t>
            </w:r>
            <w:r>
              <w:rPr>
                <w:b w:val="0"/>
                <w:bCs w:val="0"/>
                <w:u w:val="none"/>
              </w:rPr>
              <w:t>2</w:t>
            </w:r>
            <w:r>
              <w:rPr>
                <w:rFonts w:hint="default"/>
                <w:b w:val="0"/>
                <w:bCs w:val="0"/>
                <w:u w:val="none"/>
              </w:rPr>
              <w:t>.0MPa后进入脱</w:t>
            </w:r>
            <w:r>
              <w:rPr>
                <w:b w:val="0"/>
                <w:bCs w:val="0"/>
                <w:u w:val="none"/>
              </w:rPr>
              <w:t>轻</w:t>
            </w:r>
            <w:r>
              <w:rPr>
                <w:rFonts w:hint="default"/>
                <w:b w:val="0"/>
                <w:bCs w:val="0"/>
                <w:u w:val="none"/>
              </w:rPr>
              <w:t>塔</w:t>
            </w:r>
            <w:r>
              <w:rPr>
                <w:b w:val="0"/>
                <w:bCs w:val="0"/>
                <w:u w:val="none"/>
              </w:rPr>
              <w:t>塔顶</w:t>
            </w:r>
            <w:r>
              <w:rPr>
                <w:rFonts w:hint="default"/>
                <w:b w:val="0"/>
                <w:bCs w:val="0"/>
                <w:u w:val="none"/>
              </w:rPr>
              <w:t>。</w:t>
            </w:r>
          </w:p>
          <w:p w14:paraId="6D320AA4">
            <w:pPr>
              <w:pStyle w:val="5"/>
              <w:rPr>
                <w:rFonts w:hint="default"/>
                <w:b w:val="0"/>
                <w:bCs w:val="0"/>
                <w:u w:val="none"/>
              </w:rPr>
            </w:pPr>
            <w:r>
              <w:rPr>
                <w:b w:val="0"/>
                <w:bCs w:val="0"/>
                <w:u w:val="none"/>
              </w:rPr>
              <w:t>（1）脱轻塔：在25~52℃，2.0MPa的工作条件下，液氨原料经过脱轻塔分离后，轻组分在塔顶聚集，塔顶气相经过脱轻塔冷凝器冷凝后形成液相和汽相（不凝气）。其中汽相包含N</w:t>
            </w:r>
            <w:r>
              <w:rPr>
                <w:b w:val="0"/>
                <w:bCs w:val="0"/>
                <w:u w:val="none"/>
                <w:vertAlign w:val="subscript"/>
              </w:rPr>
              <w:t>2</w:t>
            </w:r>
            <w:r>
              <w:rPr>
                <w:b w:val="0"/>
                <w:bCs w:val="0"/>
                <w:u w:val="none"/>
              </w:rPr>
              <w:t>、CO、NH</w:t>
            </w:r>
            <w:r>
              <w:rPr>
                <w:b w:val="0"/>
                <w:bCs w:val="0"/>
                <w:u w:val="none"/>
                <w:vertAlign w:val="subscript"/>
              </w:rPr>
              <w:t>3</w:t>
            </w:r>
            <w:r>
              <w:rPr>
                <w:b w:val="0"/>
                <w:bCs w:val="0"/>
                <w:u w:val="none"/>
              </w:rPr>
              <w:t>等，通过管道引至制氨水系统；液相进入回流罐，通过回流罐返回脱轻塔。塔底采出含有重组分的液氨，进入脱重塔。</w:t>
            </w:r>
          </w:p>
          <w:p w14:paraId="33CF399A">
            <w:pPr>
              <w:pStyle w:val="5"/>
              <w:rPr>
                <w:rFonts w:hint="default"/>
                <w:b w:val="0"/>
                <w:bCs w:val="0"/>
                <w:u w:val="none"/>
              </w:rPr>
            </w:pPr>
            <w:r>
              <w:rPr>
                <w:b w:val="0"/>
                <w:bCs w:val="0"/>
                <w:u w:val="none"/>
              </w:rPr>
              <w:t>（2）脱重塔：在47~90℃，0.4~2.5MPa的工作条件下，液氨进入脱重塔塔釜，经过脱重塔分离后，脱出水、油等重组分，塔顶气相经过脱重塔冷凝器冷凝，冷凝后液相流入作为合格的</w:t>
            </w:r>
            <w:r>
              <w:rPr>
                <w:rFonts w:hint="eastAsia"/>
                <w:b w:val="0"/>
                <w:bCs w:val="0"/>
                <w:u w:val="none"/>
                <w:lang w:eastAsia="zh-CN"/>
              </w:rPr>
              <w:t>超纯氨</w:t>
            </w:r>
            <w:r>
              <w:rPr>
                <w:b w:val="0"/>
                <w:bCs w:val="0"/>
                <w:u w:val="none"/>
              </w:rPr>
              <w:t>产品采出，经产品冷却器调节温度至30℃后进入产品储罐（压力1.0MPa），</w:t>
            </w:r>
            <w:r>
              <w:rPr>
                <w:rFonts w:hint="eastAsia"/>
                <w:b w:val="0"/>
                <w:bCs w:val="0"/>
                <w:u w:val="none"/>
                <w:lang w:eastAsia="zh-CN"/>
              </w:rPr>
              <w:t>超纯氨</w:t>
            </w:r>
            <w:r>
              <w:rPr>
                <w:b w:val="0"/>
                <w:bCs w:val="0"/>
                <w:u w:val="none"/>
              </w:rPr>
              <w:t>成品直接装槽车外卖。塔底含有水、油、重金属的液氨通过压差自流进入制氨水系统。</w:t>
            </w:r>
          </w:p>
          <w:p w14:paraId="2FE1A4E2">
            <w:pPr>
              <w:pStyle w:val="5"/>
              <w:numPr>
                <w:ilvl w:val="0"/>
                <w:numId w:val="6"/>
              </w:numPr>
              <w:rPr>
                <w:rFonts w:hint="default"/>
                <w:b w:val="0"/>
                <w:bCs w:val="0"/>
                <w:u w:val="none"/>
              </w:rPr>
            </w:pPr>
            <w:r>
              <w:rPr>
                <w:rFonts w:hint="eastAsia"/>
                <w:b w:val="0"/>
                <w:bCs w:val="0"/>
                <w:u w:val="none"/>
                <w:lang w:eastAsia="zh-CN"/>
              </w:rPr>
              <w:t>超纯氨</w:t>
            </w:r>
            <w:r>
              <w:rPr>
                <w:b w:val="0"/>
                <w:bCs w:val="0"/>
                <w:u w:val="none"/>
              </w:rPr>
              <w:t>尾气吸收系统（制氨水系统）：在压力1-10KPa、温度40℃条件下，</w:t>
            </w:r>
            <w:r>
              <w:rPr>
                <w:rFonts w:hint="eastAsia"/>
                <w:b w:val="0"/>
                <w:bCs w:val="0"/>
                <w:u w:val="none"/>
                <w:lang w:eastAsia="zh-CN"/>
              </w:rPr>
              <w:t>超纯氨</w:t>
            </w:r>
            <w:r>
              <w:rPr>
                <w:b w:val="0"/>
                <w:bCs w:val="0"/>
                <w:u w:val="none"/>
              </w:rPr>
              <w:t>工艺中脱轻塔的不凝气和脱重塔塔底含有水、油、重金属、液氨的残液进入制氨水系统。</w:t>
            </w:r>
          </w:p>
          <w:p w14:paraId="7E7F4711">
            <w:pPr>
              <w:pStyle w:val="5"/>
              <w:rPr>
                <w:rFonts w:hint="default"/>
                <w:b/>
                <w:bCs/>
                <w:color w:val="auto"/>
                <w:u w:val="single"/>
              </w:rPr>
            </w:pPr>
            <w:r>
              <w:rPr>
                <w:b/>
                <w:bCs/>
                <w:color w:val="auto"/>
                <w:u w:val="single"/>
              </w:rPr>
              <w:t>项目设置</w:t>
            </w:r>
            <w:r>
              <w:rPr>
                <w:rFonts w:hint="default"/>
                <w:b/>
                <w:bCs/>
                <w:color w:val="auto"/>
                <w:u w:val="single"/>
              </w:rPr>
              <w:t>2套氨水（20%）生产线（超纯氨尾气吸收），氨水生产线由一套超级吸氨器装置和一个两级吸氨器+3级水喷淋吸收塔组成。配套设置2个300m</w:t>
            </w:r>
            <w:r>
              <w:rPr>
                <w:rFonts w:hint="default"/>
                <w:b/>
                <w:bCs/>
                <w:color w:val="auto"/>
                <w:u w:val="single"/>
                <w:vertAlign w:val="superscript"/>
              </w:rPr>
              <w:t>3</w:t>
            </w:r>
            <w:r>
              <w:rPr>
                <w:rFonts w:hint="default"/>
                <w:b/>
                <w:bCs/>
                <w:color w:val="auto"/>
                <w:u w:val="single"/>
              </w:rPr>
              <w:t>氨水储罐，生产装置为撬装结构。</w:t>
            </w:r>
            <w:r>
              <w:rPr>
                <w:b/>
                <w:bCs/>
                <w:color w:val="auto"/>
                <w:u w:val="single"/>
              </w:rPr>
              <w:t>其中</w:t>
            </w:r>
            <w:r>
              <w:rPr>
                <w:rFonts w:hint="default"/>
                <w:b/>
                <w:bCs/>
                <w:color w:val="auto"/>
                <w:u w:val="single"/>
              </w:rPr>
              <w:t>超纯氨生产线正常运行时采用回收装置2级吸氨器+3级水喷淋进行氨气吸收，生产氨水</w:t>
            </w:r>
            <w:r>
              <w:rPr>
                <w:b/>
                <w:bCs/>
                <w:color w:val="auto"/>
                <w:u w:val="single"/>
              </w:rPr>
              <w:t>；</w:t>
            </w:r>
            <w:r>
              <w:rPr>
                <w:rFonts w:hint="default"/>
                <w:b/>
                <w:bCs/>
                <w:color w:val="auto"/>
                <w:u w:val="single"/>
              </w:rPr>
              <w:t>超纯氨生产线开停车时，</w:t>
            </w:r>
            <w:r>
              <w:rPr>
                <w:b/>
                <w:bCs/>
                <w:color w:val="auto"/>
                <w:u w:val="single"/>
              </w:rPr>
              <w:t>为保证氨气快速吸收，</w:t>
            </w:r>
            <w:r>
              <w:rPr>
                <w:rFonts w:hint="default"/>
                <w:b/>
                <w:bCs/>
                <w:color w:val="auto"/>
                <w:u w:val="single"/>
              </w:rPr>
              <w:t>采用1套超级吸氨器+2级吸氨器+3级水喷淋进行氨气吸收，生产氨水</w:t>
            </w:r>
            <w:r>
              <w:rPr>
                <w:b/>
                <w:bCs/>
                <w:color w:val="auto"/>
                <w:u w:val="single"/>
              </w:rPr>
              <w:t>。</w:t>
            </w:r>
          </w:p>
          <w:p w14:paraId="73D656A0">
            <w:pPr>
              <w:pStyle w:val="5"/>
              <w:ind w:firstLine="422"/>
              <w:rPr>
                <w:rFonts w:hint="default"/>
                <w:b/>
                <w:bCs/>
                <w:color w:val="auto"/>
                <w:u w:val="single"/>
              </w:rPr>
            </w:pPr>
            <w:r>
              <w:rPr>
                <w:b/>
                <w:bCs/>
                <w:color w:val="auto"/>
                <w:u w:val="single"/>
              </w:rPr>
              <w:t>超级吸氨器是一种超速反应吸氨器，能够将氨气与水按比例快速混合不循环吸收，为用户提供所需浓度的氨水。它的工作原理基于内部结构为板式换热器，材质为不锈钢，本体为密闭结构。该设备内部设有隔板，将吸氨器本体隔为三个空间，并在隔板底部相连通，每个空间相当于一个换热器。每个换热器均由数片波板组合而成，每个换热器均有相互交错隔离的两个流道，分别输送两种不同的换热介质。脱轻塔的不凝气和脱重塔塔底液氨从设备进口进入后，被均匀地分配到波纹板换热器中，在换热器中与循环水换热气化。气化后的氨通过入喷氨管与脱盐水混合，并通过氨水分布器均匀地进换热器内。超级吸氨器采用分布器多点注氨，形成多界面的高效混合过程，大大加快了液氨溶解的速度，提高氨水制备效率。</w:t>
            </w:r>
          </w:p>
          <w:p w14:paraId="00C63748">
            <w:pPr>
              <w:pStyle w:val="5"/>
              <w:ind w:firstLine="422"/>
              <w:rPr>
                <w:rFonts w:hint="default"/>
                <w:b/>
                <w:bCs/>
                <w:color w:val="auto"/>
                <w:u w:val="single"/>
              </w:rPr>
            </w:pPr>
            <w:r>
              <w:rPr>
                <w:b/>
                <w:bCs/>
                <w:color w:val="auto"/>
                <w:u w:val="single"/>
              </w:rPr>
              <w:t>根据化工部第八设计院李琼玖的论文《氮肥生产的氨回收流程和设备及当前节能降耗的方向》（1983 年《化学工程》第 2 期）中水吸氨过程进气、出气氨含量对比，氨的吸收效率在99%以上，项目两级吸氨器对氨吸收效率不低于99%，本次评价按99%计算，超级氨吸收器可保证开停机时，氨气能够快速吸收，保证所有工况下氨吸收效率不低于99%。</w:t>
            </w:r>
          </w:p>
          <w:p w14:paraId="4F438213">
            <w:pPr>
              <w:pStyle w:val="5"/>
              <w:numPr>
                <w:ilvl w:val="0"/>
                <w:numId w:val="6"/>
              </w:numPr>
              <w:ind w:firstLine="422"/>
              <w:rPr>
                <w:rFonts w:hint="default"/>
                <w:b w:val="0"/>
                <w:bCs w:val="0"/>
                <w:u w:val="none"/>
              </w:rPr>
            </w:pPr>
            <w:r>
              <w:rPr>
                <w:b/>
                <w:bCs/>
                <w:color w:val="auto"/>
                <w:u w:val="single"/>
              </w:rPr>
              <w:t>为进一步降低氨排放量，吸氨器尾气进入三级水吸收塔进行进一吸收后，经15m高排气筒排放。氨吸收塔内吸收液中浓度达到20%后定期排入氨水储罐内。</w:t>
            </w:r>
          </w:p>
          <w:p w14:paraId="6BE1E03A">
            <w:pPr>
              <w:pStyle w:val="4"/>
              <w:numPr>
                <w:ilvl w:val="1"/>
                <w:numId w:val="4"/>
              </w:numPr>
              <w:tabs>
                <w:tab w:val="left" w:pos="0"/>
              </w:tabs>
              <w:rPr>
                <w:b w:val="0"/>
                <w:bCs w:val="0"/>
                <w:u w:val="none"/>
              </w:rPr>
            </w:pPr>
            <w:r>
              <w:rPr>
                <w:b w:val="0"/>
                <w:bCs w:val="0"/>
                <w:u w:val="none"/>
              </w:rPr>
              <w:t>物料平衡</w:t>
            </w:r>
          </w:p>
          <w:p w14:paraId="536407C2">
            <w:pPr>
              <w:pStyle w:val="5"/>
              <w:ind w:firstLine="422"/>
              <w:rPr>
                <w:rFonts w:hint="default"/>
                <w:b w:val="0"/>
                <w:bCs w:val="0"/>
                <w:u w:val="none"/>
              </w:rPr>
            </w:pPr>
            <w:r>
              <w:rPr>
                <w:rFonts w:hint="default"/>
                <w:b w:val="0"/>
                <w:bCs w:val="0"/>
                <w:u w:val="none"/>
              </w:rPr>
              <w:t>本项目生产过程物料平衡见下表。</w:t>
            </w:r>
          </w:p>
          <w:p w14:paraId="3F8A6C87">
            <w:pPr>
              <w:pStyle w:val="44"/>
              <w:numPr>
                <w:ilvl w:val="0"/>
                <w:numId w:val="2"/>
              </w:numPr>
              <w:rPr>
                <w:rFonts w:hint="default"/>
                <w:b/>
                <w:bCs/>
                <w:u w:val="single"/>
              </w:rPr>
            </w:pPr>
            <w:r>
              <w:rPr>
                <w:rFonts w:hint="default"/>
                <w:b/>
                <w:bCs/>
                <w:u w:val="single"/>
              </w:rPr>
              <w:t>本项目</w:t>
            </w:r>
            <w:r>
              <w:rPr>
                <w:b/>
                <w:bCs/>
                <w:u w:val="single"/>
              </w:rPr>
              <w:t>液体CO</w:t>
            </w:r>
            <w:r>
              <w:rPr>
                <w:b/>
                <w:bCs/>
                <w:u w:val="single"/>
                <w:vertAlign w:val="subscript"/>
              </w:rPr>
              <w:t>2</w:t>
            </w:r>
            <w:r>
              <w:rPr>
                <w:rFonts w:hint="default"/>
                <w:b/>
                <w:bCs/>
                <w:u w:val="single"/>
              </w:rPr>
              <w:t>生产过程物料平衡一览表</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63"/>
              <w:gridCol w:w="1180"/>
              <w:gridCol w:w="1525"/>
              <w:gridCol w:w="1361"/>
              <w:gridCol w:w="1180"/>
              <w:gridCol w:w="1180"/>
            </w:tblGrid>
            <w:tr w14:paraId="268829B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88" w:type="dxa"/>
                  <w:vMerge w:val="restart"/>
                  <w:tcBorders>
                    <w:tl2br w:val="nil"/>
                    <w:tr2bl w:val="nil"/>
                  </w:tcBorders>
                  <w:shd w:val="clear" w:color="auto" w:fill="auto"/>
                  <w:vAlign w:val="center"/>
                </w:tcPr>
                <w:p w14:paraId="3C7242B9">
                  <w:pPr>
                    <w:pStyle w:val="45"/>
                    <w:rPr>
                      <w:rFonts w:hint="default"/>
                      <w:b/>
                      <w:bCs/>
                      <w:u w:val="single"/>
                    </w:rPr>
                  </w:pPr>
                  <w:r>
                    <w:rPr>
                      <w:b/>
                      <w:bCs/>
                      <w:u w:val="single"/>
                    </w:rPr>
                    <w:t>序号</w:t>
                  </w:r>
                </w:p>
              </w:tc>
              <w:tc>
                <w:tcPr>
                  <w:tcW w:w="2933" w:type="dxa"/>
                  <w:gridSpan w:val="2"/>
                  <w:tcBorders>
                    <w:tl2br w:val="nil"/>
                    <w:tr2bl w:val="nil"/>
                  </w:tcBorders>
                  <w:shd w:val="clear" w:color="auto" w:fill="auto"/>
                  <w:vAlign w:val="center"/>
                </w:tcPr>
                <w:p w14:paraId="06767838">
                  <w:pPr>
                    <w:pStyle w:val="45"/>
                    <w:rPr>
                      <w:rFonts w:hint="default"/>
                      <w:b/>
                      <w:bCs/>
                      <w:u w:val="single"/>
                    </w:rPr>
                  </w:pPr>
                  <w:r>
                    <w:rPr>
                      <w:b/>
                      <w:bCs/>
                      <w:u w:val="single"/>
                    </w:rPr>
                    <w:t>投入</w:t>
                  </w:r>
                </w:p>
              </w:tc>
              <w:tc>
                <w:tcPr>
                  <w:tcW w:w="3825" w:type="dxa"/>
                  <w:gridSpan w:val="3"/>
                  <w:tcBorders>
                    <w:tl2br w:val="nil"/>
                    <w:tr2bl w:val="nil"/>
                  </w:tcBorders>
                  <w:shd w:val="clear" w:color="auto" w:fill="auto"/>
                  <w:vAlign w:val="center"/>
                </w:tcPr>
                <w:p w14:paraId="09EEBAFD">
                  <w:pPr>
                    <w:pStyle w:val="45"/>
                    <w:rPr>
                      <w:rFonts w:hint="default"/>
                      <w:b/>
                      <w:bCs/>
                      <w:u w:val="single"/>
                    </w:rPr>
                  </w:pPr>
                  <w:r>
                    <w:rPr>
                      <w:b/>
                      <w:bCs/>
                      <w:u w:val="single"/>
                    </w:rPr>
                    <w:t>产出</w:t>
                  </w:r>
                </w:p>
              </w:tc>
            </w:tr>
            <w:tr w14:paraId="4D94475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88" w:type="dxa"/>
                  <w:vMerge w:val="continue"/>
                  <w:tcBorders>
                    <w:tl2br w:val="nil"/>
                    <w:tr2bl w:val="nil"/>
                  </w:tcBorders>
                  <w:shd w:val="clear" w:color="auto" w:fill="auto"/>
                  <w:vAlign w:val="center"/>
                </w:tcPr>
                <w:p w14:paraId="50B44477">
                  <w:pPr>
                    <w:pStyle w:val="45"/>
                    <w:rPr>
                      <w:rFonts w:hint="default"/>
                      <w:b/>
                      <w:bCs/>
                      <w:u w:val="single"/>
                    </w:rPr>
                  </w:pPr>
                </w:p>
              </w:tc>
              <w:tc>
                <w:tcPr>
                  <w:tcW w:w="1275" w:type="dxa"/>
                  <w:tcBorders>
                    <w:tl2br w:val="nil"/>
                    <w:tr2bl w:val="nil"/>
                  </w:tcBorders>
                  <w:shd w:val="clear" w:color="auto" w:fill="auto"/>
                  <w:vAlign w:val="center"/>
                </w:tcPr>
                <w:p w14:paraId="2EB368EA">
                  <w:pPr>
                    <w:pStyle w:val="45"/>
                    <w:rPr>
                      <w:rFonts w:hint="default"/>
                      <w:b/>
                      <w:bCs/>
                      <w:u w:val="single"/>
                    </w:rPr>
                  </w:pPr>
                  <w:r>
                    <w:rPr>
                      <w:b/>
                      <w:bCs/>
                      <w:u w:val="single"/>
                    </w:rPr>
                    <w:t>物料名称</w:t>
                  </w:r>
                </w:p>
              </w:tc>
              <w:tc>
                <w:tcPr>
                  <w:tcW w:w="1658" w:type="dxa"/>
                  <w:tcBorders>
                    <w:tl2br w:val="nil"/>
                    <w:tr2bl w:val="nil"/>
                  </w:tcBorders>
                  <w:shd w:val="clear" w:color="auto" w:fill="auto"/>
                  <w:vAlign w:val="center"/>
                </w:tcPr>
                <w:p w14:paraId="33CCB120">
                  <w:pPr>
                    <w:pStyle w:val="45"/>
                    <w:rPr>
                      <w:rFonts w:hint="default"/>
                      <w:b/>
                      <w:bCs/>
                      <w:u w:val="single"/>
                    </w:rPr>
                  </w:pPr>
                  <w:r>
                    <w:rPr>
                      <w:b/>
                      <w:bCs/>
                      <w:u w:val="single"/>
                    </w:rPr>
                    <w:t>消耗量万</w:t>
                  </w:r>
                  <w:r>
                    <w:rPr>
                      <w:rFonts w:hint="default"/>
                      <w:b/>
                      <w:bCs/>
                      <w:u w:val="single"/>
                    </w:rPr>
                    <w:t>t/a</w:t>
                  </w:r>
                </w:p>
              </w:tc>
              <w:tc>
                <w:tcPr>
                  <w:tcW w:w="1275" w:type="dxa"/>
                  <w:tcBorders>
                    <w:tl2br w:val="nil"/>
                    <w:tr2bl w:val="nil"/>
                  </w:tcBorders>
                  <w:shd w:val="clear" w:color="auto" w:fill="auto"/>
                  <w:vAlign w:val="center"/>
                </w:tcPr>
                <w:p w14:paraId="4EB3E37A">
                  <w:pPr>
                    <w:pStyle w:val="45"/>
                    <w:rPr>
                      <w:rFonts w:hint="default"/>
                      <w:b/>
                      <w:bCs/>
                      <w:u w:val="single"/>
                    </w:rPr>
                  </w:pPr>
                  <w:r>
                    <w:rPr>
                      <w:b/>
                      <w:bCs/>
                      <w:u w:val="single"/>
                    </w:rPr>
                    <w:t>产物名称</w:t>
                  </w:r>
                </w:p>
              </w:tc>
              <w:tc>
                <w:tcPr>
                  <w:tcW w:w="1275" w:type="dxa"/>
                  <w:tcBorders>
                    <w:tl2br w:val="nil"/>
                    <w:tr2bl w:val="nil"/>
                  </w:tcBorders>
                  <w:shd w:val="clear" w:color="auto" w:fill="auto"/>
                  <w:vAlign w:val="center"/>
                </w:tcPr>
                <w:p w14:paraId="662AAAC4">
                  <w:pPr>
                    <w:pStyle w:val="45"/>
                    <w:rPr>
                      <w:rFonts w:hint="default"/>
                      <w:b/>
                      <w:bCs/>
                      <w:u w:val="single"/>
                    </w:rPr>
                  </w:pPr>
                  <w:r>
                    <w:rPr>
                      <w:b/>
                      <w:bCs/>
                      <w:u w:val="single"/>
                    </w:rPr>
                    <w:t>产量万</w:t>
                  </w:r>
                  <w:r>
                    <w:rPr>
                      <w:rFonts w:hint="default"/>
                      <w:b/>
                      <w:bCs/>
                      <w:u w:val="single"/>
                    </w:rPr>
                    <w:t>t/a</w:t>
                  </w:r>
                </w:p>
              </w:tc>
              <w:tc>
                <w:tcPr>
                  <w:tcW w:w="1275" w:type="dxa"/>
                  <w:tcBorders>
                    <w:tl2br w:val="nil"/>
                    <w:tr2bl w:val="nil"/>
                  </w:tcBorders>
                  <w:shd w:val="clear" w:color="auto" w:fill="auto"/>
                  <w:vAlign w:val="center"/>
                </w:tcPr>
                <w:p w14:paraId="0DE60D2E">
                  <w:pPr>
                    <w:pStyle w:val="45"/>
                    <w:rPr>
                      <w:rFonts w:hint="default"/>
                      <w:b/>
                      <w:bCs/>
                      <w:u w:val="single"/>
                    </w:rPr>
                  </w:pPr>
                  <w:r>
                    <w:rPr>
                      <w:b/>
                      <w:bCs/>
                      <w:u w:val="single"/>
                    </w:rPr>
                    <w:t>去向</w:t>
                  </w:r>
                </w:p>
              </w:tc>
            </w:tr>
            <w:tr w14:paraId="5B26095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45" w:type="dxa"/>
                  <w:tcBorders>
                    <w:tl2br w:val="nil"/>
                    <w:tr2bl w:val="nil"/>
                  </w:tcBorders>
                  <w:shd w:val="clear" w:color="auto" w:fill="auto"/>
                  <w:noWrap/>
                  <w:vAlign w:val="center"/>
                </w:tcPr>
                <w:p w14:paraId="4C82E10D">
                  <w:pPr>
                    <w:pStyle w:val="45"/>
                    <w:rPr>
                      <w:rFonts w:hint="default"/>
                      <w:b/>
                      <w:bCs/>
                      <w:u w:val="single"/>
                    </w:rPr>
                  </w:pPr>
                  <w:r>
                    <w:rPr>
                      <w:rFonts w:hint="default"/>
                      <w:b/>
                      <w:bCs/>
                      <w:u w:val="single"/>
                    </w:rPr>
                    <w:t>1</w:t>
                  </w:r>
                </w:p>
              </w:tc>
              <w:tc>
                <w:tcPr>
                  <w:tcW w:w="1238" w:type="dxa"/>
                  <w:tcBorders>
                    <w:tl2br w:val="nil"/>
                    <w:tr2bl w:val="nil"/>
                  </w:tcBorders>
                  <w:shd w:val="clear" w:color="auto" w:fill="auto"/>
                  <w:noWrap/>
                  <w:vAlign w:val="center"/>
                </w:tcPr>
                <w:p w14:paraId="54008BE2">
                  <w:pPr>
                    <w:pStyle w:val="45"/>
                    <w:rPr>
                      <w:rFonts w:hint="default"/>
                      <w:b/>
                      <w:bCs/>
                      <w:u w:val="single"/>
                    </w:rPr>
                  </w:pPr>
                  <w:r>
                    <w:rPr>
                      <w:rFonts w:hint="default"/>
                      <w:b/>
                      <w:bCs/>
                      <w:u w:val="single"/>
                    </w:rPr>
                    <w:t>CO</w:t>
                  </w:r>
                  <w:r>
                    <w:rPr>
                      <w:rFonts w:hint="default"/>
                      <w:b/>
                      <w:bCs/>
                      <w:u w:val="single"/>
                      <w:vertAlign w:val="subscript"/>
                    </w:rPr>
                    <w:t>2</w:t>
                  </w:r>
                  <w:r>
                    <w:rPr>
                      <w:b/>
                      <w:bCs/>
                      <w:u w:val="single"/>
                    </w:rPr>
                    <w:t>原料气</w:t>
                  </w:r>
                </w:p>
              </w:tc>
              <w:tc>
                <w:tcPr>
                  <w:tcW w:w="1483" w:type="dxa"/>
                  <w:tcBorders>
                    <w:tl2br w:val="nil"/>
                    <w:tr2bl w:val="nil"/>
                  </w:tcBorders>
                  <w:shd w:val="clear" w:color="auto" w:fill="auto"/>
                  <w:noWrap/>
                  <w:vAlign w:val="center"/>
                </w:tcPr>
                <w:p w14:paraId="340346FA">
                  <w:pPr>
                    <w:pStyle w:val="45"/>
                    <w:rPr>
                      <w:rFonts w:hint="default"/>
                      <w:b/>
                      <w:bCs/>
                      <w:u w:val="single"/>
                    </w:rPr>
                  </w:pPr>
                  <w:r>
                    <w:rPr>
                      <w:b/>
                      <w:bCs/>
                      <w:highlight w:val="none"/>
                      <w:u w:val="single"/>
                    </w:rPr>
                    <w:t>31.5095</w:t>
                  </w:r>
                </w:p>
              </w:tc>
              <w:tc>
                <w:tcPr>
                  <w:tcW w:w="1275" w:type="dxa"/>
                  <w:tcBorders>
                    <w:tl2br w:val="nil"/>
                    <w:tr2bl w:val="nil"/>
                  </w:tcBorders>
                  <w:shd w:val="clear" w:color="auto" w:fill="auto"/>
                  <w:vAlign w:val="center"/>
                </w:tcPr>
                <w:p w14:paraId="7CC6B18B">
                  <w:pPr>
                    <w:pStyle w:val="45"/>
                    <w:rPr>
                      <w:rFonts w:hint="default"/>
                      <w:b/>
                      <w:bCs/>
                      <w:u w:val="single"/>
                    </w:rPr>
                  </w:pPr>
                  <w:r>
                    <w:rPr>
                      <w:b/>
                      <w:bCs/>
                      <w:u w:val="single"/>
                    </w:rPr>
                    <w:t>工业级</w:t>
                  </w:r>
                  <w:r>
                    <w:rPr>
                      <w:rFonts w:hint="default"/>
                      <w:b/>
                      <w:bCs/>
                      <w:u w:val="single"/>
                    </w:rPr>
                    <w:t>CO</w:t>
                  </w:r>
                  <w:r>
                    <w:rPr>
                      <w:b/>
                      <w:bCs/>
                      <w:u w:val="single"/>
                      <w:vertAlign w:val="subscript"/>
                    </w:rPr>
                    <w:t>2</w:t>
                  </w:r>
                </w:p>
              </w:tc>
              <w:tc>
                <w:tcPr>
                  <w:tcW w:w="1275" w:type="dxa"/>
                  <w:tcBorders>
                    <w:tl2br w:val="nil"/>
                    <w:tr2bl w:val="nil"/>
                  </w:tcBorders>
                  <w:shd w:val="clear" w:color="auto" w:fill="auto"/>
                  <w:vAlign w:val="center"/>
                </w:tcPr>
                <w:p w14:paraId="6D9621B2">
                  <w:pPr>
                    <w:pStyle w:val="45"/>
                    <w:rPr>
                      <w:rFonts w:hint="default"/>
                      <w:b/>
                      <w:bCs/>
                      <w:u w:val="single"/>
                    </w:rPr>
                  </w:pPr>
                  <w:r>
                    <w:rPr>
                      <w:rFonts w:hint="default"/>
                      <w:b/>
                      <w:bCs/>
                      <w:u w:val="single"/>
                    </w:rPr>
                    <w:t>10</w:t>
                  </w:r>
                </w:p>
              </w:tc>
              <w:tc>
                <w:tcPr>
                  <w:tcW w:w="1133" w:type="dxa"/>
                  <w:tcBorders>
                    <w:tl2br w:val="nil"/>
                    <w:tr2bl w:val="nil"/>
                  </w:tcBorders>
                  <w:shd w:val="clear" w:color="auto" w:fill="auto"/>
                  <w:noWrap/>
                  <w:vAlign w:val="center"/>
                </w:tcPr>
                <w:p w14:paraId="3397A1C6">
                  <w:pPr>
                    <w:pStyle w:val="45"/>
                    <w:rPr>
                      <w:rFonts w:hint="default"/>
                      <w:b/>
                      <w:bCs/>
                      <w:u w:val="single"/>
                    </w:rPr>
                  </w:pPr>
                  <w:r>
                    <w:rPr>
                      <w:b/>
                      <w:bCs/>
                      <w:u w:val="single"/>
                    </w:rPr>
                    <w:t>产品</w:t>
                  </w:r>
                </w:p>
              </w:tc>
            </w:tr>
            <w:tr w14:paraId="3A130DD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45" w:type="dxa"/>
                  <w:tcBorders>
                    <w:tl2br w:val="nil"/>
                    <w:tr2bl w:val="nil"/>
                  </w:tcBorders>
                  <w:shd w:val="clear" w:color="auto" w:fill="auto"/>
                  <w:noWrap/>
                  <w:vAlign w:val="center"/>
                </w:tcPr>
                <w:p w14:paraId="5D4205DB">
                  <w:pPr>
                    <w:pStyle w:val="45"/>
                    <w:rPr>
                      <w:rFonts w:hint="default"/>
                      <w:b/>
                      <w:bCs/>
                      <w:u w:val="single"/>
                    </w:rPr>
                  </w:pPr>
                  <w:r>
                    <w:rPr>
                      <w:rFonts w:hint="default"/>
                      <w:b/>
                      <w:bCs/>
                      <w:u w:val="single"/>
                    </w:rPr>
                    <w:t>2</w:t>
                  </w:r>
                </w:p>
              </w:tc>
              <w:tc>
                <w:tcPr>
                  <w:tcW w:w="1238" w:type="dxa"/>
                  <w:tcBorders>
                    <w:tl2br w:val="nil"/>
                    <w:tr2bl w:val="nil"/>
                  </w:tcBorders>
                  <w:shd w:val="clear" w:color="auto" w:fill="auto"/>
                  <w:noWrap/>
                  <w:vAlign w:val="center"/>
                </w:tcPr>
                <w:p w14:paraId="48E790EE">
                  <w:pPr>
                    <w:pStyle w:val="45"/>
                    <w:rPr>
                      <w:rFonts w:hint="default"/>
                      <w:b/>
                      <w:bCs/>
                      <w:u w:val="single"/>
                    </w:rPr>
                  </w:pPr>
                  <w:r>
                    <w:rPr>
                      <w:rFonts w:hint="default"/>
                      <w:b/>
                      <w:bCs/>
                      <w:u w:val="single"/>
                    </w:rPr>
                    <w:t>/</w:t>
                  </w:r>
                </w:p>
              </w:tc>
              <w:tc>
                <w:tcPr>
                  <w:tcW w:w="1483" w:type="dxa"/>
                  <w:tcBorders>
                    <w:tl2br w:val="nil"/>
                    <w:tr2bl w:val="nil"/>
                  </w:tcBorders>
                  <w:shd w:val="clear" w:color="auto" w:fill="auto"/>
                  <w:noWrap/>
                  <w:vAlign w:val="center"/>
                </w:tcPr>
                <w:p w14:paraId="76AFC34A">
                  <w:pPr>
                    <w:pStyle w:val="45"/>
                    <w:rPr>
                      <w:rFonts w:hint="default"/>
                      <w:b/>
                      <w:bCs/>
                      <w:u w:val="single"/>
                    </w:rPr>
                  </w:pPr>
                  <w:r>
                    <w:rPr>
                      <w:rFonts w:hint="default"/>
                      <w:b/>
                      <w:bCs/>
                      <w:u w:val="single"/>
                    </w:rPr>
                    <w:t>/</w:t>
                  </w:r>
                </w:p>
              </w:tc>
              <w:tc>
                <w:tcPr>
                  <w:tcW w:w="1275" w:type="dxa"/>
                  <w:tcBorders>
                    <w:tl2br w:val="nil"/>
                    <w:tr2bl w:val="nil"/>
                  </w:tcBorders>
                  <w:shd w:val="clear" w:color="auto" w:fill="auto"/>
                  <w:vAlign w:val="center"/>
                </w:tcPr>
                <w:p w14:paraId="4FE3DD00">
                  <w:pPr>
                    <w:pStyle w:val="45"/>
                    <w:rPr>
                      <w:rFonts w:hint="default"/>
                      <w:b/>
                      <w:bCs/>
                      <w:u w:val="single"/>
                    </w:rPr>
                  </w:pPr>
                  <w:r>
                    <w:rPr>
                      <w:b/>
                      <w:bCs/>
                      <w:u w:val="single"/>
                    </w:rPr>
                    <w:t>食品级</w:t>
                  </w:r>
                  <w:r>
                    <w:rPr>
                      <w:rFonts w:hint="default"/>
                      <w:b/>
                      <w:bCs/>
                      <w:u w:val="single"/>
                    </w:rPr>
                    <w:t>CO</w:t>
                  </w:r>
                  <w:r>
                    <w:rPr>
                      <w:b/>
                      <w:bCs/>
                      <w:u w:val="single"/>
                      <w:vertAlign w:val="subscript"/>
                    </w:rPr>
                    <w:t>2</w:t>
                  </w:r>
                </w:p>
              </w:tc>
              <w:tc>
                <w:tcPr>
                  <w:tcW w:w="1275" w:type="dxa"/>
                  <w:tcBorders>
                    <w:tl2br w:val="nil"/>
                    <w:tr2bl w:val="nil"/>
                  </w:tcBorders>
                  <w:shd w:val="clear" w:color="auto" w:fill="auto"/>
                  <w:vAlign w:val="center"/>
                </w:tcPr>
                <w:p w14:paraId="73A23139">
                  <w:pPr>
                    <w:pStyle w:val="45"/>
                    <w:rPr>
                      <w:rFonts w:hint="default"/>
                      <w:b/>
                      <w:bCs/>
                      <w:u w:val="single"/>
                    </w:rPr>
                  </w:pPr>
                  <w:r>
                    <w:rPr>
                      <w:b/>
                      <w:bCs/>
                      <w:u w:val="single"/>
                    </w:rPr>
                    <w:t>10</w:t>
                  </w:r>
                </w:p>
              </w:tc>
              <w:tc>
                <w:tcPr>
                  <w:tcW w:w="1133" w:type="dxa"/>
                  <w:tcBorders>
                    <w:tl2br w:val="nil"/>
                    <w:tr2bl w:val="nil"/>
                  </w:tcBorders>
                  <w:shd w:val="clear" w:color="auto" w:fill="auto"/>
                  <w:noWrap/>
                  <w:vAlign w:val="center"/>
                </w:tcPr>
                <w:p w14:paraId="30474AF3">
                  <w:pPr>
                    <w:pStyle w:val="45"/>
                    <w:rPr>
                      <w:rFonts w:hint="default"/>
                      <w:b/>
                      <w:bCs/>
                      <w:u w:val="single"/>
                    </w:rPr>
                  </w:pPr>
                  <w:r>
                    <w:rPr>
                      <w:b/>
                      <w:bCs/>
                      <w:u w:val="single"/>
                    </w:rPr>
                    <w:t>产品</w:t>
                  </w:r>
                </w:p>
              </w:tc>
            </w:tr>
            <w:tr w14:paraId="6374748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45" w:type="dxa"/>
                  <w:tcBorders>
                    <w:tl2br w:val="nil"/>
                    <w:tr2bl w:val="nil"/>
                  </w:tcBorders>
                  <w:shd w:val="clear" w:color="auto" w:fill="auto"/>
                  <w:noWrap/>
                  <w:vAlign w:val="center"/>
                </w:tcPr>
                <w:p w14:paraId="0806C87A">
                  <w:pPr>
                    <w:pStyle w:val="45"/>
                    <w:rPr>
                      <w:rFonts w:hint="default"/>
                      <w:b/>
                      <w:bCs/>
                      <w:u w:val="single"/>
                    </w:rPr>
                  </w:pPr>
                  <w:r>
                    <w:rPr>
                      <w:rFonts w:hint="default"/>
                      <w:b/>
                      <w:bCs/>
                      <w:u w:val="single"/>
                    </w:rPr>
                    <w:t>3</w:t>
                  </w:r>
                </w:p>
              </w:tc>
              <w:tc>
                <w:tcPr>
                  <w:tcW w:w="1238" w:type="dxa"/>
                  <w:tcBorders>
                    <w:tl2br w:val="nil"/>
                    <w:tr2bl w:val="nil"/>
                  </w:tcBorders>
                  <w:shd w:val="clear" w:color="auto" w:fill="auto"/>
                  <w:noWrap/>
                  <w:vAlign w:val="center"/>
                </w:tcPr>
                <w:p w14:paraId="07459BDC">
                  <w:pPr>
                    <w:pStyle w:val="45"/>
                    <w:rPr>
                      <w:rFonts w:hint="default"/>
                      <w:b/>
                      <w:bCs/>
                      <w:u w:val="single"/>
                    </w:rPr>
                  </w:pPr>
                  <w:r>
                    <w:rPr>
                      <w:rFonts w:hint="default"/>
                      <w:b/>
                      <w:bCs/>
                      <w:u w:val="single"/>
                    </w:rPr>
                    <w:t>/</w:t>
                  </w:r>
                </w:p>
              </w:tc>
              <w:tc>
                <w:tcPr>
                  <w:tcW w:w="1483" w:type="dxa"/>
                  <w:tcBorders>
                    <w:tl2br w:val="nil"/>
                    <w:tr2bl w:val="nil"/>
                  </w:tcBorders>
                  <w:shd w:val="clear" w:color="auto" w:fill="auto"/>
                  <w:noWrap/>
                  <w:vAlign w:val="center"/>
                </w:tcPr>
                <w:p w14:paraId="1478E87E">
                  <w:pPr>
                    <w:pStyle w:val="45"/>
                    <w:rPr>
                      <w:rFonts w:hint="default"/>
                      <w:b/>
                      <w:bCs/>
                      <w:u w:val="single"/>
                    </w:rPr>
                  </w:pPr>
                  <w:r>
                    <w:rPr>
                      <w:rFonts w:hint="default"/>
                      <w:b/>
                      <w:bCs/>
                      <w:u w:val="single"/>
                    </w:rPr>
                    <w:t>/</w:t>
                  </w:r>
                </w:p>
              </w:tc>
              <w:tc>
                <w:tcPr>
                  <w:tcW w:w="1275" w:type="dxa"/>
                  <w:tcBorders>
                    <w:tl2br w:val="nil"/>
                    <w:tr2bl w:val="nil"/>
                  </w:tcBorders>
                  <w:shd w:val="clear" w:color="auto" w:fill="auto"/>
                  <w:vAlign w:val="center"/>
                </w:tcPr>
                <w:p w14:paraId="7D7BEBA2">
                  <w:pPr>
                    <w:pStyle w:val="45"/>
                    <w:rPr>
                      <w:rFonts w:hint="default"/>
                      <w:b/>
                      <w:bCs/>
                      <w:u w:val="single"/>
                    </w:rPr>
                  </w:pPr>
                  <w:r>
                    <w:rPr>
                      <w:b/>
                      <w:bCs/>
                      <w:u w:val="single"/>
                    </w:rPr>
                    <w:t>干冰</w:t>
                  </w:r>
                </w:p>
              </w:tc>
              <w:tc>
                <w:tcPr>
                  <w:tcW w:w="1275" w:type="dxa"/>
                  <w:tcBorders>
                    <w:tl2br w:val="nil"/>
                    <w:tr2bl w:val="nil"/>
                  </w:tcBorders>
                  <w:shd w:val="clear" w:color="auto" w:fill="auto"/>
                  <w:vAlign w:val="center"/>
                </w:tcPr>
                <w:p w14:paraId="160B9918">
                  <w:pPr>
                    <w:pStyle w:val="45"/>
                    <w:rPr>
                      <w:rFonts w:hint="default"/>
                      <w:b/>
                      <w:bCs/>
                      <w:u w:val="single"/>
                    </w:rPr>
                  </w:pPr>
                  <w:r>
                    <w:rPr>
                      <w:rFonts w:hint="default"/>
                      <w:b/>
                      <w:bCs/>
                      <w:u w:val="single"/>
                    </w:rPr>
                    <w:t>6.4</w:t>
                  </w:r>
                </w:p>
              </w:tc>
              <w:tc>
                <w:tcPr>
                  <w:tcW w:w="1133" w:type="dxa"/>
                  <w:tcBorders>
                    <w:tl2br w:val="nil"/>
                    <w:tr2bl w:val="nil"/>
                  </w:tcBorders>
                  <w:shd w:val="clear" w:color="auto" w:fill="auto"/>
                  <w:noWrap/>
                  <w:vAlign w:val="center"/>
                </w:tcPr>
                <w:p w14:paraId="55FCEF48">
                  <w:pPr>
                    <w:pStyle w:val="45"/>
                    <w:rPr>
                      <w:rFonts w:hint="default"/>
                      <w:b/>
                      <w:bCs/>
                      <w:u w:val="single"/>
                    </w:rPr>
                  </w:pPr>
                  <w:r>
                    <w:rPr>
                      <w:b/>
                      <w:bCs/>
                      <w:u w:val="single"/>
                    </w:rPr>
                    <w:t>产品</w:t>
                  </w:r>
                </w:p>
              </w:tc>
            </w:tr>
            <w:tr w14:paraId="1FFDA71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45" w:type="dxa"/>
                  <w:tcBorders>
                    <w:tl2br w:val="nil"/>
                    <w:tr2bl w:val="nil"/>
                  </w:tcBorders>
                  <w:shd w:val="clear" w:color="auto" w:fill="auto"/>
                  <w:noWrap/>
                  <w:vAlign w:val="center"/>
                </w:tcPr>
                <w:p w14:paraId="05A70A95">
                  <w:pPr>
                    <w:pStyle w:val="45"/>
                    <w:rPr>
                      <w:rFonts w:hint="default"/>
                      <w:b/>
                      <w:bCs/>
                      <w:u w:val="single"/>
                    </w:rPr>
                  </w:pPr>
                  <w:r>
                    <w:rPr>
                      <w:rFonts w:hint="default"/>
                      <w:b/>
                      <w:bCs/>
                      <w:u w:val="single"/>
                    </w:rPr>
                    <w:t>4</w:t>
                  </w:r>
                </w:p>
              </w:tc>
              <w:tc>
                <w:tcPr>
                  <w:tcW w:w="1238" w:type="dxa"/>
                  <w:tcBorders>
                    <w:tl2br w:val="nil"/>
                    <w:tr2bl w:val="nil"/>
                  </w:tcBorders>
                  <w:shd w:val="clear" w:color="auto" w:fill="auto"/>
                  <w:noWrap/>
                  <w:vAlign w:val="center"/>
                </w:tcPr>
                <w:p w14:paraId="744D97B2">
                  <w:pPr>
                    <w:pStyle w:val="45"/>
                    <w:rPr>
                      <w:rFonts w:hint="default"/>
                      <w:b/>
                      <w:bCs/>
                      <w:u w:val="single"/>
                    </w:rPr>
                  </w:pPr>
                  <w:r>
                    <w:rPr>
                      <w:rFonts w:hint="default"/>
                      <w:b/>
                      <w:bCs/>
                      <w:u w:val="single"/>
                    </w:rPr>
                    <w:t>/</w:t>
                  </w:r>
                </w:p>
              </w:tc>
              <w:tc>
                <w:tcPr>
                  <w:tcW w:w="1483" w:type="dxa"/>
                  <w:tcBorders>
                    <w:tl2br w:val="nil"/>
                    <w:tr2bl w:val="nil"/>
                  </w:tcBorders>
                  <w:shd w:val="clear" w:color="auto" w:fill="auto"/>
                  <w:noWrap/>
                  <w:vAlign w:val="center"/>
                </w:tcPr>
                <w:p w14:paraId="5FC16FE3">
                  <w:pPr>
                    <w:pStyle w:val="45"/>
                    <w:rPr>
                      <w:rFonts w:hint="default"/>
                      <w:b/>
                      <w:bCs/>
                      <w:u w:val="single"/>
                    </w:rPr>
                  </w:pPr>
                  <w:r>
                    <w:rPr>
                      <w:rFonts w:hint="default"/>
                      <w:b/>
                      <w:bCs/>
                      <w:u w:val="single"/>
                    </w:rPr>
                    <w:t>/</w:t>
                  </w:r>
                </w:p>
              </w:tc>
              <w:tc>
                <w:tcPr>
                  <w:tcW w:w="1476" w:type="dxa"/>
                  <w:tcBorders>
                    <w:tl2br w:val="nil"/>
                    <w:tr2bl w:val="nil"/>
                  </w:tcBorders>
                  <w:shd w:val="clear" w:color="auto" w:fill="auto"/>
                  <w:noWrap/>
                  <w:vAlign w:val="center"/>
                </w:tcPr>
                <w:p w14:paraId="1AEE4AC8">
                  <w:pPr>
                    <w:pStyle w:val="45"/>
                    <w:rPr>
                      <w:rFonts w:hint="default"/>
                      <w:b/>
                      <w:bCs/>
                      <w:u w:val="single"/>
                    </w:rPr>
                  </w:pPr>
                  <w:r>
                    <w:rPr>
                      <w:b/>
                      <w:bCs/>
                      <w:u w:val="single"/>
                    </w:rPr>
                    <w:t>废气</w:t>
                  </w:r>
                </w:p>
              </w:tc>
              <w:tc>
                <w:tcPr>
                  <w:tcW w:w="1215" w:type="dxa"/>
                  <w:tcBorders>
                    <w:tl2br w:val="nil"/>
                    <w:tr2bl w:val="nil"/>
                  </w:tcBorders>
                  <w:shd w:val="clear" w:color="auto" w:fill="auto"/>
                  <w:noWrap/>
                  <w:vAlign w:val="center"/>
                </w:tcPr>
                <w:p w14:paraId="42B7A30A">
                  <w:pPr>
                    <w:pStyle w:val="45"/>
                    <w:rPr>
                      <w:rFonts w:hint="default"/>
                      <w:b/>
                      <w:bCs/>
                      <w:u w:val="single"/>
                    </w:rPr>
                  </w:pPr>
                  <w:r>
                    <w:rPr>
                      <w:b/>
                      <w:bCs/>
                      <w:u w:val="single"/>
                    </w:rPr>
                    <w:t>5.1093</w:t>
                  </w:r>
                </w:p>
              </w:tc>
              <w:tc>
                <w:tcPr>
                  <w:tcW w:w="1133" w:type="dxa"/>
                  <w:tcBorders>
                    <w:tl2br w:val="nil"/>
                    <w:tr2bl w:val="nil"/>
                  </w:tcBorders>
                  <w:shd w:val="clear" w:color="auto" w:fill="auto"/>
                  <w:noWrap/>
                  <w:vAlign w:val="center"/>
                </w:tcPr>
                <w:p w14:paraId="19F67BF2">
                  <w:pPr>
                    <w:pStyle w:val="45"/>
                    <w:rPr>
                      <w:rFonts w:hint="default"/>
                      <w:b/>
                      <w:bCs/>
                      <w:u w:val="single"/>
                    </w:rPr>
                  </w:pPr>
                  <w:r>
                    <w:rPr>
                      <w:b/>
                      <w:bCs/>
                      <w:u w:val="single"/>
                    </w:rPr>
                    <w:t>废气</w:t>
                  </w:r>
                </w:p>
              </w:tc>
            </w:tr>
            <w:tr w14:paraId="19A4C3E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45" w:type="dxa"/>
                  <w:tcBorders>
                    <w:tl2br w:val="nil"/>
                    <w:tr2bl w:val="nil"/>
                  </w:tcBorders>
                  <w:shd w:val="clear" w:color="auto" w:fill="auto"/>
                  <w:noWrap/>
                  <w:vAlign w:val="center"/>
                </w:tcPr>
                <w:p w14:paraId="60FEFAD6">
                  <w:pPr>
                    <w:pStyle w:val="45"/>
                    <w:rPr>
                      <w:rFonts w:hint="default"/>
                      <w:b/>
                      <w:bCs/>
                      <w:u w:val="single"/>
                    </w:rPr>
                  </w:pPr>
                  <w:r>
                    <w:rPr>
                      <w:rFonts w:hint="default"/>
                      <w:b/>
                      <w:bCs/>
                      <w:u w:val="single"/>
                    </w:rPr>
                    <w:t>5</w:t>
                  </w:r>
                </w:p>
              </w:tc>
              <w:tc>
                <w:tcPr>
                  <w:tcW w:w="1238" w:type="dxa"/>
                  <w:tcBorders>
                    <w:tl2br w:val="nil"/>
                    <w:tr2bl w:val="nil"/>
                  </w:tcBorders>
                  <w:shd w:val="clear" w:color="auto" w:fill="auto"/>
                  <w:noWrap/>
                  <w:vAlign w:val="center"/>
                </w:tcPr>
                <w:p w14:paraId="30E9BE68">
                  <w:pPr>
                    <w:pStyle w:val="45"/>
                    <w:rPr>
                      <w:rFonts w:hint="default"/>
                      <w:b/>
                      <w:bCs/>
                      <w:u w:val="single"/>
                    </w:rPr>
                  </w:pPr>
                  <w:r>
                    <w:rPr>
                      <w:rFonts w:hint="default"/>
                      <w:b/>
                      <w:bCs/>
                      <w:u w:val="single"/>
                    </w:rPr>
                    <w:t>/</w:t>
                  </w:r>
                </w:p>
              </w:tc>
              <w:tc>
                <w:tcPr>
                  <w:tcW w:w="1483" w:type="dxa"/>
                  <w:tcBorders>
                    <w:tl2br w:val="nil"/>
                    <w:tr2bl w:val="nil"/>
                  </w:tcBorders>
                  <w:shd w:val="clear" w:color="auto" w:fill="auto"/>
                  <w:noWrap/>
                  <w:vAlign w:val="center"/>
                </w:tcPr>
                <w:p w14:paraId="123A6D62">
                  <w:pPr>
                    <w:pStyle w:val="45"/>
                    <w:rPr>
                      <w:rFonts w:hint="default"/>
                      <w:b/>
                      <w:bCs/>
                      <w:u w:val="single"/>
                    </w:rPr>
                  </w:pPr>
                  <w:r>
                    <w:rPr>
                      <w:rFonts w:hint="default"/>
                      <w:b/>
                      <w:bCs/>
                      <w:u w:val="single"/>
                    </w:rPr>
                    <w:t>/</w:t>
                  </w:r>
                </w:p>
              </w:tc>
              <w:tc>
                <w:tcPr>
                  <w:tcW w:w="1476" w:type="dxa"/>
                  <w:tcBorders>
                    <w:tl2br w:val="nil"/>
                    <w:tr2bl w:val="nil"/>
                  </w:tcBorders>
                  <w:shd w:val="clear" w:color="auto" w:fill="auto"/>
                  <w:noWrap/>
                  <w:vAlign w:val="center"/>
                </w:tcPr>
                <w:p w14:paraId="6682F4A8">
                  <w:pPr>
                    <w:pStyle w:val="45"/>
                    <w:rPr>
                      <w:rFonts w:hint="default"/>
                      <w:b/>
                      <w:bCs/>
                      <w:u w:val="single"/>
                    </w:rPr>
                  </w:pPr>
                  <w:r>
                    <w:rPr>
                      <w:b/>
                      <w:bCs/>
                      <w:u w:val="single"/>
                    </w:rPr>
                    <w:t>脱硫剂吸附的量</w:t>
                  </w:r>
                </w:p>
              </w:tc>
              <w:tc>
                <w:tcPr>
                  <w:tcW w:w="1215" w:type="dxa"/>
                  <w:tcBorders>
                    <w:tl2br w:val="nil"/>
                    <w:tr2bl w:val="nil"/>
                  </w:tcBorders>
                  <w:shd w:val="clear" w:color="auto" w:fill="auto"/>
                  <w:noWrap/>
                  <w:vAlign w:val="center"/>
                </w:tcPr>
                <w:p w14:paraId="48F0C9BE">
                  <w:pPr>
                    <w:pStyle w:val="45"/>
                    <w:rPr>
                      <w:rFonts w:hint="default"/>
                      <w:b/>
                      <w:bCs/>
                      <w:u w:val="single"/>
                    </w:rPr>
                  </w:pPr>
                  <w:r>
                    <w:rPr>
                      <w:b/>
                      <w:bCs/>
                      <w:u w:val="single"/>
                    </w:rPr>
                    <w:t>0.0002</w:t>
                  </w:r>
                </w:p>
              </w:tc>
              <w:tc>
                <w:tcPr>
                  <w:tcW w:w="1133" w:type="dxa"/>
                  <w:tcBorders>
                    <w:tl2br w:val="nil"/>
                    <w:tr2bl w:val="nil"/>
                  </w:tcBorders>
                  <w:shd w:val="clear" w:color="auto" w:fill="auto"/>
                  <w:noWrap/>
                  <w:vAlign w:val="center"/>
                </w:tcPr>
                <w:p w14:paraId="58784966">
                  <w:pPr>
                    <w:pStyle w:val="45"/>
                    <w:rPr>
                      <w:rFonts w:hint="default"/>
                      <w:b/>
                      <w:bCs/>
                      <w:u w:val="single"/>
                    </w:rPr>
                  </w:pPr>
                  <w:r>
                    <w:rPr>
                      <w:b/>
                      <w:bCs/>
                      <w:u w:val="single"/>
                    </w:rPr>
                    <w:t>固废</w:t>
                  </w:r>
                </w:p>
              </w:tc>
            </w:tr>
            <w:tr w14:paraId="0CA83F6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345" w:type="dxa"/>
                  <w:tcBorders>
                    <w:tl2br w:val="nil"/>
                    <w:tr2bl w:val="nil"/>
                  </w:tcBorders>
                  <w:shd w:val="clear" w:color="auto" w:fill="auto"/>
                  <w:noWrap/>
                  <w:vAlign w:val="center"/>
                </w:tcPr>
                <w:p w14:paraId="60FCDD7E">
                  <w:pPr>
                    <w:pStyle w:val="45"/>
                    <w:rPr>
                      <w:rFonts w:hint="default"/>
                      <w:b/>
                      <w:bCs/>
                      <w:u w:val="single"/>
                    </w:rPr>
                  </w:pPr>
                  <w:r>
                    <w:rPr>
                      <w:b/>
                      <w:bCs/>
                      <w:u w:val="single"/>
                    </w:rPr>
                    <w:t>6</w:t>
                  </w:r>
                </w:p>
              </w:tc>
              <w:tc>
                <w:tcPr>
                  <w:tcW w:w="1238" w:type="dxa"/>
                  <w:tcBorders>
                    <w:tl2br w:val="nil"/>
                    <w:tr2bl w:val="nil"/>
                  </w:tcBorders>
                  <w:shd w:val="clear" w:color="auto" w:fill="auto"/>
                  <w:noWrap/>
                  <w:vAlign w:val="center"/>
                </w:tcPr>
                <w:p w14:paraId="5FCA23C8">
                  <w:pPr>
                    <w:pStyle w:val="45"/>
                    <w:rPr>
                      <w:rFonts w:hint="default"/>
                      <w:b/>
                      <w:bCs/>
                      <w:u w:val="single"/>
                    </w:rPr>
                  </w:pPr>
                  <w:r>
                    <w:rPr>
                      <w:b/>
                      <w:bCs/>
                      <w:u w:val="single"/>
                    </w:rPr>
                    <w:t>合计</w:t>
                  </w:r>
                </w:p>
              </w:tc>
              <w:tc>
                <w:tcPr>
                  <w:tcW w:w="1483" w:type="dxa"/>
                  <w:tcBorders>
                    <w:tl2br w:val="nil"/>
                    <w:tr2bl w:val="nil"/>
                  </w:tcBorders>
                  <w:shd w:val="clear" w:color="auto" w:fill="auto"/>
                  <w:noWrap/>
                  <w:vAlign w:val="center"/>
                </w:tcPr>
                <w:p w14:paraId="68CB96E8">
                  <w:pPr>
                    <w:pStyle w:val="45"/>
                    <w:rPr>
                      <w:rFonts w:hint="default"/>
                      <w:b/>
                      <w:bCs/>
                      <w:u w:val="single"/>
                    </w:rPr>
                  </w:pPr>
                  <w:r>
                    <w:rPr>
                      <w:b/>
                      <w:bCs/>
                      <w:u w:val="single"/>
                    </w:rPr>
                    <w:t>31.5095</w:t>
                  </w:r>
                </w:p>
              </w:tc>
              <w:tc>
                <w:tcPr>
                  <w:tcW w:w="1476" w:type="dxa"/>
                  <w:tcBorders>
                    <w:tl2br w:val="nil"/>
                    <w:tr2bl w:val="nil"/>
                  </w:tcBorders>
                  <w:shd w:val="clear" w:color="auto" w:fill="auto"/>
                  <w:noWrap/>
                  <w:vAlign w:val="center"/>
                </w:tcPr>
                <w:p w14:paraId="656927A8">
                  <w:pPr>
                    <w:pStyle w:val="45"/>
                    <w:rPr>
                      <w:rFonts w:hint="default"/>
                      <w:b/>
                      <w:bCs/>
                      <w:u w:val="single"/>
                    </w:rPr>
                  </w:pPr>
                  <w:r>
                    <w:rPr>
                      <w:b/>
                      <w:bCs/>
                      <w:u w:val="single"/>
                    </w:rPr>
                    <w:t>合计</w:t>
                  </w:r>
                </w:p>
              </w:tc>
              <w:tc>
                <w:tcPr>
                  <w:tcW w:w="1215" w:type="dxa"/>
                  <w:tcBorders>
                    <w:tl2br w:val="nil"/>
                    <w:tr2bl w:val="nil"/>
                  </w:tcBorders>
                  <w:shd w:val="clear" w:color="auto" w:fill="auto"/>
                  <w:noWrap/>
                  <w:vAlign w:val="center"/>
                </w:tcPr>
                <w:p w14:paraId="0E234F05">
                  <w:pPr>
                    <w:pStyle w:val="45"/>
                    <w:rPr>
                      <w:rFonts w:hint="default"/>
                      <w:b/>
                      <w:bCs/>
                      <w:u w:val="single"/>
                    </w:rPr>
                  </w:pPr>
                  <w:r>
                    <w:rPr>
                      <w:b/>
                      <w:bCs/>
                      <w:u w:val="single"/>
                    </w:rPr>
                    <w:t>31.5095</w:t>
                  </w:r>
                </w:p>
              </w:tc>
              <w:tc>
                <w:tcPr>
                  <w:tcW w:w="1133" w:type="dxa"/>
                  <w:tcBorders>
                    <w:tl2br w:val="nil"/>
                    <w:tr2bl w:val="nil"/>
                  </w:tcBorders>
                  <w:shd w:val="clear" w:color="auto" w:fill="auto"/>
                  <w:noWrap/>
                  <w:vAlign w:val="center"/>
                </w:tcPr>
                <w:p w14:paraId="7B9B375F">
                  <w:pPr>
                    <w:pStyle w:val="45"/>
                    <w:rPr>
                      <w:rFonts w:hint="default"/>
                      <w:b/>
                      <w:bCs/>
                      <w:u w:val="single"/>
                    </w:rPr>
                  </w:pPr>
                  <w:r>
                    <w:rPr>
                      <w:b/>
                      <w:bCs/>
                      <w:u w:val="single"/>
                    </w:rPr>
                    <w:t>/</w:t>
                  </w:r>
                </w:p>
              </w:tc>
            </w:tr>
          </w:tbl>
          <w:p w14:paraId="2D964BFC">
            <w:pPr>
              <w:pStyle w:val="44"/>
              <w:numPr>
                <w:ilvl w:val="0"/>
                <w:numId w:val="2"/>
              </w:numPr>
              <w:rPr>
                <w:rFonts w:hint="default"/>
                <w:b/>
                <w:bCs/>
                <w:u w:val="single"/>
              </w:rPr>
            </w:pPr>
            <w:r>
              <w:rPr>
                <w:rFonts w:hint="default"/>
                <w:b/>
                <w:bCs/>
                <w:u w:val="single"/>
              </w:rPr>
              <w:t>本项目</w:t>
            </w:r>
            <w:r>
              <w:rPr>
                <w:rFonts w:hint="eastAsia"/>
                <w:b/>
                <w:bCs/>
                <w:u w:val="single"/>
                <w:lang w:eastAsia="zh-CN"/>
              </w:rPr>
              <w:t>超纯氨</w:t>
            </w:r>
            <w:r>
              <w:rPr>
                <w:rFonts w:hint="default"/>
                <w:b/>
                <w:bCs/>
                <w:u w:val="single"/>
              </w:rPr>
              <w:t>生产过程物料平衡一览表</w:t>
            </w:r>
          </w:p>
          <w:tbl>
            <w:tblPr>
              <w:tblStyle w:val="27"/>
              <w:tblW w:w="7888"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47"/>
              <w:gridCol w:w="1200"/>
              <w:gridCol w:w="1262"/>
              <w:gridCol w:w="850"/>
              <w:gridCol w:w="934"/>
              <w:gridCol w:w="1354"/>
              <w:gridCol w:w="1041"/>
            </w:tblGrid>
            <w:tr w14:paraId="21CD676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7" w:type="dxa"/>
                  <w:vMerge w:val="restart"/>
                  <w:tcBorders>
                    <w:tl2br w:val="nil"/>
                    <w:tr2bl w:val="nil"/>
                  </w:tcBorders>
                  <w:shd w:val="clear" w:color="auto" w:fill="auto"/>
                  <w:vAlign w:val="center"/>
                </w:tcPr>
                <w:p w14:paraId="79EDC109">
                  <w:pPr>
                    <w:pStyle w:val="45"/>
                    <w:rPr>
                      <w:rFonts w:hint="default"/>
                      <w:b/>
                      <w:bCs/>
                      <w:u w:val="single"/>
                    </w:rPr>
                  </w:pPr>
                  <w:r>
                    <w:rPr>
                      <w:b/>
                      <w:bCs/>
                      <w:u w:val="single"/>
                    </w:rPr>
                    <w:t>序号</w:t>
                  </w:r>
                </w:p>
              </w:tc>
              <w:tc>
                <w:tcPr>
                  <w:tcW w:w="2462" w:type="dxa"/>
                  <w:gridSpan w:val="2"/>
                  <w:tcBorders>
                    <w:tl2br w:val="nil"/>
                    <w:tr2bl w:val="nil"/>
                  </w:tcBorders>
                  <w:shd w:val="clear" w:color="auto" w:fill="auto"/>
                  <w:vAlign w:val="center"/>
                </w:tcPr>
                <w:p w14:paraId="311362D8">
                  <w:pPr>
                    <w:pStyle w:val="45"/>
                    <w:rPr>
                      <w:rFonts w:hint="default"/>
                      <w:b/>
                      <w:bCs/>
                      <w:u w:val="single"/>
                    </w:rPr>
                  </w:pPr>
                  <w:r>
                    <w:rPr>
                      <w:b/>
                      <w:bCs/>
                      <w:u w:val="single"/>
                    </w:rPr>
                    <w:t>投入</w:t>
                  </w:r>
                </w:p>
              </w:tc>
              <w:tc>
                <w:tcPr>
                  <w:tcW w:w="4179" w:type="dxa"/>
                  <w:gridSpan w:val="4"/>
                  <w:tcBorders>
                    <w:tl2br w:val="nil"/>
                    <w:tr2bl w:val="nil"/>
                  </w:tcBorders>
                  <w:shd w:val="clear" w:color="auto" w:fill="auto"/>
                  <w:vAlign w:val="center"/>
                </w:tcPr>
                <w:p w14:paraId="4FC3B396">
                  <w:pPr>
                    <w:pStyle w:val="45"/>
                    <w:rPr>
                      <w:rFonts w:hint="default"/>
                      <w:b/>
                      <w:bCs/>
                      <w:u w:val="single"/>
                    </w:rPr>
                  </w:pPr>
                  <w:r>
                    <w:rPr>
                      <w:b/>
                      <w:bCs/>
                      <w:u w:val="single"/>
                    </w:rPr>
                    <w:t>产出</w:t>
                  </w:r>
                </w:p>
              </w:tc>
            </w:tr>
            <w:tr w14:paraId="7B53A6F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7" w:type="dxa"/>
                  <w:vMerge w:val="continue"/>
                  <w:tcBorders>
                    <w:tl2br w:val="nil"/>
                    <w:tr2bl w:val="nil"/>
                  </w:tcBorders>
                  <w:shd w:val="clear" w:color="auto" w:fill="auto"/>
                  <w:vAlign w:val="center"/>
                </w:tcPr>
                <w:p w14:paraId="600468BA">
                  <w:pPr>
                    <w:pStyle w:val="45"/>
                    <w:rPr>
                      <w:rFonts w:hint="default"/>
                      <w:b/>
                      <w:bCs/>
                      <w:u w:val="single"/>
                    </w:rPr>
                  </w:pPr>
                </w:p>
              </w:tc>
              <w:tc>
                <w:tcPr>
                  <w:tcW w:w="1200" w:type="dxa"/>
                  <w:tcBorders>
                    <w:tl2br w:val="nil"/>
                    <w:tr2bl w:val="nil"/>
                  </w:tcBorders>
                  <w:shd w:val="clear" w:color="auto" w:fill="auto"/>
                  <w:vAlign w:val="center"/>
                </w:tcPr>
                <w:p w14:paraId="24329C03">
                  <w:pPr>
                    <w:pStyle w:val="45"/>
                    <w:rPr>
                      <w:rFonts w:hint="default"/>
                      <w:b/>
                      <w:bCs/>
                      <w:u w:val="single"/>
                    </w:rPr>
                  </w:pPr>
                  <w:r>
                    <w:rPr>
                      <w:b/>
                      <w:bCs/>
                      <w:u w:val="single"/>
                    </w:rPr>
                    <w:t>物料名称</w:t>
                  </w:r>
                </w:p>
              </w:tc>
              <w:tc>
                <w:tcPr>
                  <w:tcW w:w="1262" w:type="dxa"/>
                  <w:tcBorders>
                    <w:tl2br w:val="nil"/>
                    <w:tr2bl w:val="nil"/>
                  </w:tcBorders>
                  <w:shd w:val="clear" w:color="auto" w:fill="auto"/>
                  <w:vAlign w:val="center"/>
                </w:tcPr>
                <w:p w14:paraId="4497DCE8">
                  <w:pPr>
                    <w:pStyle w:val="45"/>
                    <w:rPr>
                      <w:rFonts w:hint="default"/>
                      <w:b/>
                      <w:bCs/>
                      <w:u w:val="single"/>
                    </w:rPr>
                  </w:pPr>
                  <w:r>
                    <w:rPr>
                      <w:b/>
                      <w:bCs/>
                      <w:u w:val="single"/>
                    </w:rPr>
                    <w:t>消耗量</w:t>
                  </w:r>
                  <w:r>
                    <w:rPr>
                      <w:rFonts w:hint="default"/>
                      <w:b/>
                      <w:bCs/>
                      <w:u w:val="single"/>
                    </w:rPr>
                    <w:t>t/a</w:t>
                  </w:r>
                </w:p>
              </w:tc>
              <w:tc>
                <w:tcPr>
                  <w:tcW w:w="1784" w:type="dxa"/>
                  <w:gridSpan w:val="2"/>
                  <w:tcBorders>
                    <w:tl2br w:val="nil"/>
                    <w:tr2bl w:val="nil"/>
                  </w:tcBorders>
                  <w:shd w:val="clear" w:color="auto" w:fill="auto"/>
                  <w:vAlign w:val="center"/>
                </w:tcPr>
                <w:p w14:paraId="11028481">
                  <w:pPr>
                    <w:pStyle w:val="45"/>
                    <w:rPr>
                      <w:rFonts w:hint="default"/>
                      <w:b/>
                      <w:bCs/>
                      <w:u w:val="single"/>
                    </w:rPr>
                  </w:pPr>
                  <w:r>
                    <w:rPr>
                      <w:b/>
                      <w:bCs/>
                      <w:u w:val="single"/>
                    </w:rPr>
                    <w:t>产物名称</w:t>
                  </w:r>
                </w:p>
              </w:tc>
              <w:tc>
                <w:tcPr>
                  <w:tcW w:w="1354" w:type="dxa"/>
                  <w:tcBorders>
                    <w:tl2br w:val="nil"/>
                    <w:tr2bl w:val="nil"/>
                  </w:tcBorders>
                  <w:shd w:val="clear" w:color="auto" w:fill="auto"/>
                  <w:vAlign w:val="center"/>
                </w:tcPr>
                <w:p w14:paraId="28A202A2">
                  <w:pPr>
                    <w:pStyle w:val="45"/>
                    <w:rPr>
                      <w:rFonts w:hint="default"/>
                      <w:b/>
                      <w:bCs/>
                      <w:u w:val="single"/>
                    </w:rPr>
                  </w:pPr>
                  <w:r>
                    <w:rPr>
                      <w:b/>
                      <w:bCs/>
                      <w:u w:val="single"/>
                    </w:rPr>
                    <w:t>产量</w:t>
                  </w:r>
                  <w:r>
                    <w:rPr>
                      <w:rFonts w:hint="default"/>
                      <w:b/>
                      <w:bCs/>
                      <w:u w:val="single"/>
                    </w:rPr>
                    <w:t>t/a</w:t>
                  </w:r>
                </w:p>
              </w:tc>
              <w:tc>
                <w:tcPr>
                  <w:tcW w:w="1041" w:type="dxa"/>
                  <w:tcBorders>
                    <w:tl2br w:val="nil"/>
                    <w:tr2bl w:val="nil"/>
                  </w:tcBorders>
                  <w:shd w:val="clear" w:color="auto" w:fill="auto"/>
                  <w:vAlign w:val="center"/>
                </w:tcPr>
                <w:p w14:paraId="6A4BDC69">
                  <w:pPr>
                    <w:pStyle w:val="45"/>
                    <w:rPr>
                      <w:rFonts w:hint="default"/>
                      <w:b/>
                      <w:bCs/>
                      <w:u w:val="single"/>
                    </w:rPr>
                  </w:pPr>
                  <w:r>
                    <w:rPr>
                      <w:b/>
                      <w:bCs/>
                      <w:u w:val="single"/>
                    </w:rPr>
                    <w:t>去向</w:t>
                  </w:r>
                </w:p>
              </w:tc>
            </w:tr>
            <w:tr w14:paraId="6F264B1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97" w:hRule="atLeast"/>
                <w:jc w:val="center"/>
              </w:trPr>
              <w:tc>
                <w:tcPr>
                  <w:tcW w:w="1247" w:type="dxa"/>
                  <w:tcBorders>
                    <w:tl2br w:val="nil"/>
                    <w:tr2bl w:val="nil"/>
                  </w:tcBorders>
                  <w:shd w:val="clear" w:color="auto" w:fill="auto"/>
                  <w:noWrap/>
                  <w:vAlign w:val="center"/>
                </w:tcPr>
                <w:p w14:paraId="533A7255">
                  <w:pPr>
                    <w:pStyle w:val="45"/>
                    <w:rPr>
                      <w:rFonts w:hint="default"/>
                      <w:b/>
                      <w:bCs/>
                      <w:u w:val="single"/>
                    </w:rPr>
                  </w:pPr>
                  <w:r>
                    <w:rPr>
                      <w:rFonts w:hint="default"/>
                      <w:b/>
                      <w:bCs/>
                      <w:u w:val="single"/>
                    </w:rPr>
                    <w:t>1</w:t>
                  </w:r>
                </w:p>
              </w:tc>
              <w:tc>
                <w:tcPr>
                  <w:tcW w:w="1200" w:type="dxa"/>
                  <w:tcBorders>
                    <w:tl2br w:val="nil"/>
                    <w:tr2bl w:val="nil"/>
                  </w:tcBorders>
                  <w:shd w:val="clear" w:color="auto" w:fill="auto"/>
                  <w:noWrap/>
                  <w:vAlign w:val="center"/>
                </w:tcPr>
                <w:p w14:paraId="0440FDBA">
                  <w:pPr>
                    <w:pStyle w:val="45"/>
                    <w:rPr>
                      <w:rFonts w:hint="default"/>
                      <w:b/>
                      <w:bCs/>
                      <w:u w:val="single"/>
                    </w:rPr>
                  </w:pPr>
                  <w:r>
                    <w:rPr>
                      <w:rFonts w:hint="eastAsia"/>
                      <w:b/>
                      <w:bCs/>
                      <w:u w:val="single"/>
                      <w:lang w:eastAsia="zh-CN"/>
                    </w:rPr>
                    <w:t>优等品</w:t>
                  </w:r>
                  <w:r>
                    <w:rPr>
                      <w:b/>
                      <w:bCs/>
                      <w:u w:val="single"/>
                    </w:rPr>
                    <w:t>液氨（99.9%）</w:t>
                  </w:r>
                </w:p>
              </w:tc>
              <w:tc>
                <w:tcPr>
                  <w:tcW w:w="1262" w:type="dxa"/>
                  <w:tcBorders>
                    <w:tl2br w:val="nil"/>
                    <w:tr2bl w:val="nil"/>
                  </w:tcBorders>
                  <w:shd w:val="clear" w:color="auto" w:fill="auto"/>
                  <w:noWrap/>
                  <w:vAlign w:val="center"/>
                </w:tcPr>
                <w:p w14:paraId="4C5269B0">
                  <w:pPr>
                    <w:pStyle w:val="45"/>
                    <w:rPr>
                      <w:rFonts w:hint="default" w:eastAsia="宋体"/>
                      <w:b/>
                      <w:bCs/>
                      <w:highlight w:val="none"/>
                      <w:u w:val="single"/>
                      <w:lang w:val="en-US" w:eastAsia="zh-CN"/>
                    </w:rPr>
                  </w:pPr>
                  <w:r>
                    <w:rPr>
                      <w:rFonts w:hint="eastAsia"/>
                      <w:b/>
                      <w:bCs/>
                      <w:highlight w:val="none"/>
                      <w:u w:val="single"/>
                      <w:lang w:val="en-US" w:eastAsia="zh-CN"/>
                    </w:rPr>
                    <w:t>6818</w:t>
                  </w:r>
                </w:p>
              </w:tc>
              <w:tc>
                <w:tcPr>
                  <w:tcW w:w="1784" w:type="dxa"/>
                  <w:gridSpan w:val="2"/>
                  <w:tcBorders>
                    <w:tl2br w:val="nil"/>
                    <w:tr2bl w:val="nil"/>
                  </w:tcBorders>
                  <w:shd w:val="clear" w:color="auto" w:fill="auto"/>
                  <w:vAlign w:val="center"/>
                </w:tcPr>
                <w:p w14:paraId="10AD69B8">
                  <w:pPr>
                    <w:pStyle w:val="45"/>
                    <w:rPr>
                      <w:rFonts w:hint="default"/>
                      <w:b/>
                      <w:bCs/>
                      <w:highlight w:val="none"/>
                      <w:u w:val="single"/>
                    </w:rPr>
                  </w:pPr>
                  <w:r>
                    <w:rPr>
                      <w:b/>
                      <w:bCs/>
                      <w:highlight w:val="none"/>
                      <w:u w:val="single"/>
                    </w:rPr>
                    <w:t>超纯液氨（99.99999%）</w:t>
                  </w:r>
                </w:p>
              </w:tc>
              <w:tc>
                <w:tcPr>
                  <w:tcW w:w="1354" w:type="dxa"/>
                  <w:tcBorders>
                    <w:tl2br w:val="nil"/>
                    <w:tr2bl w:val="nil"/>
                  </w:tcBorders>
                  <w:shd w:val="clear" w:color="auto" w:fill="auto"/>
                  <w:vAlign w:val="center"/>
                </w:tcPr>
                <w:p w14:paraId="67BD7715">
                  <w:pPr>
                    <w:pStyle w:val="45"/>
                    <w:rPr>
                      <w:rFonts w:hint="default"/>
                      <w:b/>
                      <w:bCs/>
                      <w:highlight w:val="none"/>
                      <w:u w:val="single"/>
                    </w:rPr>
                  </w:pPr>
                  <w:r>
                    <w:rPr>
                      <w:b/>
                      <w:bCs/>
                      <w:highlight w:val="none"/>
                      <w:u w:val="single"/>
                    </w:rPr>
                    <w:t>6000</w:t>
                  </w:r>
                </w:p>
              </w:tc>
              <w:tc>
                <w:tcPr>
                  <w:tcW w:w="1041" w:type="dxa"/>
                  <w:tcBorders>
                    <w:tl2br w:val="nil"/>
                    <w:tr2bl w:val="nil"/>
                  </w:tcBorders>
                  <w:shd w:val="clear" w:color="auto" w:fill="auto"/>
                  <w:noWrap/>
                  <w:vAlign w:val="center"/>
                </w:tcPr>
                <w:p w14:paraId="6A8E4628">
                  <w:pPr>
                    <w:pStyle w:val="45"/>
                    <w:rPr>
                      <w:rFonts w:hint="default"/>
                      <w:b/>
                      <w:bCs/>
                      <w:highlight w:val="none"/>
                      <w:u w:val="single"/>
                    </w:rPr>
                  </w:pPr>
                  <w:r>
                    <w:rPr>
                      <w:b/>
                      <w:bCs/>
                      <w:highlight w:val="none"/>
                      <w:u w:val="single"/>
                    </w:rPr>
                    <w:t>产品</w:t>
                  </w:r>
                </w:p>
              </w:tc>
            </w:tr>
            <w:tr w14:paraId="12757B9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97" w:hRule="atLeast"/>
                <w:jc w:val="center"/>
              </w:trPr>
              <w:tc>
                <w:tcPr>
                  <w:tcW w:w="1247" w:type="dxa"/>
                  <w:tcBorders>
                    <w:tl2br w:val="nil"/>
                    <w:tr2bl w:val="nil"/>
                  </w:tcBorders>
                  <w:shd w:val="clear" w:color="auto" w:fill="auto"/>
                  <w:noWrap/>
                  <w:vAlign w:val="center"/>
                </w:tcPr>
                <w:p w14:paraId="2B1B940A">
                  <w:pPr>
                    <w:pStyle w:val="45"/>
                    <w:rPr>
                      <w:rFonts w:hint="default"/>
                      <w:b/>
                      <w:bCs/>
                      <w:u w:val="single"/>
                    </w:rPr>
                  </w:pPr>
                  <w:r>
                    <w:rPr>
                      <w:rFonts w:hint="default"/>
                      <w:b/>
                      <w:bCs/>
                      <w:u w:val="single"/>
                    </w:rPr>
                    <w:t>2</w:t>
                  </w:r>
                </w:p>
              </w:tc>
              <w:tc>
                <w:tcPr>
                  <w:tcW w:w="1200" w:type="dxa"/>
                  <w:tcBorders>
                    <w:tl2br w:val="nil"/>
                    <w:tr2bl w:val="nil"/>
                  </w:tcBorders>
                  <w:shd w:val="clear" w:color="auto" w:fill="auto"/>
                  <w:noWrap/>
                  <w:vAlign w:val="center"/>
                </w:tcPr>
                <w:p w14:paraId="5C0AFFA6">
                  <w:pPr>
                    <w:pStyle w:val="45"/>
                    <w:rPr>
                      <w:rFonts w:hint="default"/>
                      <w:b/>
                      <w:bCs/>
                      <w:u w:val="single"/>
                    </w:rPr>
                  </w:pPr>
                  <w:r>
                    <w:rPr>
                      <w:b/>
                      <w:bCs/>
                      <w:u w:val="single"/>
                    </w:rPr>
                    <w:t>水</w:t>
                  </w:r>
                </w:p>
              </w:tc>
              <w:tc>
                <w:tcPr>
                  <w:tcW w:w="1262" w:type="dxa"/>
                  <w:tcBorders>
                    <w:tl2br w:val="nil"/>
                    <w:tr2bl w:val="nil"/>
                  </w:tcBorders>
                  <w:shd w:val="clear" w:color="auto" w:fill="auto"/>
                  <w:noWrap/>
                  <w:vAlign w:val="center"/>
                </w:tcPr>
                <w:p w14:paraId="2CFE701A">
                  <w:pPr>
                    <w:pStyle w:val="45"/>
                    <w:rPr>
                      <w:rFonts w:hint="default" w:eastAsia="宋体"/>
                      <w:b/>
                      <w:bCs/>
                      <w:highlight w:val="none"/>
                      <w:u w:val="single"/>
                      <w:lang w:val="en-US" w:eastAsia="zh-CN"/>
                    </w:rPr>
                  </w:pPr>
                  <w:r>
                    <w:rPr>
                      <w:rFonts w:hint="eastAsia"/>
                      <w:b/>
                      <w:bCs/>
                      <w:highlight w:val="none"/>
                      <w:u w:val="single"/>
                      <w:lang w:val="en-US" w:eastAsia="zh-CN"/>
                    </w:rPr>
                    <w:t>3241.6</w:t>
                  </w:r>
                </w:p>
              </w:tc>
              <w:tc>
                <w:tcPr>
                  <w:tcW w:w="850" w:type="dxa"/>
                  <w:vMerge w:val="restart"/>
                  <w:tcBorders>
                    <w:tl2br w:val="nil"/>
                    <w:tr2bl w:val="nil"/>
                  </w:tcBorders>
                  <w:shd w:val="clear" w:color="auto" w:fill="auto"/>
                  <w:vAlign w:val="center"/>
                </w:tcPr>
                <w:p w14:paraId="381F6565">
                  <w:pPr>
                    <w:pStyle w:val="45"/>
                    <w:rPr>
                      <w:rFonts w:hint="default"/>
                      <w:b/>
                      <w:bCs/>
                      <w:highlight w:val="none"/>
                      <w:u w:val="single"/>
                    </w:rPr>
                  </w:pPr>
                  <w:r>
                    <w:rPr>
                      <w:b/>
                      <w:bCs/>
                      <w:highlight w:val="none"/>
                      <w:u w:val="single"/>
                    </w:rPr>
                    <w:t>氨水（20</w:t>
                  </w:r>
                  <w:r>
                    <w:rPr>
                      <w:rFonts w:hint="default"/>
                      <w:b/>
                      <w:bCs/>
                      <w:highlight w:val="none"/>
                      <w:u w:val="single"/>
                    </w:rPr>
                    <w:t>%)</w:t>
                  </w:r>
                </w:p>
              </w:tc>
              <w:tc>
                <w:tcPr>
                  <w:tcW w:w="934" w:type="dxa"/>
                  <w:tcBorders>
                    <w:tl2br w:val="nil"/>
                    <w:tr2bl w:val="nil"/>
                  </w:tcBorders>
                  <w:shd w:val="clear" w:color="auto" w:fill="auto"/>
                  <w:vAlign w:val="center"/>
                </w:tcPr>
                <w:p w14:paraId="2781A644">
                  <w:pPr>
                    <w:pStyle w:val="45"/>
                    <w:rPr>
                      <w:rFonts w:hint="default"/>
                      <w:b/>
                      <w:bCs/>
                      <w:highlight w:val="none"/>
                      <w:u w:val="single"/>
                    </w:rPr>
                  </w:pPr>
                  <w:r>
                    <w:rPr>
                      <w:b/>
                      <w:bCs/>
                      <w:highlight w:val="none"/>
                      <w:u w:val="single"/>
                    </w:rPr>
                    <w:t>氨</w:t>
                  </w:r>
                </w:p>
              </w:tc>
              <w:tc>
                <w:tcPr>
                  <w:tcW w:w="1354" w:type="dxa"/>
                  <w:tcBorders>
                    <w:tl2br w:val="nil"/>
                    <w:tr2bl w:val="nil"/>
                  </w:tcBorders>
                  <w:shd w:val="clear" w:color="auto" w:fill="auto"/>
                  <w:vAlign w:val="center"/>
                </w:tcPr>
                <w:p w14:paraId="33D438A0">
                  <w:pPr>
                    <w:pStyle w:val="45"/>
                    <w:rPr>
                      <w:rFonts w:hint="default" w:eastAsia="宋体"/>
                      <w:b/>
                      <w:bCs/>
                      <w:highlight w:val="none"/>
                      <w:u w:val="single"/>
                      <w:lang w:val="en-US" w:eastAsia="zh-CN"/>
                    </w:rPr>
                  </w:pPr>
                  <w:r>
                    <w:rPr>
                      <w:rFonts w:hint="eastAsia"/>
                      <w:b/>
                      <w:bCs/>
                      <w:highlight w:val="none"/>
                      <w:u w:val="single"/>
                      <w:lang w:val="en-US" w:eastAsia="zh-CN"/>
                    </w:rPr>
                    <w:t>810.4</w:t>
                  </w:r>
                </w:p>
              </w:tc>
              <w:tc>
                <w:tcPr>
                  <w:tcW w:w="1041" w:type="dxa"/>
                  <w:vMerge w:val="restart"/>
                  <w:tcBorders>
                    <w:tl2br w:val="nil"/>
                    <w:tr2bl w:val="nil"/>
                  </w:tcBorders>
                  <w:shd w:val="clear" w:color="auto" w:fill="auto"/>
                  <w:noWrap/>
                  <w:vAlign w:val="center"/>
                </w:tcPr>
                <w:p w14:paraId="6F8D1542">
                  <w:pPr>
                    <w:pStyle w:val="45"/>
                    <w:rPr>
                      <w:rFonts w:hint="default"/>
                      <w:b/>
                      <w:bCs/>
                      <w:highlight w:val="none"/>
                      <w:u w:val="single"/>
                    </w:rPr>
                  </w:pPr>
                  <w:r>
                    <w:rPr>
                      <w:b/>
                      <w:bCs/>
                      <w:highlight w:val="none"/>
                      <w:u w:val="single"/>
                    </w:rPr>
                    <w:t>产品</w:t>
                  </w:r>
                </w:p>
              </w:tc>
            </w:tr>
            <w:tr w14:paraId="2DED1D2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7" w:type="dxa"/>
                  <w:tcBorders>
                    <w:tl2br w:val="nil"/>
                    <w:tr2bl w:val="nil"/>
                  </w:tcBorders>
                  <w:shd w:val="clear" w:color="auto" w:fill="auto"/>
                  <w:noWrap/>
                  <w:vAlign w:val="center"/>
                </w:tcPr>
                <w:p w14:paraId="40131803">
                  <w:pPr>
                    <w:pStyle w:val="45"/>
                    <w:rPr>
                      <w:rFonts w:hint="default"/>
                      <w:b/>
                      <w:bCs/>
                      <w:u w:val="single"/>
                    </w:rPr>
                  </w:pPr>
                </w:p>
              </w:tc>
              <w:tc>
                <w:tcPr>
                  <w:tcW w:w="1200" w:type="dxa"/>
                  <w:tcBorders>
                    <w:tl2br w:val="nil"/>
                    <w:tr2bl w:val="nil"/>
                  </w:tcBorders>
                  <w:shd w:val="clear" w:color="auto" w:fill="auto"/>
                  <w:noWrap/>
                  <w:vAlign w:val="center"/>
                </w:tcPr>
                <w:p w14:paraId="378D01DC">
                  <w:pPr>
                    <w:pStyle w:val="45"/>
                    <w:rPr>
                      <w:rFonts w:hint="default"/>
                      <w:b/>
                      <w:bCs/>
                      <w:u w:val="single"/>
                    </w:rPr>
                  </w:pPr>
                </w:p>
              </w:tc>
              <w:tc>
                <w:tcPr>
                  <w:tcW w:w="1262" w:type="dxa"/>
                  <w:tcBorders>
                    <w:tl2br w:val="nil"/>
                    <w:tr2bl w:val="nil"/>
                  </w:tcBorders>
                  <w:shd w:val="clear" w:color="auto" w:fill="auto"/>
                  <w:noWrap/>
                  <w:vAlign w:val="center"/>
                </w:tcPr>
                <w:p w14:paraId="378D1570">
                  <w:pPr>
                    <w:pStyle w:val="45"/>
                    <w:rPr>
                      <w:rFonts w:hint="default"/>
                      <w:b/>
                      <w:bCs/>
                      <w:highlight w:val="none"/>
                      <w:u w:val="single"/>
                    </w:rPr>
                  </w:pPr>
                </w:p>
              </w:tc>
              <w:tc>
                <w:tcPr>
                  <w:tcW w:w="850" w:type="dxa"/>
                  <w:vMerge w:val="continue"/>
                  <w:tcBorders>
                    <w:tl2br w:val="nil"/>
                    <w:tr2bl w:val="nil"/>
                  </w:tcBorders>
                  <w:shd w:val="clear" w:color="auto" w:fill="auto"/>
                  <w:vAlign w:val="center"/>
                </w:tcPr>
                <w:p w14:paraId="3A7C2C39">
                  <w:pPr>
                    <w:pStyle w:val="45"/>
                    <w:rPr>
                      <w:rFonts w:hint="default"/>
                      <w:b/>
                      <w:bCs/>
                      <w:highlight w:val="none"/>
                      <w:u w:val="single"/>
                    </w:rPr>
                  </w:pPr>
                </w:p>
              </w:tc>
              <w:tc>
                <w:tcPr>
                  <w:tcW w:w="934" w:type="dxa"/>
                  <w:tcBorders>
                    <w:tl2br w:val="nil"/>
                    <w:tr2bl w:val="nil"/>
                  </w:tcBorders>
                  <w:shd w:val="clear" w:color="auto" w:fill="auto"/>
                  <w:vAlign w:val="center"/>
                </w:tcPr>
                <w:p w14:paraId="48B96BEF">
                  <w:pPr>
                    <w:pStyle w:val="45"/>
                    <w:rPr>
                      <w:rFonts w:hint="default"/>
                      <w:b/>
                      <w:bCs/>
                      <w:highlight w:val="none"/>
                      <w:u w:val="single"/>
                    </w:rPr>
                  </w:pPr>
                  <w:r>
                    <w:rPr>
                      <w:b/>
                      <w:bCs/>
                      <w:highlight w:val="none"/>
                      <w:u w:val="single"/>
                    </w:rPr>
                    <w:t>纯水</w:t>
                  </w:r>
                </w:p>
              </w:tc>
              <w:tc>
                <w:tcPr>
                  <w:tcW w:w="1354" w:type="dxa"/>
                  <w:tcBorders>
                    <w:tl2br w:val="nil"/>
                    <w:tr2bl w:val="nil"/>
                  </w:tcBorders>
                  <w:shd w:val="clear" w:color="auto" w:fill="auto"/>
                  <w:vAlign w:val="center"/>
                </w:tcPr>
                <w:p w14:paraId="0C6E98E1">
                  <w:pPr>
                    <w:pStyle w:val="45"/>
                    <w:rPr>
                      <w:rFonts w:hint="default" w:eastAsia="宋体"/>
                      <w:b/>
                      <w:bCs/>
                      <w:highlight w:val="none"/>
                      <w:u w:val="single"/>
                      <w:lang w:val="en-US" w:eastAsia="zh-CN"/>
                    </w:rPr>
                  </w:pPr>
                  <w:r>
                    <w:rPr>
                      <w:rFonts w:hint="eastAsia"/>
                      <w:b/>
                      <w:bCs/>
                      <w:highlight w:val="none"/>
                      <w:u w:val="single"/>
                      <w:lang w:val="en-US" w:eastAsia="zh-CN"/>
                    </w:rPr>
                    <w:t>3241.6</w:t>
                  </w:r>
                </w:p>
              </w:tc>
              <w:tc>
                <w:tcPr>
                  <w:tcW w:w="1041" w:type="dxa"/>
                  <w:vMerge w:val="continue"/>
                  <w:tcBorders>
                    <w:tl2br w:val="nil"/>
                    <w:tr2bl w:val="nil"/>
                  </w:tcBorders>
                  <w:shd w:val="clear" w:color="auto" w:fill="auto"/>
                  <w:noWrap/>
                  <w:vAlign w:val="center"/>
                </w:tcPr>
                <w:p w14:paraId="09EB962E">
                  <w:pPr>
                    <w:pStyle w:val="45"/>
                    <w:rPr>
                      <w:rFonts w:hint="default"/>
                      <w:b/>
                      <w:bCs/>
                      <w:highlight w:val="none"/>
                      <w:u w:val="single"/>
                    </w:rPr>
                  </w:pPr>
                </w:p>
              </w:tc>
            </w:tr>
            <w:tr w14:paraId="52BDF0D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7" w:type="dxa"/>
                  <w:tcBorders>
                    <w:tl2br w:val="nil"/>
                    <w:tr2bl w:val="nil"/>
                  </w:tcBorders>
                  <w:shd w:val="clear" w:color="auto" w:fill="auto"/>
                  <w:noWrap/>
                  <w:vAlign w:val="center"/>
                </w:tcPr>
                <w:p w14:paraId="7C845514">
                  <w:pPr>
                    <w:pStyle w:val="45"/>
                    <w:rPr>
                      <w:rFonts w:hint="default"/>
                      <w:b/>
                      <w:bCs/>
                      <w:u w:val="single"/>
                    </w:rPr>
                  </w:pPr>
                </w:p>
              </w:tc>
              <w:tc>
                <w:tcPr>
                  <w:tcW w:w="1200" w:type="dxa"/>
                  <w:tcBorders>
                    <w:tl2br w:val="nil"/>
                    <w:tr2bl w:val="nil"/>
                  </w:tcBorders>
                  <w:shd w:val="clear" w:color="auto" w:fill="auto"/>
                  <w:noWrap/>
                  <w:vAlign w:val="center"/>
                </w:tcPr>
                <w:p w14:paraId="7BC0E064">
                  <w:pPr>
                    <w:pStyle w:val="45"/>
                    <w:rPr>
                      <w:rFonts w:hint="default"/>
                      <w:b/>
                      <w:bCs/>
                      <w:u w:val="single"/>
                    </w:rPr>
                  </w:pPr>
                </w:p>
              </w:tc>
              <w:tc>
                <w:tcPr>
                  <w:tcW w:w="1262" w:type="dxa"/>
                  <w:tcBorders>
                    <w:tl2br w:val="nil"/>
                    <w:tr2bl w:val="nil"/>
                  </w:tcBorders>
                  <w:shd w:val="clear" w:color="auto" w:fill="auto"/>
                  <w:noWrap/>
                  <w:vAlign w:val="center"/>
                </w:tcPr>
                <w:p w14:paraId="316D4D8C">
                  <w:pPr>
                    <w:pStyle w:val="45"/>
                    <w:rPr>
                      <w:rFonts w:hint="default"/>
                      <w:b/>
                      <w:bCs/>
                      <w:highlight w:val="none"/>
                      <w:u w:val="single"/>
                    </w:rPr>
                  </w:pPr>
                </w:p>
              </w:tc>
              <w:tc>
                <w:tcPr>
                  <w:tcW w:w="850" w:type="dxa"/>
                  <w:vMerge w:val="continue"/>
                  <w:tcBorders>
                    <w:tl2br w:val="nil"/>
                    <w:tr2bl w:val="nil"/>
                  </w:tcBorders>
                  <w:shd w:val="clear" w:color="auto" w:fill="auto"/>
                  <w:vAlign w:val="center"/>
                </w:tcPr>
                <w:p w14:paraId="4944B905">
                  <w:pPr>
                    <w:pStyle w:val="45"/>
                    <w:rPr>
                      <w:rFonts w:hint="default"/>
                      <w:b/>
                      <w:bCs/>
                      <w:highlight w:val="none"/>
                      <w:u w:val="single"/>
                    </w:rPr>
                  </w:pPr>
                </w:p>
              </w:tc>
              <w:tc>
                <w:tcPr>
                  <w:tcW w:w="934" w:type="dxa"/>
                  <w:tcBorders>
                    <w:tl2br w:val="nil"/>
                    <w:tr2bl w:val="nil"/>
                  </w:tcBorders>
                  <w:shd w:val="clear" w:color="auto" w:fill="auto"/>
                  <w:vAlign w:val="center"/>
                </w:tcPr>
                <w:p w14:paraId="6C7AC164">
                  <w:pPr>
                    <w:pStyle w:val="45"/>
                    <w:rPr>
                      <w:rFonts w:hint="default"/>
                      <w:b/>
                      <w:bCs/>
                      <w:highlight w:val="none"/>
                      <w:u w:val="single"/>
                    </w:rPr>
                  </w:pPr>
                  <w:r>
                    <w:rPr>
                      <w:b/>
                      <w:bCs/>
                      <w:highlight w:val="none"/>
                      <w:u w:val="single"/>
                    </w:rPr>
                    <w:t>合计</w:t>
                  </w:r>
                </w:p>
              </w:tc>
              <w:tc>
                <w:tcPr>
                  <w:tcW w:w="1354" w:type="dxa"/>
                  <w:tcBorders>
                    <w:tl2br w:val="nil"/>
                    <w:tr2bl w:val="nil"/>
                  </w:tcBorders>
                  <w:shd w:val="clear" w:color="auto" w:fill="auto"/>
                  <w:vAlign w:val="center"/>
                </w:tcPr>
                <w:p w14:paraId="3C5A0B98">
                  <w:pPr>
                    <w:pStyle w:val="45"/>
                    <w:rPr>
                      <w:rFonts w:hint="default" w:eastAsia="宋体"/>
                      <w:b/>
                      <w:bCs/>
                      <w:highlight w:val="none"/>
                      <w:u w:val="single"/>
                      <w:lang w:val="en-US" w:eastAsia="zh-CN"/>
                    </w:rPr>
                  </w:pPr>
                  <w:r>
                    <w:rPr>
                      <w:rFonts w:hint="eastAsia"/>
                      <w:b/>
                      <w:bCs/>
                      <w:highlight w:val="none"/>
                      <w:u w:val="single"/>
                      <w:lang w:val="en-US" w:eastAsia="zh-CN"/>
                    </w:rPr>
                    <w:t>4052</w:t>
                  </w:r>
                </w:p>
              </w:tc>
              <w:tc>
                <w:tcPr>
                  <w:tcW w:w="1041" w:type="dxa"/>
                  <w:vMerge w:val="continue"/>
                  <w:tcBorders>
                    <w:tl2br w:val="nil"/>
                    <w:tr2bl w:val="nil"/>
                  </w:tcBorders>
                  <w:shd w:val="clear" w:color="auto" w:fill="auto"/>
                  <w:noWrap/>
                  <w:vAlign w:val="center"/>
                </w:tcPr>
                <w:p w14:paraId="657BA035">
                  <w:pPr>
                    <w:pStyle w:val="45"/>
                    <w:rPr>
                      <w:rFonts w:hint="default"/>
                      <w:b/>
                      <w:bCs/>
                      <w:highlight w:val="none"/>
                      <w:u w:val="single"/>
                    </w:rPr>
                  </w:pPr>
                </w:p>
              </w:tc>
            </w:tr>
            <w:tr w14:paraId="36C7E17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7" w:type="dxa"/>
                  <w:tcBorders>
                    <w:tl2br w:val="nil"/>
                    <w:tr2bl w:val="nil"/>
                  </w:tcBorders>
                  <w:shd w:val="clear" w:color="auto" w:fill="auto"/>
                  <w:noWrap/>
                  <w:vAlign w:val="center"/>
                </w:tcPr>
                <w:p w14:paraId="5BCE1F6E">
                  <w:pPr>
                    <w:pStyle w:val="45"/>
                    <w:rPr>
                      <w:rFonts w:hint="default"/>
                      <w:b/>
                      <w:bCs/>
                      <w:u w:val="single"/>
                    </w:rPr>
                  </w:pPr>
                  <w:r>
                    <w:rPr>
                      <w:rFonts w:hint="default"/>
                      <w:b/>
                      <w:bCs/>
                      <w:u w:val="single"/>
                    </w:rPr>
                    <w:t>3</w:t>
                  </w:r>
                </w:p>
              </w:tc>
              <w:tc>
                <w:tcPr>
                  <w:tcW w:w="1200" w:type="dxa"/>
                  <w:tcBorders>
                    <w:tl2br w:val="nil"/>
                    <w:tr2bl w:val="nil"/>
                  </w:tcBorders>
                  <w:shd w:val="clear" w:color="auto" w:fill="auto"/>
                  <w:noWrap/>
                  <w:vAlign w:val="center"/>
                </w:tcPr>
                <w:p w14:paraId="0D98B44D">
                  <w:pPr>
                    <w:pStyle w:val="45"/>
                    <w:rPr>
                      <w:rFonts w:hint="default"/>
                      <w:b/>
                      <w:bCs/>
                      <w:u w:val="single"/>
                    </w:rPr>
                  </w:pPr>
                  <w:r>
                    <w:rPr>
                      <w:rFonts w:hint="default"/>
                      <w:b/>
                      <w:bCs/>
                      <w:u w:val="single"/>
                    </w:rPr>
                    <w:t>/</w:t>
                  </w:r>
                </w:p>
              </w:tc>
              <w:tc>
                <w:tcPr>
                  <w:tcW w:w="1262" w:type="dxa"/>
                  <w:tcBorders>
                    <w:tl2br w:val="nil"/>
                    <w:tr2bl w:val="nil"/>
                  </w:tcBorders>
                  <w:shd w:val="clear" w:color="auto" w:fill="auto"/>
                  <w:noWrap/>
                  <w:vAlign w:val="center"/>
                </w:tcPr>
                <w:p w14:paraId="3649B2AF">
                  <w:pPr>
                    <w:pStyle w:val="45"/>
                    <w:rPr>
                      <w:rFonts w:hint="default"/>
                      <w:b/>
                      <w:bCs/>
                      <w:highlight w:val="none"/>
                      <w:u w:val="single"/>
                    </w:rPr>
                  </w:pPr>
                  <w:r>
                    <w:rPr>
                      <w:rFonts w:hint="default"/>
                      <w:b/>
                      <w:bCs/>
                      <w:highlight w:val="none"/>
                      <w:u w:val="single"/>
                    </w:rPr>
                    <w:t>/</w:t>
                  </w:r>
                </w:p>
              </w:tc>
              <w:tc>
                <w:tcPr>
                  <w:tcW w:w="1784" w:type="dxa"/>
                  <w:gridSpan w:val="2"/>
                  <w:tcBorders>
                    <w:tl2br w:val="nil"/>
                    <w:tr2bl w:val="nil"/>
                  </w:tcBorders>
                  <w:shd w:val="clear" w:color="auto" w:fill="auto"/>
                  <w:noWrap/>
                  <w:vAlign w:val="center"/>
                </w:tcPr>
                <w:p w14:paraId="4458ACB4">
                  <w:pPr>
                    <w:pStyle w:val="45"/>
                    <w:rPr>
                      <w:rFonts w:hint="default"/>
                      <w:b/>
                      <w:bCs/>
                      <w:highlight w:val="none"/>
                      <w:u w:val="single"/>
                    </w:rPr>
                  </w:pPr>
                  <w:r>
                    <w:rPr>
                      <w:b/>
                      <w:bCs/>
                      <w:highlight w:val="none"/>
                      <w:u w:val="single"/>
                    </w:rPr>
                    <w:t>废气</w:t>
                  </w:r>
                </w:p>
              </w:tc>
              <w:tc>
                <w:tcPr>
                  <w:tcW w:w="1354" w:type="dxa"/>
                  <w:tcBorders>
                    <w:tl2br w:val="nil"/>
                    <w:tr2bl w:val="nil"/>
                  </w:tcBorders>
                  <w:shd w:val="clear" w:color="auto" w:fill="auto"/>
                  <w:noWrap/>
                  <w:vAlign w:val="center"/>
                </w:tcPr>
                <w:p w14:paraId="18E65A06">
                  <w:pPr>
                    <w:pStyle w:val="45"/>
                    <w:rPr>
                      <w:rFonts w:hint="default" w:eastAsia="宋体"/>
                      <w:b/>
                      <w:bCs/>
                      <w:highlight w:val="none"/>
                      <w:u w:val="single"/>
                      <w:lang w:val="en-US" w:eastAsia="zh-CN"/>
                    </w:rPr>
                  </w:pPr>
                  <w:r>
                    <w:rPr>
                      <w:rFonts w:hint="eastAsia"/>
                      <w:b/>
                      <w:bCs/>
                      <w:highlight w:val="none"/>
                      <w:u w:val="single"/>
                      <w:lang w:val="en-US" w:eastAsia="zh-CN"/>
                    </w:rPr>
                    <w:t>7.6</w:t>
                  </w:r>
                </w:p>
              </w:tc>
              <w:tc>
                <w:tcPr>
                  <w:tcW w:w="1041" w:type="dxa"/>
                  <w:tcBorders>
                    <w:tl2br w:val="nil"/>
                    <w:tr2bl w:val="nil"/>
                  </w:tcBorders>
                  <w:shd w:val="clear" w:color="auto" w:fill="auto"/>
                  <w:noWrap/>
                  <w:vAlign w:val="center"/>
                </w:tcPr>
                <w:p w14:paraId="5818497B">
                  <w:pPr>
                    <w:pStyle w:val="45"/>
                    <w:rPr>
                      <w:rFonts w:hint="default"/>
                      <w:b/>
                      <w:bCs/>
                      <w:highlight w:val="none"/>
                      <w:u w:val="single"/>
                    </w:rPr>
                  </w:pPr>
                  <w:r>
                    <w:rPr>
                      <w:b/>
                      <w:bCs/>
                      <w:highlight w:val="none"/>
                      <w:u w:val="single"/>
                    </w:rPr>
                    <w:t>废气</w:t>
                  </w:r>
                </w:p>
              </w:tc>
            </w:tr>
            <w:tr w14:paraId="380A10F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7" w:type="dxa"/>
                  <w:tcBorders>
                    <w:tl2br w:val="nil"/>
                    <w:tr2bl w:val="nil"/>
                  </w:tcBorders>
                  <w:shd w:val="clear" w:color="auto" w:fill="auto"/>
                  <w:noWrap/>
                  <w:vAlign w:val="center"/>
                </w:tcPr>
                <w:p w14:paraId="2D20FCF4">
                  <w:pPr>
                    <w:pStyle w:val="45"/>
                    <w:rPr>
                      <w:rFonts w:hint="default"/>
                      <w:b/>
                      <w:bCs/>
                      <w:u w:val="single"/>
                    </w:rPr>
                  </w:pPr>
                  <w:r>
                    <w:rPr>
                      <w:b/>
                      <w:bCs/>
                      <w:u w:val="single"/>
                    </w:rPr>
                    <w:t>4</w:t>
                  </w:r>
                </w:p>
              </w:tc>
              <w:tc>
                <w:tcPr>
                  <w:tcW w:w="1200" w:type="dxa"/>
                  <w:tcBorders>
                    <w:tl2br w:val="nil"/>
                    <w:tr2bl w:val="nil"/>
                  </w:tcBorders>
                  <w:shd w:val="clear" w:color="auto" w:fill="auto"/>
                  <w:noWrap/>
                  <w:vAlign w:val="center"/>
                </w:tcPr>
                <w:p w14:paraId="6594E000">
                  <w:pPr>
                    <w:pStyle w:val="45"/>
                    <w:rPr>
                      <w:rFonts w:hint="default"/>
                      <w:b/>
                      <w:bCs/>
                      <w:u w:val="single"/>
                    </w:rPr>
                  </w:pPr>
                  <w:r>
                    <w:rPr>
                      <w:b/>
                      <w:bCs/>
                      <w:u w:val="single"/>
                    </w:rPr>
                    <w:t>合计</w:t>
                  </w:r>
                </w:p>
              </w:tc>
              <w:tc>
                <w:tcPr>
                  <w:tcW w:w="1262" w:type="dxa"/>
                  <w:tcBorders>
                    <w:tl2br w:val="nil"/>
                    <w:tr2bl w:val="nil"/>
                  </w:tcBorders>
                  <w:shd w:val="clear" w:color="auto" w:fill="auto"/>
                  <w:noWrap/>
                  <w:vAlign w:val="center"/>
                </w:tcPr>
                <w:p w14:paraId="1B624528">
                  <w:pPr>
                    <w:pStyle w:val="45"/>
                    <w:rPr>
                      <w:rFonts w:hint="default" w:eastAsia="宋体"/>
                      <w:b/>
                      <w:bCs/>
                      <w:u w:val="single"/>
                      <w:lang w:val="en-US" w:eastAsia="zh-CN"/>
                    </w:rPr>
                  </w:pPr>
                  <w:r>
                    <w:rPr>
                      <w:rFonts w:hint="eastAsia"/>
                      <w:b/>
                      <w:bCs/>
                      <w:u w:val="single"/>
                      <w:lang w:val="en-US" w:eastAsia="zh-CN"/>
                    </w:rPr>
                    <w:t>10059.6</w:t>
                  </w:r>
                </w:p>
              </w:tc>
              <w:tc>
                <w:tcPr>
                  <w:tcW w:w="1784" w:type="dxa"/>
                  <w:gridSpan w:val="2"/>
                  <w:tcBorders>
                    <w:tl2br w:val="nil"/>
                    <w:tr2bl w:val="nil"/>
                  </w:tcBorders>
                  <w:shd w:val="clear" w:color="auto" w:fill="auto"/>
                  <w:noWrap/>
                  <w:vAlign w:val="center"/>
                </w:tcPr>
                <w:p w14:paraId="2403CB40">
                  <w:pPr>
                    <w:pStyle w:val="45"/>
                    <w:rPr>
                      <w:rFonts w:hint="default"/>
                      <w:b/>
                      <w:bCs/>
                      <w:u w:val="single"/>
                    </w:rPr>
                  </w:pPr>
                  <w:r>
                    <w:rPr>
                      <w:b/>
                      <w:bCs/>
                      <w:u w:val="single"/>
                    </w:rPr>
                    <w:t>合计</w:t>
                  </w:r>
                </w:p>
              </w:tc>
              <w:tc>
                <w:tcPr>
                  <w:tcW w:w="1354" w:type="dxa"/>
                  <w:tcBorders>
                    <w:tl2br w:val="nil"/>
                    <w:tr2bl w:val="nil"/>
                  </w:tcBorders>
                  <w:shd w:val="clear" w:color="auto" w:fill="auto"/>
                  <w:noWrap/>
                  <w:vAlign w:val="center"/>
                </w:tcPr>
                <w:p w14:paraId="4099272C">
                  <w:pPr>
                    <w:pStyle w:val="45"/>
                    <w:rPr>
                      <w:rFonts w:hint="default" w:eastAsia="宋体"/>
                      <w:b/>
                      <w:bCs/>
                      <w:u w:val="single"/>
                      <w:lang w:val="en-US" w:eastAsia="zh-CN"/>
                    </w:rPr>
                  </w:pPr>
                  <w:r>
                    <w:rPr>
                      <w:rFonts w:hint="eastAsia"/>
                      <w:b/>
                      <w:bCs/>
                      <w:u w:val="single"/>
                      <w:lang w:val="en-US" w:eastAsia="zh-CN"/>
                    </w:rPr>
                    <w:t>10059.6</w:t>
                  </w:r>
                </w:p>
              </w:tc>
              <w:tc>
                <w:tcPr>
                  <w:tcW w:w="1041" w:type="dxa"/>
                  <w:tcBorders>
                    <w:tl2br w:val="nil"/>
                    <w:tr2bl w:val="nil"/>
                  </w:tcBorders>
                  <w:shd w:val="clear" w:color="auto" w:fill="auto"/>
                  <w:noWrap/>
                  <w:vAlign w:val="center"/>
                </w:tcPr>
                <w:p w14:paraId="4E80A36B">
                  <w:pPr>
                    <w:pStyle w:val="45"/>
                    <w:rPr>
                      <w:rFonts w:hint="default"/>
                      <w:b/>
                      <w:bCs/>
                      <w:u w:val="single"/>
                    </w:rPr>
                  </w:pPr>
                  <w:r>
                    <w:rPr>
                      <w:b/>
                      <w:bCs/>
                      <w:u w:val="single"/>
                    </w:rPr>
                    <w:t>/</w:t>
                  </w:r>
                </w:p>
              </w:tc>
            </w:tr>
          </w:tbl>
          <w:p w14:paraId="7538DBEB">
            <w:pPr>
              <w:pStyle w:val="5"/>
              <w:numPr>
                <w:ilvl w:val="1"/>
                <w:numId w:val="4"/>
              </w:numPr>
              <w:tabs>
                <w:tab w:val="left" w:pos="0"/>
              </w:tabs>
              <w:ind w:firstLineChars="0"/>
              <w:rPr>
                <w:rFonts w:hint="default" w:cstheme="majorBidi"/>
                <w:b w:val="0"/>
                <w:bCs w:val="0"/>
                <w:szCs w:val="32"/>
                <w:u w:val="none"/>
              </w:rPr>
            </w:pPr>
            <w:r>
              <w:rPr>
                <w:rFonts w:cstheme="majorBidi"/>
                <w:b w:val="0"/>
                <w:bCs w:val="0"/>
                <w:szCs w:val="32"/>
                <w:u w:val="none"/>
              </w:rPr>
              <w:t>产污环节</w:t>
            </w:r>
          </w:p>
          <w:p w14:paraId="2159B591">
            <w:pPr>
              <w:autoSpaceDE w:val="0"/>
              <w:autoSpaceDN w:val="0"/>
              <w:adjustRightInd w:val="0"/>
              <w:snapToGrid w:val="0"/>
              <w:spacing w:line="400" w:lineRule="exact"/>
              <w:ind w:firstLine="420" w:firstLineChars="200"/>
              <w:rPr>
                <w:rFonts w:cs="宋体"/>
                <w:b w:val="0"/>
                <w:bCs w:val="0"/>
                <w:kern w:val="0"/>
                <w:u w:val="none"/>
              </w:rPr>
            </w:pPr>
            <w:r>
              <w:rPr>
                <w:rFonts w:cs="宋体"/>
                <w:b w:val="0"/>
                <w:bCs w:val="0"/>
                <w:kern w:val="0"/>
                <w:u w:val="none"/>
              </w:rPr>
              <w:t>根据上述工艺分析，拟建工程生产过程中产污环节分析详见</w:t>
            </w:r>
            <w:r>
              <w:rPr>
                <w:rFonts w:hint="eastAsia" w:cs="宋体"/>
                <w:b w:val="0"/>
                <w:bCs w:val="0"/>
                <w:kern w:val="0"/>
                <w:u w:val="none"/>
              </w:rPr>
              <w:t>下表。</w:t>
            </w:r>
          </w:p>
          <w:p w14:paraId="0997446F">
            <w:pPr>
              <w:pStyle w:val="44"/>
              <w:numPr>
                <w:ilvl w:val="0"/>
                <w:numId w:val="2"/>
              </w:numPr>
              <w:rPr>
                <w:rFonts w:hint="default"/>
                <w:b w:val="0"/>
                <w:bCs w:val="0"/>
                <w:u w:val="none"/>
              </w:rPr>
            </w:pPr>
            <w:r>
              <w:rPr>
                <w:b w:val="0"/>
                <w:bCs w:val="0"/>
                <w:u w:val="none"/>
              </w:rPr>
              <w:t xml:space="preserve"> 项目产污节点一览表</w:t>
            </w:r>
          </w:p>
          <w:tbl>
            <w:tblPr>
              <w:tblStyle w:val="27"/>
              <w:tblW w:w="4998"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58"/>
              <w:gridCol w:w="1634"/>
              <w:gridCol w:w="1605"/>
              <w:gridCol w:w="2037"/>
              <w:gridCol w:w="1729"/>
            </w:tblGrid>
            <w:tr w14:paraId="09E7799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8" w:type="pct"/>
                  <w:vAlign w:val="center"/>
                </w:tcPr>
                <w:p w14:paraId="0B29181D">
                  <w:pPr>
                    <w:autoSpaceDE w:val="0"/>
                    <w:autoSpaceDN w:val="0"/>
                    <w:jc w:val="center"/>
                    <w:rPr>
                      <w:b/>
                      <w:bCs/>
                      <w:kern w:val="0"/>
                      <w:sz w:val="18"/>
                      <w:szCs w:val="18"/>
                      <w:u w:val="single"/>
                      <w:lang w:val="zh-CN" w:eastAsia="en-US"/>
                    </w:rPr>
                  </w:pPr>
                  <w:r>
                    <w:rPr>
                      <w:b/>
                      <w:bCs/>
                      <w:kern w:val="0"/>
                      <w:sz w:val="18"/>
                      <w:szCs w:val="18"/>
                      <w:u w:val="single"/>
                      <w:lang w:val="zh-CN" w:eastAsia="en-US"/>
                    </w:rPr>
                    <w:t>类别</w:t>
                  </w:r>
                </w:p>
              </w:tc>
              <w:tc>
                <w:tcPr>
                  <w:tcW w:w="1080" w:type="pct"/>
                  <w:vAlign w:val="center"/>
                </w:tcPr>
                <w:p w14:paraId="428ED672">
                  <w:pPr>
                    <w:autoSpaceDE w:val="0"/>
                    <w:autoSpaceDN w:val="0"/>
                    <w:jc w:val="center"/>
                    <w:rPr>
                      <w:b/>
                      <w:bCs/>
                      <w:kern w:val="0"/>
                      <w:sz w:val="18"/>
                      <w:szCs w:val="18"/>
                      <w:u w:val="single"/>
                      <w:lang w:val="zh-CN" w:eastAsia="en-US"/>
                    </w:rPr>
                  </w:pPr>
                  <w:r>
                    <w:rPr>
                      <w:b/>
                      <w:bCs/>
                      <w:kern w:val="0"/>
                      <w:sz w:val="18"/>
                      <w:szCs w:val="18"/>
                      <w:u w:val="single"/>
                      <w:lang w:val="zh-CN" w:eastAsia="en-US"/>
                    </w:rPr>
                    <w:t>污染工序</w:t>
                  </w:r>
                </w:p>
              </w:tc>
              <w:tc>
                <w:tcPr>
                  <w:tcW w:w="1061" w:type="pct"/>
                  <w:vAlign w:val="center"/>
                </w:tcPr>
                <w:p w14:paraId="7CC598F2">
                  <w:pPr>
                    <w:autoSpaceDE w:val="0"/>
                    <w:autoSpaceDN w:val="0"/>
                    <w:jc w:val="center"/>
                    <w:rPr>
                      <w:b/>
                      <w:bCs/>
                      <w:kern w:val="0"/>
                      <w:sz w:val="18"/>
                      <w:szCs w:val="18"/>
                      <w:u w:val="single"/>
                      <w:lang w:val="zh-CN" w:eastAsia="en-US"/>
                    </w:rPr>
                  </w:pPr>
                  <w:r>
                    <w:rPr>
                      <w:b/>
                      <w:bCs/>
                      <w:kern w:val="0"/>
                      <w:sz w:val="18"/>
                      <w:szCs w:val="18"/>
                      <w:u w:val="single"/>
                      <w:lang w:val="zh-CN" w:eastAsia="en-US"/>
                    </w:rPr>
                    <w:t>主要污染物</w:t>
                  </w:r>
                </w:p>
              </w:tc>
              <w:tc>
                <w:tcPr>
                  <w:tcW w:w="2489" w:type="pct"/>
                  <w:gridSpan w:val="2"/>
                  <w:vAlign w:val="center"/>
                </w:tcPr>
                <w:p w14:paraId="43896B55">
                  <w:pPr>
                    <w:autoSpaceDE w:val="0"/>
                    <w:autoSpaceDN w:val="0"/>
                    <w:jc w:val="center"/>
                    <w:rPr>
                      <w:b/>
                      <w:bCs/>
                      <w:kern w:val="0"/>
                      <w:sz w:val="18"/>
                      <w:szCs w:val="18"/>
                      <w:u w:val="single"/>
                      <w:lang w:val="zh-CN" w:eastAsia="en-US"/>
                    </w:rPr>
                  </w:pPr>
                  <w:r>
                    <w:rPr>
                      <w:b/>
                      <w:bCs/>
                      <w:kern w:val="0"/>
                      <w:sz w:val="18"/>
                      <w:szCs w:val="18"/>
                      <w:u w:val="single"/>
                      <w:lang w:val="zh-CN" w:eastAsia="en-US"/>
                    </w:rPr>
                    <w:t>治理措施及去向</w:t>
                  </w:r>
                </w:p>
              </w:tc>
            </w:tr>
            <w:tr w14:paraId="72ECA77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8" w:type="pct"/>
                  <w:vMerge w:val="restart"/>
                  <w:vAlign w:val="center"/>
                </w:tcPr>
                <w:p w14:paraId="10315ECB">
                  <w:pPr>
                    <w:autoSpaceDE w:val="0"/>
                    <w:autoSpaceDN w:val="0"/>
                    <w:jc w:val="center"/>
                    <w:rPr>
                      <w:b/>
                      <w:bCs/>
                      <w:kern w:val="0"/>
                      <w:sz w:val="18"/>
                      <w:szCs w:val="18"/>
                      <w:u w:val="single"/>
                      <w:lang w:val="zh-CN" w:eastAsia="en-US"/>
                    </w:rPr>
                  </w:pPr>
                  <w:r>
                    <w:rPr>
                      <w:b/>
                      <w:bCs/>
                      <w:kern w:val="0"/>
                      <w:sz w:val="18"/>
                      <w:szCs w:val="18"/>
                      <w:u w:val="single"/>
                      <w:lang w:val="zh-CN" w:eastAsia="en-US"/>
                    </w:rPr>
                    <w:t>废气</w:t>
                  </w:r>
                </w:p>
              </w:tc>
              <w:tc>
                <w:tcPr>
                  <w:tcW w:w="1080" w:type="pct"/>
                  <w:vAlign w:val="center"/>
                </w:tcPr>
                <w:p w14:paraId="510E54A8">
                  <w:pPr>
                    <w:jc w:val="center"/>
                    <w:rPr>
                      <w:b/>
                      <w:bCs/>
                      <w:kern w:val="0"/>
                      <w:sz w:val="18"/>
                      <w:szCs w:val="18"/>
                      <w:u w:val="single"/>
                      <w:lang w:val="zh-CN"/>
                    </w:rPr>
                  </w:pPr>
                  <w:r>
                    <w:rPr>
                      <w:rFonts w:hint="eastAsia"/>
                      <w:b/>
                      <w:bCs/>
                      <w:sz w:val="18"/>
                      <w:szCs w:val="18"/>
                      <w:u w:val="single"/>
                    </w:rPr>
                    <w:t>CO</w:t>
                  </w:r>
                  <w:r>
                    <w:rPr>
                      <w:rFonts w:hint="eastAsia"/>
                      <w:b/>
                      <w:bCs/>
                      <w:sz w:val="18"/>
                      <w:szCs w:val="18"/>
                      <w:u w:val="single"/>
                      <w:vertAlign w:val="subscript"/>
                    </w:rPr>
                    <w:t>2</w:t>
                  </w:r>
                  <w:r>
                    <w:rPr>
                      <w:rFonts w:hint="eastAsia"/>
                      <w:b/>
                      <w:bCs/>
                      <w:sz w:val="18"/>
                      <w:szCs w:val="18"/>
                      <w:u w:val="single"/>
                    </w:rPr>
                    <w:t>回收尾气</w:t>
                  </w:r>
                </w:p>
              </w:tc>
              <w:tc>
                <w:tcPr>
                  <w:tcW w:w="1061" w:type="pct"/>
                  <w:vAlign w:val="center"/>
                </w:tcPr>
                <w:p w14:paraId="2DD292BD">
                  <w:pPr>
                    <w:jc w:val="center"/>
                    <w:rPr>
                      <w:b/>
                      <w:bCs/>
                      <w:kern w:val="0"/>
                      <w:sz w:val="18"/>
                      <w:szCs w:val="18"/>
                      <w:u w:val="single"/>
                    </w:rPr>
                  </w:pPr>
                  <w:r>
                    <w:rPr>
                      <w:rFonts w:hint="eastAsia"/>
                      <w:b/>
                      <w:bCs/>
                      <w:sz w:val="18"/>
                      <w:szCs w:val="18"/>
                      <w:u w:val="single"/>
                    </w:rPr>
                    <w:t>甲醇、硫化氢</w:t>
                  </w:r>
                </w:p>
              </w:tc>
              <w:tc>
                <w:tcPr>
                  <w:tcW w:w="2489" w:type="pct"/>
                  <w:gridSpan w:val="2"/>
                  <w:vAlign w:val="center"/>
                </w:tcPr>
                <w:p w14:paraId="0254311C">
                  <w:pPr>
                    <w:jc w:val="center"/>
                    <w:rPr>
                      <w:b/>
                      <w:bCs/>
                      <w:sz w:val="18"/>
                      <w:szCs w:val="18"/>
                      <w:u w:val="single"/>
                    </w:rPr>
                  </w:pPr>
                  <w:r>
                    <w:rPr>
                      <w:rFonts w:hint="eastAsia"/>
                      <w:b/>
                      <w:bCs/>
                      <w:sz w:val="18"/>
                      <w:szCs w:val="18"/>
                      <w:u w:val="single"/>
                    </w:rPr>
                    <w:t>经</w:t>
                  </w:r>
                  <w:r>
                    <w:rPr>
                      <w:rFonts w:hint="eastAsia"/>
                      <w:b/>
                      <w:bCs/>
                      <w:sz w:val="18"/>
                      <w:szCs w:val="18"/>
                      <w:u w:val="single"/>
                      <w:lang w:val="en-US" w:eastAsia="zh-CN"/>
                    </w:rPr>
                    <w:t>30</w:t>
                  </w:r>
                  <w:r>
                    <w:rPr>
                      <w:rFonts w:hint="eastAsia"/>
                      <w:b/>
                      <w:bCs/>
                      <w:sz w:val="18"/>
                      <w:szCs w:val="18"/>
                      <w:u w:val="single"/>
                    </w:rPr>
                    <w:t>m高排气筒排放</w:t>
                  </w:r>
                </w:p>
              </w:tc>
            </w:tr>
            <w:tr w14:paraId="217019E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8" w:type="pct"/>
                  <w:vMerge w:val="continue"/>
                  <w:vAlign w:val="center"/>
                </w:tcPr>
                <w:p w14:paraId="7BE20F3F">
                  <w:pPr>
                    <w:autoSpaceDE w:val="0"/>
                    <w:autoSpaceDN w:val="0"/>
                    <w:jc w:val="center"/>
                    <w:rPr>
                      <w:b/>
                      <w:bCs/>
                      <w:kern w:val="0"/>
                      <w:sz w:val="18"/>
                      <w:szCs w:val="18"/>
                      <w:u w:val="single"/>
                      <w:lang w:val="zh-CN"/>
                    </w:rPr>
                  </w:pPr>
                </w:p>
              </w:tc>
              <w:tc>
                <w:tcPr>
                  <w:tcW w:w="1080" w:type="pct"/>
                  <w:vAlign w:val="center"/>
                </w:tcPr>
                <w:p w14:paraId="2A6FD481">
                  <w:pPr>
                    <w:jc w:val="center"/>
                    <w:rPr>
                      <w:b/>
                      <w:bCs/>
                      <w:kern w:val="0"/>
                      <w:sz w:val="18"/>
                      <w:szCs w:val="18"/>
                      <w:u w:val="single"/>
                      <w:lang w:val="zh-CN"/>
                    </w:rPr>
                  </w:pPr>
                  <w:r>
                    <w:rPr>
                      <w:rFonts w:hint="eastAsia"/>
                      <w:b/>
                      <w:bCs/>
                      <w:sz w:val="18"/>
                      <w:szCs w:val="18"/>
                      <w:u w:val="single"/>
                    </w:rPr>
                    <w:t>氨提纯尾气</w:t>
                  </w:r>
                </w:p>
              </w:tc>
              <w:tc>
                <w:tcPr>
                  <w:tcW w:w="1061" w:type="pct"/>
                  <w:vAlign w:val="center"/>
                </w:tcPr>
                <w:p w14:paraId="1F383301">
                  <w:pPr>
                    <w:jc w:val="center"/>
                    <w:rPr>
                      <w:b/>
                      <w:bCs/>
                      <w:kern w:val="0"/>
                      <w:sz w:val="18"/>
                      <w:szCs w:val="18"/>
                      <w:u w:val="single"/>
                      <w:lang w:val="zh-CN"/>
                    </w:rPr>
                  </w:pPr>
                  <w:r>
                    <w:rPr>
                      <w:rFonts w:hint="eastAsia"/>
                      <w:b/>
                      <w:bCs/>
                      <w:sz w:val="18"/>
                      <w:szCs w:val="18"/>
                      <w:u w:val="single"/>
                    </w:rPr>
                    <w:t>氨</w:t>
                  </w:r>
                </w:p>
              </w:tc>
              <w:tc>
                <w:tcPr>
                  <w:tcW w:w="1346" w:type="pct"/>
                  <w:vAlign w:val="center"/>
                </w:tcPr>
                <w:p w14:paraId="4A09748B">
                  <w:pPr>
                    <w:jc w:val="center"/>
                    <w:rPr>
                      <w:b/>
                      <w:bCs/>
                      <w:sz w:val="18"/>
                      <w:szCs w:val="18"/>
                      <w:u w:val="single"/>
                    </w:rPr>
                  </w:pPr>
                  <w:r>
                    <w:rPr>
                      <w:rFonts w:hint="eastAsia"/>
                      <w:b/>
                      <w:bCs/>
                      <w:sz w:val="18"/>
                      <w:szCs w:val="18"/>
                      <w:u w:val="single"/>
                    </w:rPr>
                    <w:t>开停机时采用超级吸氨器+两级吸氨器；正常运行时仅采用两级吸氨器</w:t>
                  </w:r>
                </w:p>
              </w:tc>
              <w:tc>
                <w:tcPr>
                  <w:tcW w:w="1143" w:type="pct"/>
                  <w:vMerge w:val="restart"/>
                  <w:vAlign w:val="center"/>
                </w:tcPr>
                <w:p w14:paraId="67C8E7C3">
                  <w:pPr>
                    <w:jc w:val="center"/>
                    <w:rPr>
                      <w:b/>
                      <w:bCs/>
                      <w:sz w:val="18"/>
                      <w:szCs w:val="18"/>
                      <w:u w:val="single"/>
                    </w:rPr>
                  </w:pPr>
                  <w:r>
                    <w:rPr>
                      <w:rFonts w:hint="eastAsia"/>
                      <w:b/>
                      <w:bCs/>
                      <w:sz w:val="18"/>
                      <w:szCs w:val="18"/>
                      <w:u w:val="single"/>
                    </w:rPr>
                    <w:t>三级水喷淋吸收塔</w:t>
                  </w:r>
                  <w:r>
                    <w:rPr>
                      <w:b/>
                      <w:bCs/>
                      <w:sz w:val="18"/>
                      <w:szCs w:val="18"/>
                      <w:u w:val="single"/>
                    </w:rPr>
                    <w:t>+15m高塔排放</w:t>
                  </w:r>
                </w:p>
              </w:tc>
            </w:tr>
            <w:tr w14:paraId="22D5287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8" w:type="pct"/>
                  <w:vMerge w:val="continue"/>
                  <w:vAlign w:val="center"/>
                </w:tcPr>
                <w:p w14:paraId="649F7D20">
                  <w:pPr>
                    <w:autoSpaceDE w:val="0"/>
                    <w:autoSpaceDN w:val="0"/>
                    <w:jc w:val="center"/>
                    <w:rPr>
                      <w:b/>
                      <w:bCs/>
                      <w:kern w:val="0"/>
                      <w:sz w:val="18"/>
                      <w:szCs w:val="18"/>
                      <w:u w:val="single"/>
                      <w:lang w:val="zh-CN"/>
                    </w:rPr>
                  </w:pPr>
                </w:p>
              </w:tc>
              <w:tc>
                <w:tcPr>
                  <w:tcW w:w="1080" w:type="pct"/>
                  <w:vAlign w:val="center"/>
                </w:tcPr>
                <w:p w14:paraId="55902145">
                  <w:pPr>
                    <w:jc w:val="center"/>
                    <w:rPr>
                      <w:b/>
                      <w:bCs/>
                      <w:sz w:val="18"/>
                      <w:szCs w:val="18"/>
                      <w:u w:val="single"/>
                    </w:rPr>
                  </w:pPr>
                  <w:r>
                    <w:rPr>
                      <w:rFonts w:hint="eastAsia"/>
                      <w:b/>
                      <w:bCs/>
                      <w:sz w:val="18"/>
                      <w:szCs w:val="18"/>
                      <w:u w:val="single"/>
                    </w:rPr>
                    <w:t>储罐呼吸废气</w:t>
                  </w:r>
                </w:p>
              </w:tc>
              <w:tc>
                <w:tcPr>
                  <w:tcW w:w="1061" w:type="pct"/>
                  <w:vAlign w:val="center"/>
                </w:tcPr>
                <w:p w14:paraId="15593C72">
                  <w:pPr>
                    <w:jc w:val="center"/>
                    <w:rPr>
                      <w:b/>
                      <w:bCs/>
                      <w:sz w:val="18"/>
                      <w:szCs w:val="18"/>
                      <w:highlight w:val="none"/>
                      <w:u w:val="single"/>
                    </w:rPr>
                  </w:pPr>
                  <w:r>
                    <w:rPr>
                      <w:rFonts w:hint="eastAsia"/>
                      <w:b/>
                      <w:bCs/>
                      <w:sz w:val="18"/>
                      <w:szCs w:val="18"/>
                      <w:highlight w:val="none"/>
                      <w:u w:val="single"/>
                    </w:rPr>
                    <w:t>氨</w:t>
                  </w:r>
                </w:p>
              </w:tc>
              <w:tc>
                <w:tcPr>
                  <w:tcW w:w="1346" w:type="pct"/>
                  <w:vAlign w:val="center"/>
                </w:tcPr>
                <w:p w14:paraId="1B7095DE">
                  <w:pPr>
                    <w:jc w:val="center"/>
                    <w:rPr>
                      <w:b/>
                      <w:bCs/>
                      <w:sz w:val="18"/>
                      <w:szCs w:val="18"/>
                      <w:highlight w:val="none"/>
                      <w:u w:val="single"/>
                    </w:rPr>
                  </w:pPr>
                  <w:r>
                    <w:rPr>
                      <w:rFonts w:hint="eastAsia"/>
                      <w:b/>
                      <w:bCs/>
                      <w:sz w:val="18"/>
                      <w:szCs w:val="18"/>
                      <w:highlight w:val="none"/>
                      <w:u w:val="single"/>
                    </w:rPr>
                    <w:t>/</w:t>
                  </w:r>
                </w:p>
              </w:tc>
              <w:tc>
                <w:tcPr>
                  <w:tcW w:w="1143" w:type="pct"/>
                  <w:vMerge w:val="continue"/>
                  <w:vAlign w:val="center"/>
                </w:tcPr>
                <w:p w14:paraId="49321ED2">
                  <w:pPr>
                    <w:jc w:val="center"/>
                    <w:rPr>
                      <w:b/>
                      <w:bCs/>
                      <w:u w:val="single"/>
                    </w:rPr>
                  </w:pPr>
                </w:p>
              </w:tc>
            </w:tr>
            <w:tr w14:paraId="1DEA881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8" w:type="pct"/>
                  <w:vMerge w:val="restart"/>
                  <w:vAlign w:val="center"/>
                </w:tcPr>
                <w:p w14:paraId="667E56B0">
                  <w:pPr>
                    <w:autoSpaceDE w:val="0"/>
                    <w:autoSpaceDN w:val="0"/>
                    <w:jc w:val="center"/>
                    <w:rPr>
                      <w:b/>
                      <w:bCs/>
                      <w:kern w:val="0"/>
                      <w:sz w:val="18"/>
                      <w:szCs w:val="18"/>
                      <w:u w:val="single"/>
                      <w:lang w:val="zh-CN" w:eastAsia="en-US"/>
                    </w:rPr>
                  </w:pPr>
                  <w:r>
                    <w:rPr>
                      <w:b/>
                      <w:bCs/>
                      <w:kern w:val="0"/>
                      <w:sz w:val="18"/>
                      <w:szCs w:val="18"/>
                      <w:u w:val="single"/>
                      <w:lang w:val="zh-CN" w:eastAsia="en-US"/>
                    </w:rPr>
                    <w:t>废水</w:t>
                  </w:r>
                </w:p>
              </w:tc>
              <w:tc>
                <w:tcPr>
                  <w:tcW w:w="1080" w:type="pct"/>
                  <w:vAlign w:val="center"/>
                </w:tcPr>
                <w:p w14:paraId="17D088A3">
                  <w:pPr>
                    <w:adjustRightInd w:val="0"/>
                    <w:snapToGrid w:val="0"/>
                    <w:jc w:val="center"/>
                    <w:rPr>
                      <w:b/>
                      <w:bCs/>
                      <w:sz w:val="18"/>
                      <w:szCs w:val="18"/>
                      <w:u w:val="single"/>
                    </w:rPr>
                  </w:pPr>
                  <w:r>
                    <w:rPr>
                      <w:rFonts w:hint="eastAsia"/>
                      <w:b/>
                      <w:bCs/>
                      <w:sz w:val="18"/>
                      <w:szCs w:val="18"/>
                      <w:u w:val="single"/>
                    </w:rPr>
                    <w:t>循环冷却水排水</w:t>
                  </w:r>
                </w:p>
              </w:tc>
              <w:tc>
                <w:tcPr>
                  <w:tcW w:w="1061" w:type="pct"/>
                  <w:vAlign w:val="center"/>
                </w:tcPr>
                <w:p w14:paraId="3616A1DE">
                  <w:pPr>
                    <w:adjustRightInd w:val="0"/>
                    <w:snapToGrid w:val="0"/>
                    <w:jc w:val="center"/>
                    <w:rPr>
                      <w:b/>
                      <w:bCs/>
                      <w:sz w:val="18"/>
                      <w:szCs w:val="18"/>
                      <w:u w:val="single"/>
                    </w:rPr>
                  </w:pPr>
                  <w:r>
                    <w:rPr>
                      <w:rFonts w:hint="eastAsia"/>
                      <w:b/>
                      <w:bCs/>
                      <w:sz w:val="18"/>
                      <w:szCs w:val="18"/>
                      <w:u w:val="single"/>
                    </w:rPr>
                    <w:t>/</w:t>
                  </w:r>
                </w:p>
              </w:tc>
              <w:tc>
                <w:tcPr>
                  <w:tcW w:w="2489" w:type="pct"/>
                  <w:gridSpan w:val="2"/>
                  <w:vAlign w:val="center"/>
                </w:tcPr>
                <w:p w14:paraId="1D4C9486">
                  <w:pPr>
                    <w:adjustRightInd w:val="0"/>
                    <w:snapToGrid w:val="0"/>
                    <w:jc w:val="center"/>
                    <w:rPr>
                      <w:b/>
                      <w:bCs/>
                      <w:kern w:val="0"/>
                      <w:sz w:val="18"/>
                      <w:szCs w:val="18"/>
                      <w:u w:val="single"/>
                      <w:lang w:val="zh-CN"/>
                    </w:rPr>
                  </w:pPr>
                  <w:r>
                    <w:rPr>
                      <w:rFonts w:hint="eastAsia"/>
                      <w:b/>
                      <w:bCs/>
                      <w:kern w:val="0"/>
                      <w:sz w:val="18"/>
                      <w:szCs w:val="18"/>
                      <w:u w:val="single"/>
                      <w:lang w:val="zh-CN"/>
                    </w:rPr>
                    <w:t>经园区污水管网送至平顶山首创水务有限公司（平顶山市第三污水处理厂）</w:t>
                  </w:r>
                </w:p>
              </w:tc>
            </w:tr>
            <w:tr w14:paraId="740AF91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8" w:type="pct"/>
                  <w:vMerge w:val="continue"/>
                  <w:vAlign w:val="center"/>
                </w:tcPr>
                <w:p w14:paraId="49747330">
                  <w:pPr>
                    <w:autoSpaceDE w:val="0"/>
                    <w:autoSpaceDN w:val="0"/>
                    <w:jc w:val="center"/>
                    <w:rPr>
                      <w:b/>
                      <w:bCs/>
                      <w:kern w:val="0"/>
                      <w:sz w:val="18"/>
                      <w:szCs w:val="18"/>
                      <w:u w:val="single"/>
                      <w:lang w:val="zh-CN"/>
                    </w:rPr>
                  </w:pPr>
                </w:p>
              </w:tc>
              <w:tc>
                <w:tcPr>
                  <w:tcW w:w="1080" w:type="pct"/>
                  <w:vAlign w:val="center"/>
                </w:tcPr>
                <w:p w14:paraId="1373CA30">
                  <w:pPr>
                    <w:adjustRightInd w:val="0"/>
                    <w:snapToGrid w:val="0"/>
                    <w:jc w:val="center"/>
                    <w:rPr>
                      <w:b/>
                      <w:bCs/>
                      <w:sz w:val="18"/>
                      <w:szCs w:val="18"/>
                      <w:u w:val="single"/>
                    </w:rPr>
                  </w:pPr>
                  <w:r>
                    <w:rPr>
                      <w:rFonts w:hint="eastAsia"/>
                      <w:b/>
                      <w:bCs/>
                      <w:sz w:val="18"/>
                      <w:szCs w:val="18"/>
                      <w:u w:val="single"/>
                    </w:rPr>
                    <w:t>生活污水</w:t>
                  </w:r>
                </w:p>
              </w:tc>
              <w:tc>
                <w:tcPr>
                  <w:tcW w:w="1061" w:type="pct"/>
                  <w:vAlign w:val="center"/>
                </w:tcPr>
                <w:p w14:paraId="5C204D6E">
                  <w:pPr>
                    <w:adjustRightInd w:val="0"/>
                    <w:snapToGrid w:val="0"/>
                    <w:jc w:val="center"/>
                    <w:rPr>
                      <w:b/>
                      <w:bCs/>
                      <w:kern w:val="0"/>
                      <w:sz w:val="18"/>
                      <w:szCs w:val="18"/>
                      <w:u w:val="single"/>
                    </w:rPr>
                  </w:pPr>
                  <w:r>
                    <w:rPr>
                      <w:rFonts w:hint="eastAsia"/>
                      <w:b/>
                      <w:bCs/>
                      <w:sz w:val="18"/>
                      <w:szCs w:val="18"/>
                      <w:u w:val="single"/>
                    </w:rPr>
                    <w:t>COD、氨氮、SS</w:t>
                  </w:r>
                  <w:r>
                    <w:rPr>
                      <w:rStyle w:val="33"/>
                      <w:rFonts w:hint="eastAsia"/>
                      <w:b/>
                      <w:bCs/>
                      <w:kern w:val="0"/>
                      <w:sz w:val="18"/>
                      <w:szCs w:val="18"/>
                      <w:u w:val="single"/>
                    </w:rPr>
                    <w:t>、总磷</w:t>
                  </w:r>
                </w:p>
              </w:tc>
              <w:tc>
                <w:tcPr>
                  <w:tcW w:w="2489" w:type="pct"/>
                  <w:gridSpan w:val="2"/>
                  <w:vAlign w:val="center"/>
                </w:tcPr>
                <w:p w14:paraId="5E47656D">
                  <w:pPr>
                    <w:adjustRightInd w:val="0"/>
                    <w:snapToGrid w:val="0"/>
                    <w:jc w:val="center"/>
                    <w:rPr>
                      <w:b/>
                      <w:bCs/>
                      <w:kern w:val="0"/>
                      <w:sz w:val="18"/>
                      <w:szCs w:val="18"/>
                      <w:u w:val="single"/>
                      <w:lang w:val="zh-CN"/>
                    </w:rPr>
                  </w:pPr>
                  <w:r>
                    <w:rPr>
                      <w:rFonts w:hint="eastAsia"/>
                      <w:b/>
                      <w:bCs/>
                      <w:kern w:val="0"/>
                      <w:sz w:val="18"/>
                      <w:szCs w:val="18"/>
                      <w:u w:val="single"/>
                      <w:lang w:val="zh-CN"/>
                    </w:rPr>
                    <w:t>生活污水经化粪池处理后经园区污水管网送至平顶山首创水务有限公司（平顶山市第三污水处理厂）</w:t>
                  </w:r>
                </w:p>
              </w:tc>
            </w:tr>
            <w:tr w14:paraId="5318491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8" w:type="pct"/>
                  <w:vMerge w:val="restart"/>
                  <w:vAlign w:val="center"/>
                </w:tcPr>
                <w:p w14:paraId="6402AFCF">
                  <w:pPr>
                    <w:autoSpaceDE w:val="0"/>
                    <w:autoSpaceDN w:val="0"/>
                    <w:jc w:val="center"/>
                    <w:rPr>
                      <w:b/>
                      <w:bCs/>
                      <w:kern w:val="0"/>
                      <w:sz w:val="18"/>
                      <w:szCs w:val="18"/>
                      <w:u w:val="single"/>
                      <w:lang w:val="zh-CN" w:eastAsia="en-US"/>
                    </w:rPr>
                  </w:pPr>
                  <w:r>
                    <w:rPr>
                      <w:b/>
                      <w:bCs/>
                      <w:kern w:val="0"/>
                      <w:sz w:val="18"/>
                      <w:szCs w:val="18"/>
                      <w:u w:val="single"/>
                      <w:lang w:val="zh-CN" w:eastAsia="en-US"/>
                    </w:rPr>
                    <w:t>固废</w:t>
                  </w:r>
                </w:p>
              </w:tc>
              <w:tc>
                <w:tcPr>
                  <w:tcW w:w="1080" w:type="pct"/>
                  <w:vAlign w:val="center"/>
                </w:tcPr>
                <w:p w14:paraId="561F8AEA">
                  <w:pPr>
                    <w:pStyle w:val="45"/>
                    <w:rPr>
                      <w:rFonts w:hint="default"/>
                      <w:b/>
                      <w:bCs/>
                      <w:kern w:val="0"/>
                      <w:szCs w:val="18"/>
                      <w:u w:val="single"/>
                      <w:lang w:val="zh-CN"/>
                    </w:rPr>
                  </w:pPr>
                  <w:r>
                    <w:rPr>
                      <w:b/>
                      <w:bCs/>
                      <w:u w:val="single"/>
                    </w:rPr>
                    <w:t>原料贮存</w:t>
                  </w:r>
                </w:p>
              </w:tc>
              <w:tc>
                <w:tcPr>
                  <w:tcW w:w="1061" w:type="pct"/>
                  <w:vAlign w:val="center"/>
                </w:tcPr>
                <w:p w14:paraId="1321105F">
                  <w:pPr>
                    <w:pStyle w:val="45"/>
                    <w:rPr>
                      <w:rFonts w:hint="default"/>
                      <w:b/>
                      <w:bCs/>
                      <w:kern w:val="0"/>
                      <w:szCs w:val="18"/>
                      <w:u w:val="single"/>
                    </w:rPr>
                  </w:pPr>
                  <w:r>
                    <w:rPr>
                      <w:b/>
                      <w:bCs/>
                      <w:u w:val="single"/>
                    </w:rPr>
                    <w:t>一般废包装</w:t>
                  </w:r>
                </w:p>
              </w:tc>
              <w:tc>
                <w:tcPr>
                  <w:tcW w:w="2489" w:type="pct"/>
                  <w:gridSpan w:val="2"/>
                  <w:vMerge w:val="restart"/>
                  <w:vAlign w:val="center"/>
                </w:tcPr>
                <w:p w14:paraId="767DCC6C">
                  <w:pPr>
                    <w:autoSpaceDE w:val="0"/>
                    <w:autoSpaceDN w:val="0"/>
                    <w:jc w:val="center"/>
                    <w:rPr>
                      <w:b/>
                      <w:bCs/>
                      <w:kern w:val="0"/>
                      <w:sz w:val="18"/>
                      <w:szCs w:val="18"/>
                      <w:u w:val="single"/>
                      <w:lang w:val="zh-CN" w:eastAsia="en-US"/>
                    </w:rPr>
                  </w:pPr>
                  <w:r>
                    <w:rPr>
                      <w:rFonts w:hint="eastAsia"/>
                      <w:b/>
                      <w:bCs/>
                      <w:kern w:val="0"/>
                      <w:sz w:val="18"/>
                      <w:szCs w:val="18"/>
                      <w:u w:val="single"/>
                      <w:lang w:val="zh-CN" w:eastAsia="en-US"/>
                    </w:rPr>
                    <w:t>经收集后，定期外售</w:t>
                  </w:r>
                </w:p>
              </w:tc>
            </w:tr>
            <w:tr w14:paraId="13FDF19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8" w:type="pct"/>
                  <w:vMerge w:val="continue"/>
                  <w:vAlign w:val="center"/>
                </w:tcPr>
                <w:p w14:paraId="65B9BD5E">
                  <w:pPr>
                    <w:autoSpaceDE w:val="0"/>
                    <w:autoSpaceDN w:val="0"/>
                    <w:jc w:val="center"/>
                    <w:rPr>
                      <w:b/>
                      <w:bCs/>
                      <w:kern w:val="0"/>
                      <w:sz w:val="18"/>
                      <w:szCs w:val="18"/>
                      <w:u w:val="single"/>
                      <w:lang w:val="zh-CN" w:eastAsia="en-US"/>
                    </w:rPr>
                  </w:pPr>
                </w:p>
              </w:tc>
              <w:tc>
                <w:tcPr>
                  <w:tcW w:w="1080" w:type="pct"/>
                  <w:vAlign w:val="center"/>
                </w:tcPr>
                <w:p w14:paraId="21A2A534">
                  <w:pPr>
                    <w:pStyle w:val="45"/>
                    <w:rPr>
                      <w:rFonts w:hint="default"/>
                      <w:b/>
                      <w:bCs/>
                      <w:szCs w:val="18"/>
                      <w:u w:val="single"/>
                    </w:rPr>
                  </w:pPr>
                  <w:r>
                    <w:rPr>
                      <w:b/>
                      <w:bCs/>
                      <w:u w:val="single"/>
                    </w:rPr>
                    <w:t>粗/精脱硫塔</w:t>
                  </w:r>
                </w:p>
              </w:tc>
              <w:tc>
                <w:tcPr>
                  <w:tcW w:w="1061" w:type="pct"/>
                  <w:vAlign w:val="center"/>
                </w:tcPr>
                <w:p w14:paraId="77A87E80">
                  <w:pPr>
                    <w:pStyle w:val="45"/>
                    <w:rPr>
                      <w:rFonts w:hint="default"/>
                      <w:b/>
                      <w:bCs/>
                      <w:szCs w:val="18"/>
                      <w:u w:val="single"/>
                    </w:rPr>
                  </w:pPr>
                  <w:r>
                    <w:rPr>
                      <w:b/>
                      <w:bCs/>
                      <w:u w:val="single"/>
                    </w:rPr>
                    <w:t>废脱硫剂</w:t>
                  </w:r>
                </w:p>
              </w:tc>
              <w:tc>
                <w:tcPr>
                  <w:tcW w:w="2489" w:type="pct"/>
                  <w:gridSpan w:val="2"/>
                  <w:vMerge w:val="continue"/>
                  <w:vAlign w:val="center"/>
                </w:tcPr>
                <w:p w14:paraId="1609E0B3">
                  <w:pPr>
                    <w:autoSpaceDE w:val="0"/>
                    <w:autoSpaceDN w:val="0"/>
                    <w:jc w:val="center"/>
                    <w:rPr>
                      <w:b/>
                      <w:bCs/>
                      <w:kern w:val="0"/>
                      <w:sz w:val="18"/>
                      <w:szCs w:val="18"/>
                      <w:u w:val="single"/>
                      <w:lang w:val="zh-CN" w:eastAsia="en-US"/>
                    </w:rPr>
                  </w:pPr>
                </w:p>
              </w:tc>
            </w:tr>
            <w:tr w14:paraId="1C7DC49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8" w:type="pct"/>
                  <w:vMerge w:val="continue"/>
                  <w:vAlign w:val="center"/>
                </w:tcPr>
                <w:p w14:paraId="102A2166">
                  <w:pPr>
                    <w:autoSpaceDE w:val="0"/>
                    <w:autoSpaceDN w:val="0"/>
                    <w:jc w:val="center"/>
                    <w:rPr>
                      <w:b/>
                      <w:bCs/>
                      <w:kern w:val="0"/>
                      <w:sz w:val="18"/>
                      <w:szCs w:val="18"/>
                      <w:u w:val="single"/>
                      <w:lang w:val="zh-CN" w:eastAsia="en-US"/>
                    </w:rPr>
                  </w:pPr>
                </w:p>
              </w:tc>
              <w:tc>
                <w:tcPr>
                  <w:tcW w:w="1080" w:type="pct"/>
                  <w:vAlign w:val="center"/>
                </w:tcPr>
                <w:p w14:paraId="3B4FFCFA">
                  <w:pPr>
                    <w:pStyle w:val="45"/>
                    <w:rPr>
                      <w:rFonts w:hint="default"/>
                      <w:b/>
                      <w:bCs/>
                      <w:kern w:val="0"/>
                      <w:szCs w:val="18"/>
                      <w:u w:val="single"/>
                      <w:lang w:val="zh-CN"/>
                    </w:rPr>
                  </w:pPr>
                  <w:r>
                    <w:rPr>
                      <w:b/>
                      <w:bCs/>
                      <w:u w:val="single"/>
                    </w:rPr>
                    <w:t>吸附塔</w:t>
                  </w:r>
                </w:p>
              </w:tc>
              <w:tc>
                <w:tcPr>
                  <w:tcW w:w="1061" w:type="pct"/>
                  <w:vAlign w:val="center"/>
                </w:tcPr>
                <w:p w14:paraId="06A8E222">
                  <w:pPr>
                    <w:pStyle w:val="45"/>
                    <w:rPr>
                      <w:rFonts w:hint="default"/>
                      <w:b/>
                      <w:bCs/>
                      <w:kern w:val="0"/>
                      <w:szCs w:val="18"/>
                      <w:u w:val="single"/>
                      <w:lang w:val="zh-CN"/>
                    </w:rPr>
                  </w:pPr>
                  <w:r>
                    <w:rPr>
                      <w:b/>
                      <w:bCs/>
                      <w:u w:val="single"/>
                    </w:rPr>
                    <w:t>废分子筛</w:t>
                  </w:r>
                </w:p>
              </w:tc>
              <w:tc>
                <w:tcPr>
                  <w:tcW w:w="2489" w:type="pct"/>
                  <w:gridSpan w:val="2"/>
                  <w:vMerge w:val="continue"/>
                  <w:vAlign w:val="center"/>
                </w:tcPr>
                <w:p w14:paraId="17F7E7A1">
                  <w:pPr>
                    <w:jc w:val="center"/>
                    <w:rPr>
                      <w:b/>
                      <w:bCs/>
                      <w:kern w:val="0"/>
                      <w:sz w:val="18"/>
                      <w:szCs w:val="18"/>
                      <w:u w:val="single"/>
                      <w:lang w:val="zh-CN"/>
                    </w:rPr>
                  </w:pPr>
                </w:p>
              </w:tc>
            </w:tr>
            <w:tr w14:paraId="4EDABDA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8" w:type="pct"/>
                  <w:vMerge w:val="continue"/>
                  <w:vAlign w:val="center"/>
                </w:tcPr>
                <w:p w14:paraId="1FEB71B5">
                  <w:pPr>
                    <w:autoSpaceDE w:val="0"/>
                    <w:autoSpaceDN w:val="0"/>
                    <w:jc w:val="center"/>
                    <w:rPr>
                      <w:b/>
                      <w:bCs/>
                      <w:kern w:val="0"/>
                      <w:sz w:val="18"/>
                      <w:szCs w:val="18"/>
                      <w:u w:val="single"/>
                      <w:lang w:val="zh-CN" w:eastAsia="en-US"/>
                    </w:rPr>
                  </w:pPr>
                </w:p>
              </w:tc>
              <w:tc>
                <w:tcPr>
                  <w:tcW w:w="1080" w:type="pct"/>
                  <w:vAlign w:val="center"/>
                </w:tcPr>
                <w:p w14:paraId="2675DD9C">
                  <w:pPr>
                    <w:pStyle w:val="45"/>
                    <w:rPr>
                      <w:rFonts w:hint="default"/>
                      <w:b/>
                      <w:bCs/>
                      <w:szCs w:val="18"/>
                      <w:u w:val="single"/>
                    </w:rPr>
                  </w:pPr>
                  <w:r>
                    <w:rPr>
                      <w:b/>
                      <w:bCs/>
                      <w:u w:val="single"/>
                    </w:rPr>
                    <w:t>员工生活</w:t>
                  </w:r>
                </w:p>
              </w:tc>
              <w:tc>
                <w:tcPr>
                  <w:tcW w:w="1061" w:type="pct"/>
                  <w:vAlign w:val="center"/>
                </w:tcPr>
                <w:p w14:paraId="12C36DA3">
                  <w:pPr>
                    <w:pStyle w:val="45"/>
                    <w:rPr>
                      <w:rFonts w:hint="default"/>
                      <w:b/>
                      <w:bCs/>
                      <w:kern w:val="0"/>
                      <w:szCs w:val="18"/>
                      <w:u w:val="single"/>
                      <w:lang w:val="zh-CN"/>
                    </w:rPr>
                  </w:pPr>
                  <w:r>
                    <w:rPr>
                      <w:b/>
                      <w:bCs/>
                      <w:u w:val="single"/>
                    </w:rPr>
                    <w:t>生活垃圾</w:t>
                  </w:r>
                </w:p>
              </w:tc>
              <w:tc>
                <w:tcPr>
                  <w:tcW w:w="2489" w:type="pct"/>
                  <w:gridSpan w:val="2"/>
                  <w:vAlign w:val="center"/>
                </w:tcPr>
                <w:p w14:paraId="6E51B006">
                  <w:pPr>
                    <w:jc w:val="center"/>
                    <w:rPr>
                      <w:b/>
                      <w:bCs/>
                      <w:kern w:val="0"/>
                      <w:sz w:val="18"/>
                      <w:szCs w:val="18"/>
                      <w:u w:val="single"/>
                      <w:lang w:val="zh-CN"/>
                    </w:rPr>
                  </w:pPr>
                  <w:r>
                    <w:rPr>
                      <w:rFonts w:hint="eastAsia"/>
                      <w:b/>
                      <w:bCs/>
                      <w:kern w:val="0"/>
                      <w:sz w:val="18"/>
                      <w:szCs w:val="18"/>
                      <w:u w:val="single"/>
                      <w:lang w:val="zh-CN"/>
                    </w:rPr>
                    <w:t>交由环卫部门定期清运</w:t>
                  </w:r>
                </w:p>
              </w:tc>
            </w:tr>
            <w:tr w14:paraId="5ECEFDF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8" w:type="pct"/>
                  <w:vMerge w:val="continue"/>
                  <w:vAlign w:val="center"/>
                </w:tcPr>
                <w:p w14:paraId="38AAAA07">
                  <w:pPr>
                    <w:autoSpaceDE w:val="0"/>
                    <w:autoSpaceDN w:val="0"/>
                    <w:jc w:val="center"/>
                    <w:rPr>
                      <w:b/>
                      <w:bCs/>
                      <w:kern w:val="0"/>
                      <w:sz w:val="18"/>
                      <w:szCs w:val="18"/>
                      <w:u w:val="single"/>
                      <w:lang w:val="zh-CN"/>
                    </w:rPr>
                  </w:pPr>
                </w:p>
              </w:tc>
              <w:tc>
                <w:tcPr>
                  <w:tcW w:w="1080" w:type="pct"/>
                  <w:vAlign w:val="center"/>
                </w:tcPr>
                <w:p w14:paraId="064999C6">
                  <w:pPr>
                    <w:pStyle w:val="45"/>
                    <w:rPr>
                      <w:rFonts w:hint="default"/>
                      <w:b/>
                      <w:bCs/>
                      <w:u w:val="single"/>
                    </w:rPr>
                  </w:pPr>
                  <w:r>
                    <w:rPr>
                      <w:b/>
                      <w:bCs/>
                      <w:u w:val="single"/>
                    </w:rPr>
                    <w:t>设备维护</w:t>
                  </w:r>
                </w:p>
              </w:tc>
              <w:tc>
                <w:tcPr>
                  <w:tcW w:w="1061" w:type="pct"/>
                  <w:vAlign w:val="center"/>
                </w:tcPr>
                <w:p w14:paraId="509D027E">
                  <w:pPr>
                    <w:pStyle w:val="45"/>
                    <w:rPr>
                      <w:rFonts w:hint="default"/>
                      <w:b/>
                      <w:bCs/>
                      <w:u w:val="single"/>
                    </w:rPr>
                  </w:pPr>
                  <w:r>
                    <w:rPr>
                      <w:b/>
                      <w:bCs/>
                      <w:u w:val="single"/>
                    </w:rPr>
                    <w:t>废润滑油</w:t>
                  </w:r>
                </w:p>
              </w:tc>
              <w:tc>
                <w:tcPr>
                  <w:tcW w:w="2489" w:type="pct"/>
                  <w:gridSpan w:val="2"/>
                  <w:vMerge w:val="restart"/>
                  <w:vAlign w:val="center"/>
                </w:tcPr>
                <w:p w14:paraId="32757324">
                  <w:pPr>
                    <w:jc w:val="center"/>
                    <w:rPr>
                      <w:b/>
                      <w:bCs/>
                      <w:kern w:val="0"/>
                      <w:sz w:val="18"/>
                      <w:szCs w:val="18"/>
                      <w:u w:val="single"/>
                      <w:lang w:val="zh-CN"/>
                    </w:rPr>
                  </w:pPr>
                  <w:r>
                    <w:rPr>
                      <w:rFonts w:hint="eastAsia"/>
                      <w:b/>
                      <w:bCs/>
                      <w:kern w:val="0"/>
                      <w:sz w:val="18"/>
                      <w:szCs w:val="18"/>
                      <w:u w:val="single"/>
                      <w:lang w:val="zh-CN"/>
                    </w:rPr>
                    <w:t>委托资质单位处置</w:t>
                  </w:r>
                </w:p>
              </w:tc>
            </w:tr>
            <w:tr w14:paraId="61C50F4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8" w:type="pct"/>
                  <w:vMerge w:val="continue"/>
                  <w:vAlign w:val="center"/>
                </w:tcPr>
                <w:p w14:paraId="45F227C0">
                  <w:pPr>
                    <w:autoSpaceDE w:val="0"/>
                    <w:autoSpaceDN w:val="0"/>
                    <w:jc w:val="center"/>
                    <w:rPr>
                      <w:b/>
                      <w:bCs/>
                      <w:kern w:val="0"/>
                      <w:sz w:val="18"/>
                      <w:szCs w:val="18"/>
                      <w:u w:val="single"/>
                      <w:lang w:val="zh-CN" w:eastAsia="en-US"/>
                    </w:rPr>
                  </w:pPr>
                </w:p>
              </w:tc>
              <w:tc>
                <w:tcPr>
                  <w:tcW w:w="1080" w:type="pct"/>
                  <w:vAlign w:val="center"/>
                </w:tcPr>
                <w:p w14:paraId="75EBD8F9">
                  <w:pPr>
                    <w:pStyle w:val="45"/>
                    <w:rPr>
                      <w:rFonts w:hint="default"/>
                      <w:b/>
                      <w:bCs/>
                      <w:u w:val="single"/>
                    </w:rPr>
                  </w:pPr>
                  <w:r>
                    <w:rPr>
                      <w:b/>
                      <w:bCs/>
                      <w:u w:val="single"/>
                    </w:rPr>
                    <w:t>原料储存</w:t>
                  </w:r>
                </w:p>
              </w:tc>
              <w:tc>
                <w:tcPr>
                  <w:tcW w:w="1061" w:type="pct"/>
                  <w:vAlign w:val="center"/>
                </w:tcPr>
                <w:p w14:paraId="73EFBBB2">
                  <w:pPr>
                    <w:pStyle w:val="45"/>
                    <w:rPr>
                      <w:rFonts w:hint="default"/>
                      <w:b/>
                      <w:bCs/>
                      <w:u w:val="single"/>
                    </w:rPr>
                  </w:pPr>
                  <w:r>
                    <w:rPr>
                      <w:b/>
                      <w:bCs/>
                      <w:u w:val="single"/>
                    </w:rPr>
                    <w:t>废油桶</w:t>
                  </w:r>
                </w:p>
              </w:tc>
              <w:tc>
                <w:tcPr>
                  <w:tcW w:w="2489" w:type="pct"/>
                  <w:gridSpan w:val="2"/>
                  <w:vMerge w:val="continue"/>
                  <w:vAlign w:val="center"/>
                </w:tcPr>
                <w:p w14:paraId="4F008397">
                  <w:pPr>
                    <w:jc w:val="center"/>
                    <w:rPr>
                      <w:b/>
                      <w:bCs/>
                      <w:kern w:val="0"/>
                      <w:sz w:val="18"/>
                      <w:szCs w:val="18"/>
                      <w:u w:val="single"/>
                      <w:lang w:val="zh-CN"/>
                    </w:rPr>
                  </w:pPr>
                </w:p>
              </w:tc>
            </w:tr>
            <w:tr w14:paraId="45FFB1C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8" w:type="pct"/>
                  <w:vMerge w:val="continue"/>
                  <w:vAlign w:val="center"/>
                </w:tcPr>
                <w:p w14:paraId="5FE8AF79">
                  <w:pPr>
                    <w:autoSpaceDE w:val="0"/>
                    <w:autoSpaceDN w:val="0"/>
                    <w:jc w:val="center"/>
                    <w:rPr>
                      <w:b/>
                      <w:bCs/>
                      <w:kern w:val="0"/>
                      <w:sz w:val="18"/>
                      <w:szCs w:val="18"/>
                      <w:u w:val="single"/>
                      <w:lang w:val="zh-CN" w:eastAsia="en-US"/>
                    </w:rPr>
                  </w:pPr>
                </w:p>
              </w:tc>
              <w:tc>
                <w:tcPr>
                  <w:tcW w:w="1080" w:type="pct"/>
                  <w:vAlign w:val="center"/>
                </w:tcPr>
                <w:p w14:paraId="7CA09F21">
                  <w:pPr>
                    <w:jc w:val="center"/>
                    <w:rPr>
                      <w:b/>
                      <w:bCs/>
                      <w:sz w:val="18"/>
                      <w:szCs w:val="18"/>
                      <w:u w:val="single"/>
                    </w:rPr>
                  </w:pPr>
                  <w:r>
                    <w:rPr>
                      <w:rFonts w:hint="eastAsia"/>
                      <w:b/>
                      <w:bCs/>
                      <w:sz w:val="18"/>
                      <w:szCs w:val="18"/>
                      <w:u w:val="single"/>
                    </w:rPr>
                    <w:t>职工办公生活</w:t>
                  </w:r>
                </w:p>
              </w:tc>
              <w:tc>
                <w:tcPr>
                  <w:tcW w:w="1061" w:type="pct"/>
                  <w:vAlign w:val="center"/>
                </w:tcPr>
                <w:p w14:paraId="39059D97">
                  <w:pPr>
                    <w:jc w:val="center"/>
                    <w:rPr>
                      <w:b/>
                      <w:bCs/>
                      <w:sz w:val="18"/>
                      <w:szCs w:val="18"/>
                      <w:u w:val="single"/>
                    </w:rPr>
                  </w:pPr>
                  <w:r>
                    <w:rPr>
                      <w:rFonts w:hint="eastAsia"/>
                      <w:b/>
                      <w:bCs/>
                      <w:sz w:val="18"/>
                      <w:szCs w:val="18"/>
                      <w:u w:val="single"/>
                    </w:rPr>
                    <w:t>生活垃圾</w:t>
                  </w:r>
                </w:p>
              </w:tc>
              <w:tc>
                <w:tcPr>
                  <w:tcW w:w="2489" w:type="pct"/>
                  <w:gridSpan w:val="2"/>
                  <w:vAlign w:val="center"/>
                </w:tcPr>
                <w:p w14:paraId="277B7336">
                  <w:pPr>
                    <w:jc w:val="center"/>
                    <w:rPr>
                      <w:b/>
                      <w:bCs/>
                      <w:kern w:val="0"/>
                      <w:sz w:val="18"/>
                      <w:szCs w:val="18"/>
                      <w:u w:val="single"/>
                      <w:lang w:val="zh-CN"/>
                    </w:rPr>
                  </w:pPr>
                  <w:r>
                    <w:rPr>
                      <w:rFonts w:hint="eastAsia"/>
                      <w:b/>
                      <w:bCs/>
                      <w:kern w:val="0"/>
                      <w:sz w:val="18"/>
                      <w:szCs w:val="18"/>
                      <w:u w:val="single"/>
                      <w:lang w:val="zh-CN"/>
                    </w:rPr>
                    <w:t>交由环卫部门统一清运</w:t>
                  </w:r>
                </w:p>
              </w:tc>
            </w:tr>
            <w:tr w14:paraId="5F8862A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8" w:type="pct"/>
                  <w:vMerge w:val="restart"/>
                  <w:vAlign w:val="center"/>
                </w:tcPr>
                <w:p w14:paraId="7D545DAF">
                  <w:pPr>
                    <w:autoSpaceDE w:val="0"/>
                    <w:autoSpaceDN w:val="0"/>
                    <w:jc w:val="center"/>
                    <w:rPr>
                      <w:b/>
                      <w:bCs/>
                      <w:kern w:val="0"/>
                      <w:sz w:val="18"/>
                      <w:szCs w:val="18"/>
                      <w:u w:val="single"/>
                      <w:lang w:val="zh-CN" w:eastAsia="en-US"/>
                    </w:rPr>
                  </w:pPr>
                  <w:r>
                    <w:rPr>
                      <w:b/>
                      <w:bCs/>
                      <w:kern w:val="0"/>
                      <w:sz w:val="18"/>
                      <w:szCs w:val="18"/>
                      <w:u w:val="single"/>
                      <w:lang w:val="zh-CN" w:eastAsia="en-US"/>
                    </w:rPr>
                    <w:t>噪声</w:t>
                  </w:r>
                </w:p>
              </w:tc>
              <w:tc>
                <w:tcPr>
                  <w:tcW w:w="1080" w:type="pct"/>
                  <w:vAlign w:val="center"/>
                </w:tcPr>
                <w:p w14:paraId="289AF178">
                  <w:pPr>
                    <w:autoSpaceDE w:val="0"/>
                    <w:autoSpaceDN w:val="0"/>
                    <w:jc w:val="center"/>
                    <w:rPr>
                      <w:b/>
                      <w:bCs/>
                      <w:kern w:val="0"/>
                      <w:sz w:val="18"/>
                      <w:szCs w:val="18"/>
                      <w:u w:val="single"/>
                      <w:lang w:val="zh-CN"/>
                    </w:rPr>
                  </w:pPr>
                  <w:r>
                    <w:rPr>
                      <w:b/>
                      <w:bCs/>
                      <w:kern w:val="0"/>
                      <w:sz w:val="18"/>
                      <w:szCs w:val="18"/>
                      <w:u w:val="single"/>
                      <w:lang w:val="zh-CN"/>
                    </w:rPr>
                    <w:t>机械设备运转</w:t>
                  </w:r>
                </w:p>
              </w:tc>
              <w:tc>
                <w:tcPr>
                  <w:tcW w:w="1061" w:type="pct"/>
                  <w:vAlign w:val="center"/>
                </w:tcPr>
                <w:p w14:paraId="5B2E5BD6">
                  <w:pPr>
                    <w:autoSpaceDE w:val="0"/>
                    <w:autoSpaceDN w:val="0"/>
                    <w:jc w:val="center"/>
                    <w:rPr>
                      <w:b/>
                      <w:bCs/>
                      <w:kern w:val="0"/>
                      <w:sz w:val="18"/>
                      <w:szCs w:val="18"/>
                      <w:u w:val="single"/>
                      <w:lang w:val="zh-CN"/>
                    </w:rPr>
                  </w:pPr>
                  <w:r>
                    <w:rPr>
                      <w:b/>
                      <w:bCs/>
                      <w:kern w:val="0"/>
                      <w:sz w:val="18"/>
                      <w:szCs w:val="18"/>
                      <w:u w:val="single"/>
                      <w:lang w:val="zh-CN"/>
                    </w:rPr>
                    <w:t>机械噪声</w:t>
                  </w:r>
                </w:p>
              </w:tc>
              <w:tc>
                <w:tcPr>
                  <w:tcW w:w="2489" w:type="pct"/>
                  <w:gridSpan w:val="2"/>
                  <w:vAlign w:val="center"/>
                </w:tcPr>
                <w:p w14:paraId="1C861961">
                  <w:pPr>
                    <w:autoSpaceDE w:val="0"/>
                    <w:autoSpaceDN w:val="0"/>
                    <w:jc w:val="center"/>
                    <w:rPr>
                      <w:b/>
                      <w:bCs/>
                      <w:kern w:val="0"/>
                      <w:sz w:val="18"/>
                      <w:szCs w:val="18"/>
                      <w:u w:val="single"/>
                      <w:lang w:val="zh-CN" w:eastAsia="en-US"/>
                    </w:rPr>
                  </w:pPr>
                  <w:r>
                    <w:rPr>
                      <w:b/>
                      <w:bCs/>
                      <w:kern w:val="0"/>
                      <w:sz w:val="18"/>
                      <w:szCs w:val="18"/>
                      <w:u w:val="single"/>
                      <w:lang w:val="zh-CN" w:eastAsia="en-US"/>
                    </w:rPr>
                    <w:t>基础减振、厂房隔声</w:t>
                  </w:r>
                </w:p>
              </w:tc>
            </w:tr>
            <w:tr w14:paraId="563B104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8" w:type="pct"/>
                  <w:vMerge w:val="continue"/>
                  <w:vAlign w:val="center"/>
                </w:tcPr>
                <w:p w14:paraId="0E3D4DEE">
                  <w:pPr>
                    <w:autoSpaceDE w:val="0"/>
                    <w:autoSpaceDN w:val="0"/>
                    <w:jc w:val="center"/>
                    <w:rPr>
                      <w:b/>
                      <w:bCs/>
                      <w:kern w:val="0"/>
                      <w:sz w:val="18"/>
                      <w:szCs w:val="18"/>
                      <w:u w:val="single"/>
                      <w:lang w:val="zh-CN" w:eastAsia="en-US"/>
                    </w:rPr>
                  </w:pPr>
                </w:p>
              </w:tc>
              <w:tc>
                <w:tcPr>
                  <w:tcW w:w="1080" w:type="pct"/>
                  <w:vAlign w:val="center"/>
                </w:tcPr>
                <w:p w14:paraId="60E34BD8">
                  <w:pPr>
                    <w:jc w:val="center"/>
                    <w:rPr>
                      <w:b/>
                      <w:bCs/>
                      <w:kern w:val="0"/>
                      <w:sz w:val="18"/>
                      <w:szCs w:val="18"/>
                      <w:u w:val="single"/>
                      <w:lang w:val="zh-CN"/>
                    </w:rPr>
                  </w:pPr>
                  <w:r>
                    <w:rPr>
                      <w:b/>
                      <w:bCs/>
                      <w:sz w:val="18"/>
                      <w:szCs w:val="18"/>
                      <w:u w:val="single"/>
                    </w:rPr>
                    <w:t>风机</w:t>
                  </w:r>
                  <w:r>
                    <w:rPr>
                      <w:rFonts w:hint="eastAsia"/>
                      <w:b/>
                      <w:bCs/>
                      <w:sz w:val="18"/>
                      <w:szCs w:val="18"/>
                      <w:u w:val="single"/>
                    </w:rPr>
                    <w:t>、空压机等</w:t>
                  </w:r>
                  <w:r>
                    <w:rPr>
                      <w:b/>
                      <w:bCs/>
                      <w:sz w:val="18"/>
                      <w:szCs w:val="18"/>
                      <w:u w:val="single"/>
                    </w:rPr>
                    <w:t>运转</w:t>
                  </w:r>
                </w:p>
              </w:tc>
              <w:tc>
                <w:tcPr>
                  <w:tcW w:w="1061" w:type="pct"/>
                  <w:vAlign w:val="center"/>
                </w:tcPr>
                <w:p w14:paraId="0AE19A01">
                  <w:pPr>
                    <w:jc w:val="center"/>
                    <w:rPr>
                      <w:b/>
                      <w:bCs/>
                      <w:kern w:val="0"/>
                      <w:sz w:val="18"/>
                      <w:szCs w:val="18"/>
                      <w:u w:val="single"/>
                      <w:lang w:val="zh-CN"/>
                    </w:rPr>
                  </w:pPr>
                  <w:r>
                    <w:rPr>
                      <w:b/>
                      <w:bCs/>
                      <w:sz w:val="18"/>
                      <w:szCs w:val="18"/>
                      <w:u w:val="single"/>
                    </w:rPr>
                    <w:t>空气动力性噪声</w:t>
                  </w:r>
                </w:p>
              </w:tc>
              <w:tc>
                <w:tcPr>
                  <w:tcW w:w="2489" w:type="pct"/>
                  <w:gridSpan w:val="2"/>
                  <w:vAlign w:val="center"/>
                </w:tcPr>
                <w:p w14:paraId="0BDDC77F">
                  <w:pPr>
                    <w:adjustRightInd w:val="0"/>
                    <w:snapToGrid w:val="0"/>
                    <w:jc w:val="center"/>
                    <w:rPr>
                      <w:b/>
                      <w:bCs/>
                      <w:kern w:val="0"/>
                      <w:sz w:val="18"/>
                      <w:szCs w:val="18"/>
                      <w:u w:val="single"/>
                      <w:lang w:val="zh-CN"/>
                    </w:rPr>
                  </w:pPr>
                  <w:r>
                    <w:rPr>
                      <w:b/>
                      <w:bCs/>
                      <w:sz w:val="18"/>
                      <w:szCs w:val="18"/>
                      <w:u w:val="single"/>
                    </w:rPr>
                    <w:t>基础减振、设置隔声罩、厂房隔声</w:t>
                  </w:r>
                </w:p>
              </w:tc>
            </w:tr>
          </w:tbl>
          <w:p w14:paraId="32EC5606">
            <w:pPr>
              <w:pStyle w:val="5"/>
              <w:tabs>
                <w:tab w:val="left" w:pos="0"/>
              </w:tabs>
              <w:ind w:firstLine="0" w:firstLineChars="0"/>
              <w:rPr>
                <w:rFonts w:hint="default" w:cstheme="majorBidi"/>
                <w:b w:val="0"/>
                <w:bCs w:val="0"/>
                <w:szCs w:val="32"/>
                <w:u w:val="none"/>
              </w:rPr>
            </w:pPr>
          </w:p>
        </w:tc>
      </w:tr>
      <w:tr w14:paraId="621A17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34" w:type="dxa"/>
            <w:tcBorders>
              <w:top w:val="single" w:color="auto" w:sz="4" w:space="0"/>
              <w:left w:val="single" w:color="auto" w:sz="8" w:space="0"/>
              <w:bottom w:val="single" w:color="auto" w:sz="8" w:space="0"/>
              <w:right w:val="single" w:color="auto" w:sz="4" w:space="0"/>
            </w:tcBorders>
            <w:vAlign w:val="center"/>
          </w:tcPr>
          <w:p w14:paraId="1B5A6ED3">
            <w:pPr>
              <w:rPr>
                <w:b w:val="0"/>
                <w:bCs w:val="0"/>
                <w:u w:val="none"/>
              </w:rPr>
            </w:pPr>
            <w:r>
              <w:rPr>
                <w:rFonts w:hint="eastAsia"/>
                <w:b w:val="0"/>
                <w:bCs w:val="0"/>
                <w:u w:val="none"/>
              </w:rPr>
              <w:t>与项目有关的原有环境污染问题</w:t>
            </w:r>
          </w:p>
        </w:tc>
        <w:tc>
          <w:tcPr>
            <w:tcW w:w="7782" w:type="dxa"/>
            <w:tcBorders>
              <w:top w:val="single" w:color="auto" w:sz="4" w:space="0"/>
              <w:left w:val="single" w:color="auto" w:sz="4" w:space="0"/>
              <w:bottom w:val="single" w:color="auto" w:sz="8" w:space="0"/>
              <w:right w:val="single" w:color="auto" w:sz="8" w:space="0"/>
            </w:tcBorders>
            <w:vAlign w:val="center"/>
          </w:tcPr>
          <w:p w14:paraId="775A6679">
            <w:pPr>
              <w:pStyle w:val="15"/>
              <w:ind w:left="0" w:firstLine="0"/>
              <w:jc w:val="center"/>
              <w:rPr>
                <w:b w:val="0"/>
                <w:bCs w:val="0"/>
                <w:u w:val="none"/>
              </w:rPr>
            </w:pPr>
            <w:r>
              <w:rPr>
                <w:b w:val="0"/>
                <w:bCs w:val="0"/>
                <w:u w:val="none"/>
              </w:rPr>
              <w:t>无</w:t>
            </w:r>
          </w:p>
        </w:tc>
      </w:tr>
    </w:tbl>
    <w:p w14:paraId="1DFC1194">
      <w:pPr>
        <w:pStyle w:val="15"/>
        <w:rPr>
          <w:b w:val="0"/>
          <w:bCs w:val="0"/>
          <w:u w:val="none"/>
        </w:rPr>
      </w:pPr>
    </w:p>
    <w:p w14:paraId="6604EE9A">
      <w:pPr>
        <w:rPr>
          <w:b w:val="0"/>
          <w:bCs w:val="0"/>
          <w:u w:val="none"/>
        </w:rPr>
        <w:sectPr>
          <w:footerReference r:id="rId5" w:type="default"/>
          <w:pgSz w:w="11906" w:h="16838"/>
          <w:pgMar w:top="1440" w:right="1803" w:bottom="1440" w:left="1803" w:header="851" w:footer="992" w:gutter="0"/>
          <w:cols w:space="0" w:num="1"/>
          <w:docGrid w:type="lines" w:linePitch="332" w:charSpace="0"/>
        </w:sectPr>
      </w:pPr>
    </w:p>
    <w:p w14:paraId="7B699AF8">
      <w:pPr>
        <w:pStyle w:val="3"/>
        <w:rPr>
          <w:b w:val="0"/>
          <w:bCs w:val="0"/>
          <w:u w:val="none"/>
        </w:rPr>
      </w:pPr>
      <w:r>
        <w:rPr>
          <w:rFonts w:hint="eastAsia"/>
          <w:b w:val="0"/>
          <w:bCs w:val="0"/>
          <w:u w:val="none"/>
        </w:rPr>
        <w:t>区域环境质量现状、环境保护目标及评价标准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299"/>
      </w:tblGrid>
      <w:tr w14:paraId="5EB5EE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691" w:type="dxa"/>
            <w:tcBorders>
              <w:top w:val="single" w:color="auto" w:sz="8" w:space="0"/>
              <w:left w:val="single" w:color="auto" w:sz="8" w:space="0"/>
              <w:bottom w:val="single" w:color="auto" w:sz="4" w:space="0"/>
              <w:right w:val="single" w:color="auto" w:sz="4" w:space="0"/>
            </w:tcBorders>
            <w:vAlign w:val="center"/>
          </w:tcPr>
          <w:p w14:paraId="1D6B20DE">
            <w:pPr>
              <w:rPr>
                <w:b w:val="0"/>
                <w:bCs w:val="0"/>
                <w:u w:val="none"/>
              </w:rPr>
            </w:pPr>
            <w:r>
              <w:rPr>
                <w:rFonts w:hint="eastAsia"/>
                <w:b w:val="0"/>
                <w:bCs w:val="0"/>
                <w:u w:val="none"/>
              </w:rPr>
              <w:t>区域环境质量现状</w:t>
            </w:r>
          </w:p>
        </w:tc>
        <w:tc>
          <w:tcPr>
            <w:tcW w:w="8299" w:type="dxa"/>
            <w:tcBorders>
              <w:top w:val="single" w:color="auto" w:sz="8" w:space="0"/>
              <w:left w:val="single" w:color="auto" w:sz="4" w:space="0"/>
              <w:bottom w:val="single" w:color="auto" w:sz="4" w:space="0"/>
              <w:right w:val="single" w:color="auto" w:sz="8" w:space="0"/>
            </w:tcBorders>
            <w:vAlign w:val="center"/>
          </w:tcPr>
          <w:p w14:paraId="31D8B965">
            <w:pPr>
              <w:pStyle w:val="4"/>
              <w:numPr>
                <w:ilvl w:val="1"/>
                <w:numId w:val="7"/>
              </w:numPr>
              <w:tabs>
                <w:tab w:val="left" w:pos="0"/>
              </w:tabs>
              <w:rPr>
                <w:b w:val="0"/>
                <w:bCs w:val="0"/>
                <w:u w:val="none"/>
              </w:rPr>
            </w:pPr>
            <w:r>
              <w:rPr>
                <w:rFonts w:hint="eastAsia"/>
                <w:b w:val="0"/>
                <w:bCs w:val="0"/>
                <w:u w:val="none"/>
              </w:rPr>
              <w:t>环境空气质量现状</w:t>
            </w:r>
          </w:p>
          <w:p w14:paraId="624D1BE0">
            <w:pPr>
              <w:pStyle w:val="5"/>
              <w:ind w:firstLine="422"/>
              <w:rPr>
                <w:rFonts w:hint="default"/>
                <w:b w:val="0"/>
                <w:bCs w:val="0"/>
                <w:u w:val="none"/>
              </w:rPr>
            </w:pPr>
            <w:r>
              <w:rPr>
                <w:b w:val="0"/>
                <w:bCs w:val="0"/>
                <w:u w:val="none"/>
              </w:rPr>
              <w:t>本项目位于平顶山尼龙新材料产业集聚区，为环境空气质量二类区域，项目环境空气质量现状数据引用平顶山市生态环境局《叶县成功创建国家空气质量二级达标县》中2023年的叶县环境空气质量数据，统计结果见下表。</w:t>
            </w:r>
          </w:p>
          <w:p w14:paraId="43334574">
            <w:pPr>
              <w:pStyle w:val="44"/>
              <w:numPr>
                <w:ilvl w:val="0"/>
                <w:numId w:val="2"/>
              </w:numPr>
              <w:rPr>
                <w:rFonts w:hint="default"/>
                <w:b w:val="0"/>
                <w:bCs w:val="0"/>
                <w:u w:val="none"/>
              </w:rPr>
            </w:pPr>
            <w:r>
              <w:rPr>
                <w:rFonts w:hint="default"/>
                <w:b w:val="0"/>
                <w:bCs w:val="0"/>
                <w:u w:val="none"/>
              </w:rPr>
              <w:t>叶县202</w:t>
            </w:r>
            <w:r>
              <w:rPr>
                <w:b w:val="0"/>
                <w:bCs w:val="0"/>
                <w:u w:val="none"/>
              </w:rPr>
              <w:t>3</w:t>
            </w:r>
            <w:r>
              <w:rPr>
                <w:rFonts w:hint="default"/>
                <w:b w:val="0"/>
                <w:bCs w:val="0"/>
                <w:u w:val="none"/>
              </w:rPr>
              <w:t>年监测数据统计结果</w:t>
            </w:r>
          </w:p>
          <w:tbl>
            <w:tblPr>
              <w:tblStyle w:val="2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68" w:type="dxa"/>
                <w:left w:w="108" w:type="dxa"/>
                <w:bottom w:w="68" w:type="dxa"/>
                <w:right w:w="108" w:type="dxa"/>
              </w:tblCellMar>
            </w:tblPr>
            <w:tblGrid>
              <w:gridCol w:w="1163"/>
              <w:gridCol w:w="2069"/>
              <w:gridCol w:w="1371"/>
              <w:gridCol w:w="1288"/>
              <w:gridCol w:w="1164"/>
              <w:gridCol w:w="1028"/>
            </w:tblGrid>
            <w:tr w14:paraId="541938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68" w:type="dxa"/>
                  <w:left w:w="108" w:type="dxa"/>
                  <w:bottom w:w="68" w:type="dxa"/>
                  <w:right w:w="108" w:type="dxa"/>
                </w:tblCellMar>
              </w:tblPrEx>
              <w:trPr>
                <w:trHeight w:val="340" w:hRule="atLeast"/>
                <w:jc w:val="center"/>
              </w:trPr>
              <w:tc>
                <w:tcPr>
                  <w:tcW w:w="719" w:type="pct"/>
                  <w:tcBorders>
                    <w:tl2br w:val="nil"/>
                    <w:tr2bl w:val="nil"/>
                  </w:tcBorders>
                  <w:vAlign w:val="center"/>
                </w:tcPr>
                <w:p w14:paraId="20FC4E41">
                  <w:pPr>
                    <w:pStyle w:val="45"/>
                    <w:rPr>
                      <w:rFonts w:hint="default"/>
                      <w:b w:val="0"/>
                      <w:bCs w:val="0"/>
                      <w:u w:val="none"/>
                    </w:rPr>
                  </w:pPr>
                  <w:r>
                    <w:rPr>
                      <w:rFonts w:hint="default"/>
                      <w:b w:val="0"/>
                      <w:bCs w:val="0"/>
                      <w:u w:val="none"/>
                    </w:rPr>
                    <w:t>污染物</w:t>
                  </w:r>
                </w:p>
              </w:tc>
              <w:tc>
                <w:tcPr>
                  <w:tcW w:w="1278" w:type="pct"/>
                  <w:tcBorders>
                    <w:tl2br w:val="nil"/>
                    <w:tr2bl w:val="nil"/>
                  </w:tcBorders>
                  <w:tcMar>
                    <w:top w:w="57" w:type="dxa"/>
                    <w:left w:w="108" w:type="dxa"/>
                    <w:bottom w:w="57" w:type="dxa"/>
                    <w:right w:w="108" w:type="dxa"/>
                  </w:tcMar>
                  <w:vAlign w:val="center"/>
                </w:tcPr>
                <w:p w14:paraId="0A52E8A9">
                  <w:pPr>
                    <w:pStyle w:val="45"/>
                    <w:rPr>
                      <w:rFonts w:hint="default"/>
                      <w:b w:val="0"/>
                      <w:bCs w:val="0"/>
                      <w:u w:val="none"/>
                    </w:rPr>
                  </w:pPr>
                  <w:r>
                    <w:rPr>
                      <w:rFonts w:hint="default"/>
                      <w:b w:val="0"/>
                      <w:bCs w:val="0"/>
                      <w:u w:val="none"/>
                    </w:rPr>
                    <w:t>年评价指标</w:t>
                  </w:r>
                </w:p>
              </w:tc>
              <w:tc>
                <w:tcPr>
                  <w:tcW w:w="848" w:type="pct"/>
                  <w:tcBorders>
                    <w:tl2br w:val="nil"/>
                    <w:tr2bl w:val="nil"/>
                  </w:tcBorders>
                  <w:vAlign w:val="center"/>
                </w:tcPr>
                <w:p w14:paraId="29B45517">
                  <w:pPr>
                    <w:pStyle w:val="45"/>
                    <w:rPr>
                      <w:rFonts w:hint="default"/>
                      <w:b w:val="0"/>
                      <w:bCs w:val="0"/>
                      <w:u w:val="none"/>
                    </w:rPr>
                  </w:pPr>
                  <w:r>
                    <w:rPr>
                      <w:rFonts w:hint="default"/>
                      <w:b w:val="0"/>
                      <w:bCs w:val="0"/>
                      <w:u w:val="none"/>
                    </w:rPr>
                    <w:t>现状浓度</w:t>
                  </w:r>
                </w:p>
                <w:p w14:paraId="063127F4">
                  <w:pPr>
                    <w:pStyle w:val="45"/>
                    <w:rPr>
                      <w:rFonts w:hint="default"/>
                      <w:b w:val="0"/>
                      <w:bCs w:val="0"/>
                      <w:u w:val="none"/>
                    </w:rPr>
                  </w:pPr>
                  <w:r>
                    <w:rPr>
                      <w:rFonts w:hint="default"/>
                      <w:b w:val="0"/>
                      <w:bCs w:val="0"/>
                      <w:u w:val="none"/>
                    </w:rPr>
                    <w:t>μg/m</w:t>
                  </w:r>
                  <w:r>
                    <w:rPr>
                      <w:rFonts w:hint="default"/>
                      <w:b w:val="0"/>
                      <w:bCs w:val="0"/>
                      <w:u w:val="none"/>
                      <w:vertAlign w:val="superscript"/>
                    </w:rPr>
                    <w:t>3</w:t>
                  </w:r>
                </w:p>
              </w:tc>
              <w:tc>
                <w:tcPr>
                  <w:tcW w:w="797" w:type="pct"/>
                  <w:tcBorders>
                    <w:tl2br w:val="nil"/>
                    <w:tr2bl w:val="nil"/>
                  </w:tcBorders>
                  <w:vAlign w:val="center"/>
                </w:tcPr>
                <w:p w14:paraId="26D671E4">
                  <w:pPr>
                    <w:pStyle w:val="45"/>
                    <w:rPr>
                      <w:rFonts w:hint="default"/>
                      <w:b w:val="0"/>
                      <w:bCs w:val="0"/>
                      <w:u w:val="none"/>
                    </w:rPr>
                  </w:pPr>
                  <w:r>
                    <w:rPr>
                      <w:rFonts w:hint="default"/>
                      <w:b w:val="0"/>
                      <w:bCs w:val="0"/>
                      <w:u w:val="none"/>
                    </w:rPr>
                    <w:t>标准值</w:t>
                  </w:r>
                </w:p>
                <w:p w14:paraId="0BDBFECA">
                  <w:pPr>
                    <w:pStyle w:val="45"/>
                    <w:rPr>
                      <w:rFonts w:hint="default"/>
                      <w:b w:val="0"/>
                      <w:bCs w:val="0"/>
                      <w:u w:val="none"/>
                    </w:rPr>
                  </w:pPr>
                  <w:r>
                    <w:rPr>
                      <w:rFonts w:hint="default"/>
                      <w:b w:val="0"/>
                      <w:bCs w:val="0"/>
                      <w:u w:val="none"/>
                    </w:rPr>
                    <w:t>μg/m</w:t>
                  </w:r>
                  <w:r>
                    <w:rPr>
                      <w:rFonts w:hint="default"/>
                      <w:b w:val="0"/>
                      <w:bCs w:val="0"/>
                      <w:u w:val="none"/>
                      <w:vertAlign w:val="superscript"/>
                    </w:rPr>
                    <w:t>3</w:t>
                  </w:r>
                </w:p>
              </w:tc>
              <w:tc>
                <w:tcPr>
                  <w:tcW w:w="720" w:type="pct"/>
                  <w:tcBorders>
                    <w:tl2br w:val="nil"/>
                    <w:tr2bl w:val="nil"/>
                  </w:tcBorders>
                  <w:vAlign w:val="center"/>
                </w:tcPr>
                <w:p w14:paraId="11CA3F63">
                  <w:pPr>
                    <w:pStyle w:val="45"/>
                    <w:rPr>
                      <w:rFonts w:hint="default"/>
                      <w:b w:val="0"/>
                      <w:bCs w:val="0"/>
                      <w:u w:val="none"/>
                    </w:rPr>
                  </w:pPr>
                  <w:r>
                    <w:rPr>
                      <w:rFonts w:hint="default"/>
                      <w:b w:val="0"/>
                      <w:bCs w:val="0"/>
                      <w:u w:val="none"/>
                    </w:rPr>
                    <w:t>占标率%</w:t>
                  </w:r>
                </w:p>
              </w:tc>
              <w:tc>
                <w:tcPr>
                  <w:tcW w:w="636" w:type="pct"/>
                  <w:tcBorders>
                    <w:tl2br w:val="nil"/>
                    <w:tr2bl w:val="nil"/>
                  </w:tcBorders>
                  <w:vAlign w:val="center"/>
                </w:tcPr>
                <w:p w14:paraId="16EE6EB1">
                  <w:pPr>
                    <w:pStyle w:val="45"/>
                    <w:rPr>
                      <w:rFonts w:hint="default"/>
                      <w:b w:val="0"/>
                      <w:bCs w:val="0"/>
                      <w:u w:val="none"/>
                    </w:rPr>
                  </w:pPr>
                  <w:r>
                    <w:rPr>
                      <w:rFonts w:hint="default"/>
                      <w:b w:val="0"/>
                      <w:bCs w:val="0"/>
                      <w:u w:val="none"/>
                    </w:rPr>
                    <w:t>达标情况</w:t>
                  </w:r>
                </w:p>
              </w:tc>
            </w:tr>
            <w:tr w14:paraId="42A83D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68" w:type="dxa"/>
                  <w:left w:w="108" w:type="dxa"/>
                  <w:bottom w:w="68" w:type="dxa"/>
                  <w:right w:w="108" w:type="dxa"/>
                </w:tblCellMar>
              </w:tblPrEx>
              <w:trPr>
                <w:trHeight w:val="340" w:hRule="atLeast"/>
                <w:jc w:val="center"/>
              </w:trPr>
              <w:tc>
                <w:tcPr>
                  <w:tcW w:w="719" w:type="pct"/>
                  <w:tcBorders>
                    <w:tl2br w:val="nil"/>
                    <w:tr2bl w:val="nil"/>
                  </w:tcBorders>
                  <w:vAlign w:val="center"/>
                </w:tcPr>
                <w:p w14:paraId="66A68750">
                  <w:pPr>
                    <w:pStyle w:val="45"/>
                    <w:rPr>
                      <w:rFonts w:hint="default"/>
                      <w:b w:val="0"/>
                      <w:bCs w:val="0"/>
                      <w:u w:val="none"/>
                    </w:rPr>
                  </w:pPr>
                  <w:r>
                    <w:rPr>
                      <w:rFonts w:hint="default"/>
                      <w:b w:val="0"/>
                      <w:bCs w:val="0"/>
                      <w:u w:val="none"/>
                    </w:rPr>
                    <w:t>PM</w:t>
                  </w:r>
                  <w:r>
                    <w:rPr>
                      <w:rFonts w:hint="default"/>
                      <w:b w:val="0"/>
                      <w:bCs w:val="0"/>
                      <w:u w:val="none"/>
                      <w:vertAlign w:val="subscript"/>
                    </w:rPr>
                    <w:t>2.5</w:t>
                  </w:r>
                </w:p>
              </w:tc>
              <w:tc>
                <w:tcPr>
                  <w:tcW w:w="1278" w:type="pct"/>
                  <w:tcBorders>
                    <w:tl2br w:val="nil"/>
                    <w:tr2bl w:val="nil"/>
                  </w:tcBorders>
                  <w:tcMar>
                    <w:top w:w="57" w:type="dxa"/>
                    <w:left w:w="108" w:type="dxa"/>
                    <w:bottom w:w="57" w:type="dxa"/>
                    <w:right w:w="108" w:type="dxa"/>
                  </w:tcMar>
                  <w:vAlign w:val="center"/>
                </w:tcPr>
                <w:p w14:paraId="1DA207E5">
                  <w:pPr>
                    <w:pStyle w:val="45"/>
                    <w:rPr>
                      <w:rFonts w:hint="default"/>
                      <w:b w:val="0"/>
                      <w:bCs w:val="0"/>
                      <w:u w:val="none"/>
                    </w:rPr>
                  </w:pPr>
                  <w:r>
                    <w:rPr>
                      <w:rFonts w:hint="default"/>
                      <w:b w:val="0"/>
                      <w:bCs w:val="0"/>
                      <w:u w:val="none"/>
                    </w:rPr>
                    <w:t>年平均质量浓度</w:t>
                  </w:r>
                </w:p>
              </w:tc>
              <w:tc>
                <w:tcPr>
                  <w:tcW w:w="848" w:type="pct"/>
                  <w:tcBorders>
                    <w:tl2br w:val="nil"/>
                    <w:tr2bl w:val="nil"/>
                  </w:tcBorders>
                  <w:vAlign w:val="center"/>
                </w:tcPr>
                <w:p w14:paraId="6C158B05">
                  <w:pPr>
                    <w:pStyle w:val="45"/>
                    <w:rPr>
                      <w:rFonts w:hint="default"/>
                      <w:b w:val="0"/>
                      <w:bCs w:val="0"/>
                      <w:u w:val="none"/>
                    </w:rPr>
                  </w:pPr>
                  <w:r>
                    <w:rPr>
                      <w:b w:val="0"/>
                      <w:bCs w:val="0"/>
                      <w:u w:val="none"/>
                    </w:rPr>
                    <w:t>35</w:t>
                  </w:r>
                </w:p>
              </w:tc>
              <w:tc>
                <w:tcPr>
                  <w:tcW w:w="797" w:type="pct"/>
                  <w:tcBorders>
                    <w:tl2br w:val="nil"/>
                    <w:tr2bl w:val="nil"/>
                  </w:tcBorders>
                  <w:vAlign w:val="center"/>
                </w:tcPr>
                <w:p w14:paraId="11832CD0">
                  <w:pPr>
                    <w:pStyle w:val="45"/>
                    <w:rPr>
                      <w:rFonts w:hint="default"/>
                      <w:b w:val="0"/>
                      <w:bCs w:val="0"/>
                      <w:u w:val="none"/>
                    </w:rPr>
                  </w:pPr>
                  <w:r>
                    <w:rPr>
                      <w:rFonts w:hint="default"/>
                      <w:b w:val="0"/>
                      <w:bCs w:val="0"/>
                      <w:u w:val="none"/>
                    </w:rPr>
                    <w:t>35</w:t>
                  </w:r>
                </w:p>
              </w:tc>
              <w:tc>
                <w:tcPr>
                  <w:tcW w:w="720" w:type="pct"/>
                  <w:tcBorders>
                    <w:tl2br w:val="nil"/>
                    <w:tr2bl w:val="nil"/>
                  </w:tcBorders>
                  <w:vAlign w:val="center"/>
                </w:tcPr>
                <w:p w14:paraId="705AF3E9">
                  <w:pPr>
                    <w:pStyle w:val="45"/>
                    <w:rPr>
                      <w:rFonts w:hint="default"/>
                      <w:b w:val="0"/>
                      <w:bCs w:val="0"/>
                      <w:u w:val="none"/>
                    </w:rPr>
                  </w:pPr>
                  <w:r>
                    <w:rPr>
                      <w:b w:val="0"/>
                      <w:bCs w:val="0"/>
                      <w:u w:val="none"/>
                    </w:rPr>
                    <w:t>100</w:t>
                  </w:r>
                </w:p>
              </w:tc>
              <w:tc>
                <w:tcPr>
                  <w:tcW w:w="636" w:type="pct"/>
                  <w:tcBorders>
                    <w:tl2br w:val="nil"/>
                    <w:tr2bl w:val="nil"/>
                  </w:tcBorders>
                  <w:vAlign w:val="center"/>
                </w:tcPr>
                <w:p w14:paraId="6C4C355E">
                  <w:pPr>
                    <w:pStyle w:val="45"/>
                    <w:rPr>
                      <w:rFonts w:hint="default"/>
                      <w:b w:val="0"/>
                      <w:bCs w:val="0"/>
                      <w:u w:val="none"/>
                    </w:rPr>
                  </w:pPr>
                  <w:r>
                    <w:rPr>
                      <w:rFonts w:hint="default"/>
                      <w:b w:val="0"/>
                      <w:bCs w:val="0"/>
                      <w:u w:val="none"/>
                    </w:rPr>
                    <w:t>超标</w:t>
                  </w:r>
                </w:p>
              </w:tc>
            </w:tr>
            <w:tr w14:paraId="79B880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atLeast"/>
                <w:jc w:val="center"/>
              </w:trPr>
              <w:tc>
                <w:tcPr>
                  <w:tcW w:w="719" w:type="pct"/>
                  <w:tcBorders>
                    <w:tl2br w:val="nil"/>
                    <w:tr2bl w:val="nil"/>
                  </w:tcBorders>
                  <w:vAlign w:val="center"/>
                </w:tcPr>
                <w:p w14:paraId="4B4F15EE">
                  <w:pPr>
                    <w:pStyle w:val="45"/>
                    <w:rPr>
                      <w:rFonts w:hint="default"/>
                      <w:b w:val="0"/>
                      <w:bCs w:val="0"/>
                      <w:u w:val="none"/>
                    </w:rPr>
                  </w:pPr>
                  <w:r>
                    <w:rPr>
                      <w:rFonts w:hint="default"/>
                      <w:b w:val="0"/>
                      <w:bCs w:val="0"/>
                      <w:u w:val="none"/>
                    </w:rPr>
                    <w:t>PM</w:t>
                  </w:r>
                  <w:r>
                    <w:rPr>
                      <w:rFonts w:hint="default"/>
                      <w:b w:val="0"/>
                      <w:bCs w:val="0"/>
                      <w:u w:val="none"/>
                      <w:vertAlign w:val="subscript"/>
                    </w:rPr>
                    <w:t>10</w:t>
                  </w:r>
                </w:p>
              </w:tc>
              <w:tc>
                <w:tcPr>
                  <w:tcW w:w="1278" w:type="pct"/>
                  <w:tcBorders>
                    <w:tl2br w:val="nil"/>
                    <w:tr2bl w:val="nil"/>
                  </w:tcBorders>
                  <w:tcMar>
                    <w:top w:w="57" w:type="dxa"/>
                    <w:left w:w="108" w:type="dxa"/>
                    <w:bottom w:w="57" w:type="dxa"/>
                    <w:right w:w="108" w:type="dxa"/>
                  </w:tcMar>
                  <w:vAlign w:val="center"/>
                </w:tcPr>
                <w:p w14:paraId="34092A06">
                  <w:pPr>
                    <w:pStyle w:val="45"/>
                    <w:rPr>
                      <w:rFonts w:hint="default"/>
                      <w:b w:val="0"/>
                      <w:bCs w:val="0"/>
                      <w:u w:val="none"/>
                    </w:rPr>
                  </w:pPr>
                  <w:r>
                    <w:rPr>
                      <w:rFonts w:hint="default"/>
                      <w:b w:val="0"/>
                      <w:bCs w:val="0"/>
                      <w:u w:val="none"/>
                    </w:rPr>
                    <w:t>年平均质量浓度</w:t>
                  </w:r>
                </w:p>
              </w:tc>
              <w:tc>
                <w:tcPr>
                  <w:tcW w:w="848" w:type="pct"/>
                  <w:tcBorders>
                    <w:tl2br w:val="nil"/>
                    <w:tr2bl w:val="nil"/>
                  </w:tcBorders>
                  <w:vAlign w:val="center"/>
                </w:tcPr>
                <w:p w14:paraId="5E9DE47F">
                  <w:pPr>
                    <w:pStyle w:val="45"/>
                    <w:rPr>
                      <w:rFonts w:hint="default"/>
                      <w:b w:val="0"/>
                      <w:bCs w:val="0"/>
                      <w:u w:val="none"/>
                    </w:rPr>
                  </w:pPr>
                  <w:r>
                    <w:rPr>
                      <w:b w:val="0"/>
                      <w:bCs w:val="0"/>
                      <w:u w:val="none"/>
                    </w:rPr>
                    <w:t>70</w:t>
                  </w:r>
                </w:p>
              </w:tc>
              <w:tc>
                <w:tcPr>
                  <w:tcW w:w="797" w:type="pct"/>
                  <w:tcBorders>
                    <w:tl2br w:val="nil"/>
                    <w:tr2bl w:val="nil"/>
                  </w:tcBorders>
                  <w:vAlign w:val="center"/>
                </w:tcPr>
                <w:p w14:paraId="6A53BE71">
                  <w:pPr>
                    <w:pStyle w:val="45"/>
                    <w:rPr>
                      <w:rFonts w:hint="default"/>
                      <w:b w:val="0"/>
                      <w:bCs w:val="0"/>
                      <w:u w:val="none"/>
                    </w:rPr>
                  </w:pPr>
                  <w:r>
                    <w:rPr>
                      <w:rFonts w:hint="default"/>
                      <w:b w:val="0"/>
                      <w:bCs w:val="0"/>
                      <w:u w:val="none"/>
                    </w:rPr>
                    <w:t>70</w:t>
                  </w:r>
                </w:p>
              </w:tc>
              <w:tc>
                <w:tcPr>
                  <w:tcW w:w="720" w:type="pct"/>
                  <w:tcBorders>
                    <w:tl2br w:val="nil"/>
                    <w:tr2bl w:val="nil"/>
                  </w:tcBorders>
                  <w:vAlign w:val="center"/>
                </w:tcPr>
                <w:p w14:paraId="29BDDAE1">
                  <w:pPr>
                    <w:pStyle w:val="45"/>
                    <w:rPr>
                      <w:rFonts w:hint="default"/>
                      <w:b w:val="0"/>
                      <w:bCs w:val="0"/>
                      <w:u w:val="none"/>
                    </w:rPr>
                  </w:pPr>
                  <w:r>
                    <w:rPr>
                      <w:b w:val="0"/>
                      <w:bCs w:val="0"/>
                      <w:u w:val="none"/>
                    </w:rPr>
                    <w:t>100</w:t>
                  </w:r>
                </w:p>
              </w:tc>
              <w:tc>
                <w:tcPr>
                  <w:tcW w:w="636" w:type="pct"/>
                  <w:tcBorders>
                    <w:tl2br w:val="nil"/>
                    <w:tr2bl w:val="nil"/>
                  </w:tcBorders>
                  <w:vAlign w:val="center"/>
                </w:tcPr>
                <w:p w14:paraId="7382BDCE">
                  <w:pPr>
                    <w:pStyle w:val="45"/>
                    <w:rPr>
                      <w:rFonts w:hint="default"/>
                      <w:b w:val="0"/>
                      <w:bCs w:val="0"/>
                      <w:u w:val="none"/>
                    </w:rPr>
                  </w:pPr>
                  <w:r>
                    <w:rPr>
                      <w:rFonts w:hint="default"/>
                      <w:b w:val="0"/>
                      <w:bCs w:val="0"/>
                      <w:u w:val="none"/>
                    </w:rPr>
                    <w:t>超标</w:t>
                  </w:r>
                </w:p>
              </w:tc>
            </w:tr>
            <w:tr w14:paraId="424AA0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68" w:type="dxa"/>
                  <w:left w:w="108" w:type="dxa"/>
                  <w:bottom w:w="68" w:type="dxa"/>
                  <w:right w:w="108" w:type="dxa"/>
                </w:tblCellMar>
              </w:tblPrEx>
              <w:trPr>
                <w:trHeight w:val="340" w:hRule="atLeast"/>
                <w:jc w:val="center"/>
              </w:trPr>
              <w:tc>
                <w:tcPr>
                  <w:tcW w:w="719" w:type="pct"/>
                  <w:tcBorders>
                    <w:tl2br w:val="nil"/>
                    <w:tr2bl w:val="nil"/>
                  </w:tcBorders>
                  <w:vAlign w:val="center"/>
                </w:tcPr>
                <w:p w14:paraId="36228692">
                  <w:pPr>
                    <w:pStyle w:val="45"/>
                    <w:rPr>
                      <w:rFonts w:hint="default"/>
                      <w:b w:val="0"/>
                      <w:bCs w:val="0"/>
                      <w:u w:val="none"/>
                    </w:rPr>
                  </w:pPr>
                  <w:r>
                    <w:rPr>
                      <w:rFonts w:hint="default"/>
                      <w:b w:val="0"/>
                      <w:bCs w:val="0"/>
                      <w:u w:val="none"/>
                    </w:rPr>
                    <w:t>SO</w:t>
                  </w:r>
                  <w:r>
                    <w:rPr>
                      <w:rFonts w:hint="default"/>
                      <w:b w:val="0"/>
                      <w:bCs w:val="0"/>
                      <w:u w:val="none"/>
                      <w:vertAlign w:val="subscript"/>
                    </w:rPr>
                    <w:t>2</w:t>
                  </w:r>
                </w:p>
              </w:tc>
              <w:tc>
                <w:tcPr>
                  <w:tcW w:w="1278" w:type="pct"/>
                  <w:tcBorders>
                    <w:tl2br w:val="nil"/>
                    <w:tr2bl w:val="nil"/>
                  </w:tcBorders>
                  <w:tcMar>
                    <w:top w:w="57" w:type="dxa"/>
                    <w:left w:w="108" w:type="dxa"/>
                    <w:bottom w:w="57" w:type="dxa"/>
                    <w:right w:w="108" w:type="dxa"/>
                  </w:tcMar>
                  <w:vAlign w:val="center"/>
                </w:tcPr>
                <w:p w14:paraId="65916DD2">
                  <w:pPr>
                    <w:pStyle w:val="45"/>
                    <w:rPr>
                      <w:rFonts w:hint="default"/>
                      <w:b w:val="0"/>
                      <w:bCs w:val="0"/>
                      <w:u w:val="none"/>
                    </w:rPr>
                  </w:pPr>
                  <w:r>
                    <w:rPr>
                      <w:rFonts w:hint="default"/>
                      <w:b w:val="0"/>
                      <w:bCs w:val="0"/>
                      <w:u w:val="none"/>
                    </w:rPr>
                    <w:t>年平均质量浓度</w:t>
                  </w:r>
                </w:p>
              </w:tc>
              <w:tc>
                <w:tcPr>
                  <w:tcW w:w="848" w:type="pct"/>
                  <w:tcBorders>
                    <w:tl2br w:val="nil"/>
                    <w:tr2bl w:val="nil"/>
                  </w:tcBorders>
                  <w:vAlign w:val="center"/>
                </w:tcPr>
                <w:p w14:paraId="172F08E1">
                  <w:pPr>
                    <w:pStyle w:val="45"/>
                    <w:rPr>
                      <w:rFonts w:hint="default"/>
                      <w:b w:val="0"/>
                      <w:bCs w:val="0"/>
                      <w:u w:val="none"/>
                    </w:rPr>
                  </w:pPr>
                  <w:r>
                    <w:rPr>
                      <w:b w:val="0"/>
                      <w:bCs w:val="0"/>
                      <w:u w:val="none"/>
                    </w:rPr>
                    <w:t>10</w:t>
                  </w:r>
                </w:p>
              </w:tc>
              <w:tc>
                <w:tcPr>
                  <w:tcW w:w="797" w:type="pct"/>
                  <w:tcBorders>
                    <w:tl2br w:val="nil"/>
                    <w:tr2bl w:val="nil"/>
                  </w:tcBorders>
                  <w:vAlign w:val="center"/>
                </w:tcPr>
                <w:p w14:paraId="02744F52">
                  <w:pPr>
                    <w:pStyle w:val="45"/>
                    <w:rPr>
                      <w:rFonts w:hint="default"/>
                      <w:b w:val="0"/>
                      <w:bCs w:val="0"/>
                      <w:u w:val="none"/>
                    </w:rPr>
                  </w:pPr>
                  <w:r>
                    <w:rPr>
                      <w:rFonts w:hint="default"/>
                      <w:b w:val="0"/>
                      <w:bCs w:val="0"/>
                      <w:u w:val="none"/>
                    </w:rPr>
                    <w:t>60</w:t>
                  </w:r>
                </w:p>
              </w:tc>
              <w:tc>
                <w:tcPr>
                  <w:tcW w:w="720" w:type="pct"/>
                  <w:tcBorders>
                    <w:tl2br w:val="nil"/>
                    <w:tr2bl w:val="nil"/>
                  </w:tcBorders>
                  <w:vAlign w:val="center"/>
                </w:tcPr>
                <w:p w14:paraId="4313BD61">
                  <w:pPr>
                    <w:pStyle w:val="45"/>
                    <w:rPr>
                      <w:rFonts w:hint="default"/>
                      <w:b w:val="0"/>
                      <w:bCs w:val="0"/>
                      <w:u w:val="none"/>
                    </w:rPr>
                  </w:pPr>
                  <w:r>
                    <w:rPr>
                      <w:rFonts w:hint="default"/>
                      <w:b w:val="0"/>
                      <w:bCs w:val="0"/>
                      <w:u w:val="none"/>
                    </w:rPr>
                    <w:t>13.33</w:t>
                  </w:r>
                </w:p>
              </w:tc>
              <w:tc>
                <w:tcPr>
                  <w:tcW w:w="636" w:type="pct"/>
                  <w:tcBorders>
                    <w:tl2br w:val="nil"/>
                    <w:tr2bl w:val="nil"/>
                  </w:tcBorders>
                  <w:vAlign w:val="center"/>
                </w:tcPr>
                <w:p w14:paraId="6754FBBE">
                  <w:pPr>
                    <w:pStyle w:val="45"/>
                    <w:rPr>
                      <w:rFonts w:hint="default"/>
                      <w:b w:val="0"/>
                      <w:bCs w:val="0"/>
                      <w:u w:val="none"/>
                    </w:rPr>
                  </w:pPr>
                  <w:r>
                    <w:rPr>
                      <w:rFonts w:hint="default"/>
                      <w:b w:val="0"/>
                      <w:bCs w:val="0"/>
                      <w:u w:val="none"/>
                    </w:rPr>
                    <w:t>达标</w:t>
                  </w:r>
                </w:p>
              </w:tc>
            </w:tr>
            <w:tr w14:paraId="7EA356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atLeast"/>
                <w:jc w:val="center"/>
              </w:trPr>
              <w:tc>
                <w:tcPr>
                  <w:tcW w:w="719" w:type="pct"/>
                  <w:tcBorders>
                    <w:tl2br w:val="nil"/>
                    <w:tr2bl w:val="nil"/>
                  </w:tcBorders>
                  <w:vAlign w:val="center"/>
                </w:tcPr>
                <w:p w14:paraId="43EE18B6">
                  <w:pPr>
                    <w:pStyle w:val="45"/>
                    <w:rPr>
                      <w:rFonts w:hint="default"/>
                      <w:b w:val="0"/>
                      <w:bCs w:val="0"/>
                      <w:u w:val="none"/>
                    </w:rPr>
                  </w:pPr>
                  <w:r>
                    <w:rPr>
                      <w:rFonts w:hint="default"/>
                      <w:b w:val="0"/>
                      <w:bCs w:val="0"/>
                      <w:u w:val="none"/>
                    </w:rPr>
                    <w:t>NO</w:t>
                  </w:r>
                  <w:r>
                    <w:rPr>
                      <w:rFonts w:hint="default"/>
                      <w:b w:val="0"/>
                      <w:bCs w:val="0"/>
                      <w:u w:val="none"/>
                      <w:vertAlign w:val="subscript"/>
                    </w:rPr>
                    <w:t>2</w:t>
                  </w:r>
                </w:p>
              </w:tc>
              <w:tc>
                <w:tcPr>
                  <w:tcW w:w="1278" w:type="pct"/>
                  <w:tcBorders>
                    <w:tl2br w:val="nil"/>
                    <w:tr2bl w:val="nil"/>
                  </w:tcBorders>
                  <w:tcMar>
                    <w:top w:w="57" w:type="dxa"/>
                    <w:left w:w="108" w:type="dxa"/>
                    <w:bottom w:w="57" w:type="dxa"/>
                    <w:right w:w="108" w:type="dxa"/>
                  </w:tcMar>
                  <w:vAlign w:val="center"/>
                </w:tcPr>
                <w:p w14:paraId="2036C839">
                  <w:pPr>
                    <w:pStyle w:val="45"/>
                    <w:rPr>
                      <w:rFonts w:hint="default"/>
                      <w:b w:val="0"/>
                      <w:bCs w:val="0"/>
                      <w:u w:val="none"/>
                    </w:rPr>
                  </w:pPr>
                  <w:r>
                    <w:rPr>
                      <w:rFonts w:hint="default"/>
                      <w:b w:val="0"/>
                      <w:bCs w:val="0"/>
                      <w:u w:val="none"/>
                    </w:rPr>
                    <w:t>年平均质量浓度</w:t>
                  </w:r>
                </w:p>
              </w:tc>
              <w:tc>
                <w:tcPr>
                  <w:tcW w:w="848" w:type="pct"/>
                  <w:tcBorders>
                    <w:tl2br w:val="nil"/>
                    <w:tr2bl w:val="nil"/>
                  </w:tcBorders>
                  <w:vAlign w:val="center"/>
                </w:tcPr>
                <w:p w14:paraId="70ABFED5">
                  <w:pPr>
                    <w:pStyle w:val="45"/>
                    <w:rPr>
                      <w:rFonts w:hint="default"/>
                      <w:b w:val="0"/>
                      <w:bCs w:val="0"/>
                      <w:u w:val="none"/>
                    </w:rPr>
                  </w:pPr>
                  <w:r>
                    <w:rPr>
                      <w:b w:val="0"/>
                      <w:bCs w:val="0"/>
                      <w:u w:val="none"/>
                    </w:rPr>
                    <w:t>24</w:t>
                  </w:r>
                </w:p>
              </w:tc>
              <w:tc>
                <w:tcPr>
                  <w:tcW w:w="797" w:type="pct"/>
                  <w:tcBorders>
                    <w:tl2br w:val="nil"/>
                    <w:tr2bl w:val="nil"/>
                  </w:tcBorders>
                  <w:vAlign w:val="center"/>
                </w:tcPr>
                <w:p w14:paraId="115C2033">
                  <w:pPr>
                    <w:pStyle w:val="45"/>
                    <w:rPr>
                      <w:rFonts w:hint="default"/>
                      <w:b w:val="0"/>
                      <w:bCs w:val="0"/>
                      <w:u w:val="none"/>
                    </w:rPr>
                  </w:pPr>
                  <w:r>
                    <w:rPr>
                      <w:rFonts w:hint="default"/>
                      <w:b w:val="0"/>
                      <w:bCs w:val="0"/>
                      <w:u w:val="none"/>
                    </w:rPr>
                    <w:t>40</w:t>
                  </w:r>
                </w:p>
              </w:tc>
              <w:tc>
                <w:tcPr>
                  <w:tcW w:w="720" w:type="pct"/>
                  <w:tcBorders>
                    <w:tl2br w:val="nil"/>
                    <w:tr2bl w:val="nil"/>
                  </w:tcBorders>
                  <w:vAlign w:val="center"/>
                </w:tcPr>
                <w:p w14:paraId="164C10E2">
                  <w:pPr>
                    <w:pStyle w:val="45"/>
                    <w:rPr>
                      <w:rFonts w:hint="default"/>
                      <w:b w:val="0"/>
                      <w:bCs w:val="0"/>
                      <w:u w:val="none"/>
                    </w:rPr>
                  </w:pPr>
                  <w:r>
                    <w:rPr>
                      <w:rFonts w:hint="default"/>
                      <w:b w:val="0"/>
                      <w:bCs w:val="0"/>
                      <w:u w:val="none"/>
                    </w:rPr>
                    <w:t>70</w:t>
                  </w:r>
                </w:p>
              </w:tc>
              <w:tc>
                <w:tcPr>
                  <w:tcW w:w="636" w:type="pct"/>
                  <w:tcBorders>
                    <w:tl2br w:val="nil"/>
                    <w:tr2bl w:val="nil"/>
                  </w:tcBorders>
                  <w:vAlign w:val="center"/>
                </w:tcPr>
                <w:p w14:paraId="7F306518">
                  <w:pPr>
                    <w:pStyle w:val="45"/>
                    <w:rPr>
                      <w:rFonts w:hint="default"/>
                      <w:b w:val="0"/>
                      <w:bCs w:val="0"/>
                      <w:u w:val="none"/>
                    </w:rPr>
                  </w:pPr>
                  <w:r>
                    <w:rPr>
                      <w:rFonts w:hint="default"/>
                      <w:b w:val="0"/>
                      <w:bCs w:val="0"/>
                      <w:u w:val="none"/>
                    </w:rPr>
                    <w:t>达标</w:t>
                  </w:r>
                </w:p>
              </w:tc>
            </w:tr>
            <w:tr w14:paraId="41109F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68" w:type="dxa"/>
                  <w:left w:w="108" w:type="dxa"/>
                  <w:bottom w:w="68" w:type="dxa"/>
                  <w:right w:w="108" w:type="dxa"/>
                </w:tblCellMar>
              </w:tblPrEx>
              <w:trPr>
                <w:trHeight w:val="340" w:hRule="atLeast"/>
                <w:jc w:val="center"/>
              </w:trPr>
              <w:tc>
                <w:tcPr>
                  <w:tcW w:w="719" w:type="pct"/>
                  <w:tcBorders>
                    <w:tl2br w:val="nil"/>
                    <w:tr2bl w:val="nil"/>
                  </w:tcBorders>
                  <w:vAlign w:val="center"/>
                </w:tcPr>
                <w:p w14:paraId="5B34DF03">
                  <w:pPr>
                    <w:pStyle w:val="45"/>
                    <w:rPr>
                      <w:rFonts w:hint="default"/>
                      <w:b w:val="0"/>
                      <w:bCs w:val="0"/>
                      <w:u w:val="none"/>
                    </w:rPr>
                  </w:pPr>
                  <w:r>
                    <w:rPr>
                      <w:rFonts w:hint="default"/>
                      <w:b w:val="0"/>
                      <w:bCs w:val="0"/>
                      <w:u w:val="none"/>
                    </w:rPr>
                    <w:t>CO</w:t>
                  </w:r>
                </w:p>
              </w:tc>
              <w:tc>
                <w:tcPr>
                  <w:tcW w:w="1278" w:type="pct"/>
                  <w:tcBorders>
                    <w:tl2br w:val="nil"/>
                    <w:tr2bl w:val="nil"/>
                  </w:tcBorders>
                  <w:tcMar>
                    <w:top w:w="57" w:type="dxa"/>
                    <w:left w:w="108" w:type="dxa"/>
                    <w:bottom w:w="57" w:type="dxa"/>
                    <w:right w:w="108" w:type="dxa"/>
                  </w:tcMar>
                  <w:vAlign w:val="center"/>
                </w:tcPr>
                <w:p w14:paraId="165C5CF8">
                  <w:pPr>
                    <w:pStyle w:val="45"/>
                    <w:rPr>
                      <w:rFonts w:hint="default"/>
                      <w:b w:val="0"/>
                      <w:bCs w:val="0"/>
                      <w:u w:val="none"/>
                    </w:rPr>
                  </w:pPr>
                  <w:r>
                    <w:rPr>
                      <w:rFonts w:hint="default"/>
                      <w:b w:val="0"/>
                      <w:bCs w:val="0"/>
                      <w:u w:val="none"/>
                    </w:rPr>
                    <w:t>第95百分位浓度</w:t>
                  </w:r>
                </w:p>
              </w:tc>
              <w:tc>
                <w:tcPr>
                  <w:tcW w:w="848" w:type="pct"/>
                  <w:tcBorders>
                    <w:tl2br w:val="nil"/>
                    <w:tr2bl w:val="nil"/>
                  </w:tcBorders>
                  <w:vAlign w:val="center"/>
                </w:tcPr>
                <w:p w14:paraId="706758A1">
                  <w:pPr>
                    <w:pStyle w:val="45"/>
                    <w:rPr>
                      <w:rFonts w:hint="default"/>
                      <w:b w:val="0"/>
                      <w:bCs w:val="0"/>
                      <w:u w:val="none"/>
                    </w:rPr>
                  </w:pPr>
                  <w:r>
                    <w:rPr>
                      <w:rFonts w:hint="default"/>
                      <w:b w:val="0"/>
                      <w:bCs w:val="0"/>
                      <w:u w:val="none"/>
                    </w:rPr>
                    <w:t>1</w:t>
                  </w:r>
                  <w:r>
                    <w:rPr>
                      <w:b w:val="0"/>
                      <w:bCs w:val="0"/>
                      <w:u w:val="none"/>
                    </w:rPr>
                    <w:t>000</w:t>
                  </w:r>
                </w:p>
              </w:tc>
              <w:tc>
                <w:tcPr>
                  <w:tcW w:w="797" w:type="pct"/>
                  <w:tcBorders>
                    <w:tl2br w:val="nil"/>
                    <w:tr2bl w:val="nil"/>
                  </w:tcBorders>
                  <w:vAlign w:val="center"/>
                </w:tcPr>
                <w:p w14:paraId="47BFFDB7">
                  <w:pPr>
                    <w:pStyle w:val="45"/>
                    <w:rPr>
                      <w:rFonts w:hint="default"/>
                      <w:b w:val="0"/>
                      <w:bCs w:val="0"/>
                      <w:u w:val="none"/>
                    </w:rPr>
                  </w:pPr>
                  <w:r>
                    <w:rPr>
                      <w:rFonts w:hint="default"/>
                      <w:b w:val="0"/>
                      <w:bCs w:val="0"/>
                      <w:u w:val="none"/>
                    </w:rPr>
                    <w:t>4000</w:t>
                  </w:r>
                </w:p>
              </w:tc>
              <w:tc>
                <w:tcPr>
                  <w:tcW w:w="720" w:type="pct"/>
                  <w:tcBorders>
                    <w:tl2br w:val="nil"/>
                    <w:tr2bl w:val="nil"/>
                  </w:tcBorders>
                  <w:vAlign w:val="center"/>
                </w:tcPr>
                <w:p w14:paraId="2B753E9B">
                  <w:pPr>
                    <w:pStyle w:val="45"/>
                    <w:rPr>
                      <w:rFonts w:hint="default"/>
                      <w:b w:val="0"/>
                      <w:bCs w:val="0"/>
                      <w:u w:val="none"/>
                    </w:rPr>
                  </w:pPr>
                  <w:r>
                    <w:rPr>
                      <w:rFonts w:hint="default"/>
                      <w:b w:val="0"/>
                      <w:bCs w:val="0"/>
                      <w:u w:val="none"/>
                    </w:rPr>
                    <w:t>0.03</w:t>
                  </w:r>
                </w:p>
              </w:tc>
              <w:tc>
                <w:tcPr>
                  <w:tcW w:w="636" w:type="pct"/>
                  <w:tcBorders>
                    <w:tl2br w:val="nil"/>
                    <w:tr2bl w:val="nil"/>
                  </w:tcBorders>
                  <w:vAlign w:val="center"/>
                </w:tcPr>
                <w:p w14:paraId="4BEF9414">
                  <w:pPr>
                    <w:pStyle w:val="45"/>
                    <w:rPr>
                      <w:rFonts w:hint="default"/>
                      <w:b w:val="0"/>
                      <w:bCs w:val="0"/>
                      <w:u w:val="none"/>
                    </w:rPr>
                  </w:pPr>
                  <w:r>
                    <w:rPr>
                      <w:rFonts w:hint="default"/>
                      <w:b w:val="0"/>
                      <w:bCs w:val="0"/>
                      <w:u w:val="none"/>
                    </w:rPr>
                    <w:t>达标</w:t>
                  </w:r>
                </w:p>
              </w:tc>
            </w:tr>
            <w:tr w14:paraId="559C10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atLeast"/>
                <w:jc w:val="center"/>
              </w:trPr>
              <w:tc>
                <w:tcPr>
                  <w:tcW w:w="719" w:type="pct"/>
                  <w:tcBorders>
                    <w:tl2br w:val="nil"/>
                    <w:tr2bl w:val="nil"/>
                  </w:tcBorders>
                  <w:vAlign w:val="center"/>
                </w:tcPr>
                <w:p w14:paraId="35D52191">
                  <w:pPr>
                    <w:pStyle w:val="45"/>
                    <w:rPr>
                      <w:rFonts w:hint="default"/>
                      <w:b w:val="0"/>
                      <w:bCs w:val="0"/>
                      <w:u w:val="none"/>
                    </w:rPr>
                  </w:pPr>
                  <w:r>
                    <w:rPr>
                      <w:rFonts w:hint="default"/>
                      <w:b w:val="0"/>
                      <w:bCs w:val="0"/>
                      <w:u w:val="none"/>
                    </w:rPr>
                    <w:t>O</w:t>
                  </w:r>
                  <w:r>
                    <w:rPr>
                      <w:rFonts w:hint="default"/>
                      <w:b w:val="0"/>
                      <w:bCs w:val="0"/>
                      <w:u w:val="none"/>
                      <w:vertAlign w:val="subscript"/>
                    </w:rPr>
                    <w:t>3</w:t>
                  </w:r>
                </w:p>
              </w:tc>
              <w:tc>
                <w:tcPr>
                  <w:tcW w:w="1278" w:type="pct"/>
                  <w:tcBorders>
                    <w:tl2br w:val="nil"/>
                    <w:tr2bl w:val="nil"/>
                  </w:tcBorders>
                  <w:tcMar>
                    <w:top w:w="57" w:type="dxa"/>
                    <w:left w:w="108" w:type="dxa"/>
                    <w:bottom w:w="57" w:type="dxa"/>
                    <w:right w:w="108" w:type="dxa"/>
                  </w:tcMar>
                  <w:vAlign w:val="center"/>
                </w:tcPr>
                <w:p w14:paraId="4C758DEB">
                  <w:pPr>
                    <w:pStyle w:val="45"/>
                    <w:rPr>
                      <w:rFonts w:hint="default"/>
                      <w:b w:val="0"/>
                      <w:bCs w:val="0"/>
                      <w:u w:val="none"/>
                    </w:rPr>
                  </w:pPr>
                  <w:r>
                    <w:rPr>
                      <w:rFonts w:hint="default"/>
                      <w:b w:val="0"/>
                      <w:bCs w:val="0"/>
                      <w:u w:val="none"/>
                    </w:rPr>
                    <w:t>第90百分位浓度</w:t>
                  </w:r>
                </w:p>
              </w:tc>
              <w:tc>
                <w:tcPr>
                  <w:tcW w:w="848" w:type="pct"/>
                  <w:tcBorders>
                    <w:tl2br w:val="nil"/>
                    <w:tr2bl w:val="nil"/>
                  </w:tcBorders>
                  <w:vAlign w:val="center"/>
                </w:tcPr>
                <w:p w14:paraId="54D24CD5">
                  <w:pPr>
                    <w:pStyle w:val="45"/>
                    <w:rPr>
                      <w:rFonts w:hint="default"/>
                      <w:b w:val="0"/>
                      <w:bCs w:val="0"/>
                      <w:u w:val="none"/>
                    </w:rPr>
                  </w:pPr>
                  <w:r>
                    <w:rPr>
                      <w:b w:val="0"/>
                      <w:bCs w:val="0"/>
                      <w:u w:val="none"/>
                    </w:rPr>
                    <w:t>156</w:t>
                  </w:r>
                </w:p>
              </w:tc>
              <w:tc>
                <w:tcPr>
                  <w:tcW w:w="797" w:type="pct"/>
                  <w:tcBorders>
                    <w:tl2br w:val="nil"/>
                    <w:tr2bl w:val="nil"/>
                  </w:tcBorders>
                  <w:vAlign w:val="center"/>
                </w:tcPr>
                <w:p w14:paraId="22DA66C4">
                  <w:pPr>
                    <w:pStyle w:val="45"/>
                    <w:rPr>
                      <w:rFonts w:hint="default"/>
                      <w:b w:val="0"/>
                      <w:bCs w:val="0"/>
                      <w:u w:val="none"/>
                    </w:rPr>
                  </w:pPr>
                  <w:r>
                    <w:rPr>
                      <w:rFonts w:hint="default"/>
                      <w:b w:val="0"/>
                      <w:bCs w:val="0"/>
                      <w:u w:val="none"/>
                    </w:rPr>
                    <w:t>160</w:t>
                  </w:r>
                </w:p>
              </w:tc>
              <w:tc>
                <w:tcPr>
                  <w:tcW w:w="720" w:type="pct"/>
                  <w:tcBorders>
                    <w:tl2br w:val="nil"/>
                    <w:tr2bl w:val="nil"/>
                  </w:tcBorders>
                  <w:vAlign w:val="center"/>
                </w:tcPr>
                <w:p w14:paraId="2FA52972">
                  <w:pPr>
                    <w:pStyle w:val="45"/>
                    <w:rPr>
                      <w:rFonts w:hint="default"/>
                      <w:b w:val="0"/>
                      <w:bCs w:val="0"/>
                      <w:u w:val="none"/>
                    </w:rPr>
                  </w:pPr>
                  <w:r>
                    <w:rPr>
                      <w:rFonts w:hint="default"/>
                      <w:b w:val="0"/>
                      <w:bCs w:val="0"/>
                      <w:u w:val="none"/>
                    </w:rPr>
                    <w:t>95.63</w:t>
                  </w:r>
                </w:p>
              </w:tc>
              <w:tc>
                <w:tcPr>
                  <w:tcW w:w="636" w:type="pct"/>
                  <w:tcBorders>
                    <w:tl2br w:val="nil"/>
                    <w:tr2bl w:val="nil"/>
                  </w:tcBorders>
                  <w:vAlign w:val="center"/>
                </w:tcPr>
                <w:p w14:paraId="6E33D5C0">
                  <w:pPr>
                    <w:pStyle w:val="45"/>
                    <w:rPr>
                      <w:rFonts w:hint="default"/>
                      <w:b w:val="0"/>
                      <w:bCs w:val="0"/>
                      <w:u w:val="none"/>
                    </w:rPr>
                  </w:pPr>
                  <w:r>
                    <w:rPr>
                      <w:rFonts w:hint="default"/>
                      <w:b w:val="0"/>
                      <w:bCs w:val="0"/>
                      <w:u w:val="none"/>
                    </w:rPr>
                    <w:t>达标</w:t>
                  </w:r>
                </w:p>
              </w:tc>
            </w:tr>
          </w:tbl>
          <w:p w14:paraId="5F3976DF">
            <w:pPr>
              <w:pStyle w:val="5"/>
              <w:ind w:firstLine="422"/>
              <w:rPr>
                <w:rFonts w:hint="default"/>
                <w:b w:val="0"/>
                <w:bCs w:val="0"/>
                <w:u w:val="none"/>
              </w:rPr>
            </w:pPr>
            <w:r>
              <w:rPr>
                <w:b w:val="0"/>
                <w:bCs w:val="0"/>
                <w:u w:val="none"/>
              </w:rPr>
              <w:t>综上分析，本项目所在区域环境空气质量各因子的 2023 年均浓度值均满足《环境空气质量标准》（GB3095-2012）及其修改单中二级标准限值要求，因此本项目所在区域属于城市环境空气达标区。</w:t>
            </w:r>
          </w:p>
          <w:p w14:paraId="3A922CAB">
            <w:pPr>
              <w:pStyle w:val="5"/>
              <w:ind w:firstLine="422"/>
              <w:rPr>
                <w:rFonts w:hint="default"/>
                <w:b w:val="0"/>
                <w:bCs w:val="0"/>
                <w:u w:val="none"/>
              </w:rPr>
            </w:pPr>
            <w:r>
              <w:rPr>
                <w:rFonts w:hint="default"/>
                <w:b w:val="0"/>
                <w:bCs w:val="0"/>
                <w:u w:val="none"/>
              </w:rPr>
              <w:t>平顶山市生态环境保护委员会办公室印发了《平顶山市2023年蓝天保卫战实施方案》，通过蓝天保卫战实施方案的实施，区域环境空气质量将</w:t>
            </w:r>
            <w:r>
              <w:rPr>
                <w:b w:val="0"/>
                <w:bCs w:val="0"/>
                <w:u w:val="none"/>
              </w:rPr>
              <w:t>进一步改善。</w:t>
            </w:r>
          </w:p>
          <w:p w14:paraId="14C865EE">
            <w:pPr>
              <w:pStyle w:val="4"/>
              <w:numPr>
                <w:ilvl w:val="1"/>
                <w:numId w:val="7"/>
              </w:numPr>
              <w:tabs>
                <w:tab w:val="left" w:pos="0"/>
              </w:tabs>
              <w:rPr>
                <w:b w:val="0"/>
                <w:bCs w:val="0"/>
                <w:u w:val="none"/>
              </w:rPr>
            </w:pPr>
            <w:r>
              <w:rPr>
                <w:rFonts w:hint="eastAsia"/>
                <w:b w:val="0"/>
                <w:bCs w:val="0"/>
                <w:u w:val="none"/>
              </w:rPr>
              <w:t>地表水环境质量现状</w:t>
            </w:r>
          </w:p>
          <w:p w14:paraId="66FB0BB6">
            <w:pPr>
              <w:pStyle w:val="5"/>
              <w:rPr>
                <w:rFonts w:hint="default"/>
                <w:b w:val="0"/>
                <w:bCs w:val="0"/>
                <w:u w:val="none"/>
              </w:rPr>
            </w:pPr>
            <w:r>
              <w:rPr>
                <w:b w:val="0"/>
                <w:bCs w:val="0"/>
                <w:u w:val="none"/>
              </w:rPr>
              <w:t>本项目营运期生活污水进入</w:t>
            </w:r>
            <w:r>
              <w:rPr>
                <w:b w:val="0"/>
                <w:bCs w:val="0"/>
                <w:u w:val="none"/>
                <w:lang w:val="zh-CN"/>
              </w:rPr>
              <w:t>平顶山首创水务有限公司（平顶山市第三污水处理厂）</w:t>
            </w:r>
            <w:r>
              <w:rPr>
                <w:b w:val="0"/>
                <w:bCs w:val="0"/>
                <w:u w:val="none"/>
              </w:rPr>
              <w:t>集中处理后排入关庙沟，最终进入灰河。本区域关庙沟、灰河均执行《地表水环境质量标准》（GB3838-2002）Ⅳ类标准。本次评价引用 2022 年度灰河水寨屈庄断面（位于本项目东北侧约 1.9km 处）的例行监测数据，其监测结果见下表：</w:t>
            </w:r>
          </w:p>
          <w:p w14:paraId="47FD446C">
            <w:pPr>
              <w:pStyle w:val="44"/>
              <w:numPr>
                <w:ilvl w:val="0"/>
                <w:numId w:val="2"/>
              </w:numPr>
              <w:rPr>
                <w:rFonts w:hint="default"/>
                <w:b w:val="0"/>
                <w:bCs w:val="0"/>
                <w:u w:val="none"/>
              </w:rPr>
            </w:pPr>
            <w:r>
              <w:rPr>
                <w:rFonts w:hint="default"/>
                <w:b w:val="0"/>
                <w:bCs w:val="0"/>
                <w:u w:val="none"/>
              </w:rPr>
              <w:t>项目地表水环境质量现状监测结果 单位：mg/L（pH 除外）</w:t>
            </w:r>
          </w:p>
          <w:tbl>
            <w:tblPr>
              <w:tblStyle w:val="2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333"/>
              <w:gridCol w:w="1292"/>
              <w:gridCol w:w="1210"/>
              <w:gridCol w:w="1182"/>
              <w:gridCol w:w="1396"/>
            </w:tblGrid>
            <w:tr w14:paraId="1EA585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0" w:type="dxa"/>
                  <w:tcBorders>
                    <w:tl2br w:val="nil"/>
                    <w:tr2bl w:val="nil"/>
                  </w:tcBorders>
                  <w:shd w:val="clear" w:color="auto" w:fill="auto"/>
                  <w:vAlign w:val="center"/>
                </w:tcPr>
                <w:p w14:paraId="5A36AE03">
                  <w:pPr>
                    <w:pStyle w:val="45"/>
                    <w:rPr>
                      <w:rFonts w:hint="default"/>
                      <w:b w:val="0"/>
                      <w:bCs w:val="0"/>
                      <w:u w:val="none"/>
                    </w:rPr>
                  </w:pPr>
                  <w:r>
                    <w:rPr>
                      <w:b w:val="0"/>
                      <w:bCs w:val="0"/>
                      <w:u w:val="none"/>
                    </w:rPr>
                    <w:t>监测断面</w:t>
                  </w:r>
                </w:p>
              </w:tc>
              <w:tc>
                <w:tcPr>
                  <w:tcW w:w="1333" w:type="dxa"/>
                  <w:tcBorders>
                    <w:tl2br w:val="nil"/>
                    <w:tr2bl w:val="nil"/>
                  </w:tcBorders>
                  <w:shd w:val="clear" w:color="auto" w:fill="auto"/>
                  <w:vAlign w:val="center"/>
                </w:tcPr>
                <w:p w14:paraId="7EBE8D91">
                  <w:pPr>
                    <w:pStyle w:val="45"/>
                    <w:rPr>
                      <w:rFonts w:hint="default"/>
                      <w:b w:val="0"/>
                      <w:bCs w:val="0"/>
                      <w:u w:val="none"/>
                    </w:rPr>
                  </w:pPr>
                  <w:r>
                    <w:rPr>
                      <w:b w:val="0"/>
                      <w:bCs w:val="0"/>
                      <w:u w:val="none"/>
                    </w:rPr>
                    <w:t>评价指标</w:t>
                  </w:r>
                </w:p>
              </w:tc>
              <w:tc>
                <w:tcPr>
                  <w:tcW w:w="1292" w:type="dxa"/>
                  <w:tcBorders>
                    <w:tl2br w:val="nil"/>
                    <w:tr2bl w:val="nil"/>
                  </w:tcBorders>
                  <w:shd w:val="clear" w:color="auto" w:fill="auto"/>
                  <w:vAlign w:val="center"/>
                </w:tcPr>
                <w:p w14:paraId="6F49E3C4">
                  <w:pPr>
                    <w:pStyle w:val="45"/>
                    <w:rPr>
                      <w:rFonts w:hint="default"/>
                      <w:b w:val="0"/>
                      <w:bCs w:val="0"/>
                      <w:u w:val="none"/>
                    </w:rPr>
                  </w:pPr>
                  <w:r>
                    <w:rPr>
                      <w:b w:val="0"/>
                      <w:bCs w:val="0"/>
                      <w:u w:val="none"/>
                    </w:rPr>
                    <w:t>pH</w:t>
                  </w:r>
                </w:p>
              </w:tc>
              <w:tc>
                <w:tcPr>
                  <w:tcW w:w="1210" w:type="dxa"/>
                  <w:tcBorders>
                    <w:tl2br w:val="nil"/>
                    <w:tr2bl w:val="nil"/>
                  </w:tcBorders>
                  <w:shd w:val="clear" w:color="auto" w:fill="auto"/>
                  <w:vAlign w:val="center"/>
                </w:tcPr>
                <w:p w14:paraId="00B3CC38">
                  <w:pPr>
                    <w:pStyle w:val="45"/>
                    <w:rPr>
                      <w:rFonts w:hint="default"/>
                      <w:b w:val="0"/>
                      <w:bCs w:val="0"/>
                      <w:u w:val="none"/>
                    </w:rPr>
                  </w:pPr>
                  <w:r>
                    <w:rPr>
                      <w:b w:val="0"/>
                      <w:bCs w:val="0"/>
                      <w:u w:val="none"/>
                    </w:rPr>
                    <w:t>COD</w:t>
                  </w:r>
                </w:p>
              </w:tc>
              <w:tc>
                <w:tcPr>
                  <w:tcW w:w="1182" w:type="dxa"/>
                  <w:tcBorders>
                    <w:tl2br w:val="nil"/>
                    <w:tr2bl w:val="nil"/>
                  </w:tcBorders>
                  <w:shd w:val="clear" w:color="auto" w:fill="auto"/>
                  <w:vAlign w:val="center"/>
                </w:tcPr>
                <w:p w14:paraId="0CAE371F">
                  <w:pPr>
                    <w:pStyle w:val="45"/>
                    <w:rPr>
                      <w:rFonts w:hint="default"/>
                      <w:b w:val="0"/>
                      <w:bCs w:val="0"/>
                      <w:u w:val="none"/>
                    </w:rPr>
                  </w:pPr>
                  <w:r>
                    <w:rPr>
                      <w:b w:val="0"/>
                      <w:bCs w:val="0"/>
                      <w:u w:val="none"/>
                    </w:rPr>
                    <w:t>BODs</w:t>
                  </w:r>
                </w:p>
              </w:tc>
              <w:tc>
                <w:tcPr>
                  <w:tcW w:w="1396" w:type="dxa"/>
                  <w:tcBorders>
                    <w:tl2br w:val="nil"/>
                    <w:tr2bl w:val="nil"/>
                  </w:tcBorders>
                  <w:shd w:val="clear" w:color="auto" w:fill="auto"/>
                  <w:vAlign w:val="center"/>
                </w:tcPr>
                <w:p w14:paraId="12854B46">
                  <w:pPr>
                    <w:pStyle w:val="45"/>
                    <w:rPr>
                      <w:rFonts w:hint="default"/>
                      <w:b w:val="0"/>
                      <w:bCs w:val="0"/>
                      <w:u w:val="none"/>
                    </w:rPr>
                  </w:pPr>
                  <w:r>
                    <w:rPr>
                      <w:b w:val="0"/>
                      <w:bCs w:val="0"/>
                      <w:u w:val="none"/>
                    </w:rPr>
                    <w:t>NH₃-N</w:t>
                  </w:r>
                </w:p>
              </w:tc>
            </w:tr>
            <w:tr w14:paraId="167612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0" w:type="dxa"/>
                  <w:vMerge w:val="restart"/>
                  <w:tcBorders>
                    <w:tl2br w:val="nil"/>
                    <w:tr2bl w:val="nil"/>
                  </w:tcBorders>
                  <w:shd w:val="clear" w:color="auto" w:fill="auto"/>
                  <w:vAlign w:val="center"/>
                </w:tcPr>
                <w:p w14:paraId="4EFD53C5">
                  <w:pPr>
                    <w:pStyle w:val="45"/>
                    <w:rPr>
                      <w:rFonts w:hint="default"/>
                      <w:b w:val="0"/>
                      <w:bCs w:val="0"/>
                      <w:u w:val="none"/>
                    </w:rPr>
                  </w:pPr>
                  <w:r>
                    <w:rPr>
                      <w:b w:val="0"/>
                      <w:bCs w:val="0"/>
                      <w:u w:val="none"/>
                    </w:rPr>
                    <w:t>灰河水寨屈庄</w:t>
                  </w:r>
                </w:p>
              </w:tc>
              <w:tc>
                <w:tcPr>
                  <w:tcW w:w="1333" w:type="dxa"/>
                  <w:tcBorders>
                    <w:tl2br w:val="nil"/>
                    <w:tr2bl w:val="nil"/>
                  </w:tcBorders>
                  <w:shd w:val="clear" w:color="auto" w:fill="auto"/>
                  <w:vAlign w:val="center"/>
                </w:tcPr>
                <w:p w14:paraId="67839D98">
                  <w:pPr>
                    <w:pStyle w:val="45"/>
                    <w:rPr>
                      <w:rFonts w:hint="default"/>
                      <w:b w:val="0"/>
                      <w:bCs w:val="0"/>
                      <w:u w:val="none"/>
                    </w:rPr>
                  </w:pPr>
                  <w:r>
                    <w:rPr>
                      <w:b w:val="0"/>
                      <w:bCs w:val="0"/>
                      <w:u w:val="none"/>
                    </w:rPr>
                    <w:t>年平均值</w:t>
                  </w:r>
                </w:p>
              </w:tc>
              <w:tc>
                <w:tcPr>
                  <w:tcW w:w="1292" w:type="dxa"/>
                  <w:tcBorders>
                    <w:tl2br w:val="nil"/>
                    <w:tr2bl w:val="nil"/>
                  </w:tcBorders>
                  <w:shd w:val="clear" w:color="auto" w:fill="auto"/>
                  <w:vAlign w:val="center"/>
                </w:tcPr>
                <w:p w14:paraId="3F41BD77">
                  <w:pPr>
                    <w:pStyle w:val="45"/>
                    <w:rPr>
                      <w:rFonts w:hint="default"/>
                      <w:b w:val="0"/>
                      <w:bCs w:val="0"/>
                      <w:u w:val="none"/>
                    </w:rPr>
                  </w:pPr>
                  <w:r>
                    <w:rPr>
                      <w:b w:val="0"/>
                      <w:bCs w:val="0"/>
                      <w:u w:val="none"/>
                    </w:rPr>
                    <w:t>7</w:t>
                  </w:r>
                </w:p>
              </w:tc>
              <w:tc>
                <w:tcPr>
                  <w:tcW w:w="1210" w:type="dxa"/>
                  <w:tcBorders>
                    <w:tl2br w:val="nil"/>
                    <w:tr2bl w:val="nil"/>
                  </w:tcBorders>
                  <w:shd w:val="clear" w:color="auto" w:fill="auto"/>
                  <w:vAlign w:val="center"/>
                </w:tcPr>
                <w:p w14:paraId="580E51A0">
                  <w:pPr>
                    <w:pStyle w:val="45"/>
                    <w:rPr>
                      <w:rFonts w:hint="default"/>
                      <w:b w:val="0"/>
                      <w:bCs w:val="0"/>
                      <w:u w:val="none"/>
                    </w:rPr>
                  </w:pPr>
                  <w:r>
                    <w:rPr>
                      <w:b w:val="0"/>
                      <w:bCs w:val="0"/>
                      <w:u w:val="none"/>
                    </w:rPr>
                    <w:t>26</w:t>
                  </w:r>
                </w:p>
              </w:tc>
              <w:tc>
                <w:tcPr>
                  <w:tcW w:w="1182" w:type="dxa"/>
                  <w:tcBorders>
                    <w:tl2br w:val="nil"/>
                    <w:tr2bl w:val="nil"/>
                  </w:tcBorders>
                  <w:shd w:val="clear" w:color="auto" w:fill="auto"/>
                  <w:vAlign w:val="center"/>
                </w:tcPr>
                <w:p w14:paraId="385E4755">
                  <w:pPr>
                    <w:pStyle w:val="45"/>
                    <w:rPr>
                      <w:rFonts w:hint="default"/>
                      <w:b w:val="0"/>
                      <w:bCs w:val="0"/>
                      <w:u w:val="none"/>
                    </w:rPr>
                  </w:pPr>
                  <w:r>
                    <w:rPr>
                      <w:b w:val="0"/>
                      <w:bCs w:val="0"/>
                      <w:u w:val="none"/>
                    </w:rPr>
                    <w:t>3.0</w:t>
                  </w:r>
                </w:p>
              </w:tc>
              <w:tc>
                <w:tcPr>
                  <w:tcW w:w="1396" w:type="dxa"/>
                  <w:tcBorders>
                    <w:tl2br w:val="nil"/>
                    <w:tr2bl w:val="nil"/>
                  </w:tcBorders>
                  <w:shd w:val="clear" w:color="auto" w:fill="auto"/>
                  <w:vAlign w:val="center"/>
                </w:tcPr>
                <w:p w14:paraId="13E36A6A">
                  <w:pPr>
                    <w:pStyle w:val="45"/>
                    <w:rPr>
                      <w:rFonts w:hint="default"/>
                      <w:b w:val="0"/>
                      <w:bCs w:val="0"/>
                      <w:u w:val="none"/>
                    </w:rPr>
                  </w:pPr>
                  <w:r>
                    <w:rPr>
                      <w:b w:val="0"/>
                      <w:bCs w:val="0"/>
                      <w:u w:val="none"/>
                    </w:rPr>
                    <w:t>0.47</w:t>
                  </w:r>
                </w:p>
              </w:tc>
            </w:tr>
            <w:tr w14:paraId="158E99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0" w:type="dxa"/>
                  <w:vMerge w:val="continue"/>
                  <w:tcBorders>
                    <w:tl2br w:val="nil"/>
                    <w:tr2bl w:val="nil"/>
                  </w:tcBorders>
                  <w:shd w:val="clear" w:color="auto" w:fill="auto"/>
                  <w:vAlign w:val="center"/>
                </w:tcPr>
                <w:p w14:paraId="4AB119A9">
                  <w:pPr>
                    <w:pStyle w:val="45"/>
                    <w:rPr>
                      <w:rFonts w:hint="default"/>
                      <w:b w:val="0"/>
                      <w:bCs w:val="0"/>
                      <w:u w:val="none"/>
                    </w:rPr>
                  </w:pPr>
                </w:p>
              </w:tc>
              <w:tc>
                <w:tcPr>
                  <w:tcW w:w="1333" w:type="dxa"/>
                  <w:tcBorders>
                    <w:tl2br w:val="nil"/>
                    <w:tr2bl w:val="nil"/>
                  </w:tcBorders>
                  <w:shd w:val="clear" w:color="auto" w:fill="auto"/>
                  <w:vAlign w:val="center"/>
                </w:tcPr>
                <w:p w14:paraId="07323BB8">
                  <w:pPr>
                    <w:pStyle w:val="45"/>
                    <w:rPr>
                      <w:rFonts w:hint="default"/>
                      <w:b w:val="0"/>
                      <w:bCs w:val="0"/>
                      <w:u w:val="none"/>
                    </w:rPr>
                  </w:pPr>
                  <w:r>
                    <w:rPr>
                      <w:b w:val="0"/>
                      <w:bCs w:val="0"/>
                      <w:u w:val="none"/>
                    </w:rPr>
                    <w:t>标准值</w:t>
                  </w:r>
                </w:p>
              </w:tc>
              <w:tc>
                <w:tcPr>
                  <w:tcW w:w="1292" w:type="dxa"/>
                  <w:tcBorders>
                    <w:tl2br w:val="nil"/>
                    <w:tr2bl w:val="nil"/>
                  </w:tcBorders>
                  <w:shd w:val="clear" w:color="auto" w:fill="auto"/>
                  <w:vAlign w:val="center"/>
                </w:tcPr>
                <w:p w14:paraId="2D29B4B9">
                  <w:pPr>
                    <w:pStyle w:val="45"/>
                    <w:rPr>
                      <w:rFonts w:hint="default"/>
                      <w:b w:val="0"/>
                      <w:bCs w:val="0"/>
                      <w:u w:val="none"/>
                    </w:rPr>
                  </w:pPr>
                  <w:r>
                    <w:rPr>
                      <w:b w:val="0"/>
                      <w:bCs w:val="0"/>
                      <w:u w:val="none"/>
                    </w:rPr>
                    <w:t>6~9</w:t>
                  </w:r>
                </w:p>
              </w:tc>
              <w:tc>
                <w:tcPr>
                  <w:tcW w:w="1210" w:type="dxa"/>
                  <w:tcBorders>
                    <w:tl2br w:val="nil"/>
                    <w:tr2bl w:val="nil"/>
                  </w:tcBorders>
                  <w:shd w:val="clear" w:color="auto" w:fill="auto"/>
                  <w:vAlign w:val="center"/>
                </w:tcPr>
                <w:p w14:paraId="3406DD7F">
                  <w:pPr>
                    <w:pStyle w:val="45"/>
                    <w:rPr>
                      <w:rFonts w:hint="default"/>
                      <w:b w:val="0"/>
                      <w:bCs w:val="0"/>
                      <w:u w:val="none"/>
                    </w:rPr>
                  </w:pPr>
                  <w:r>
                    <w:rPr>
                      <w:b w:val="0"/>
                      <w:bCs w:val="0"/>
                      <w:u w:val="none"/>
                    </w:rPr>
                    <w:t>30</w:t>
                  </w:r>
                </w:p>
              </w:tc>
              <w:tc>
                <w:tcPr>
                  <w:tcW w:w="1182" w:type="dxa"/>
                  <w:tcBorders>
                    <w:tl2br w:val="nil"/>
                    <w:tr2bl w:val="nil"/>
                  </w:tcBorders>
                  <w:shd w:val="clear" w:color="auto" w:fill="auto"/>
                  <w:vAlign w:val="center"/>
                </w:tcPr>
                <w:p w14:paraId="066C2523">
                  <w:pPr>
                    <w:pStyle w:val="45"/>
                    <w:rPr>
                      <w:rFonts w:hint="default"/>
                      <w:b w:val="0"/>
                      <w:bCs w:val="0"/>
                      <w:u w:val="none"/>
                    </w:rPr>
                  </w:pPr>
                  <w:r>
                    <w:rPr>
                      <w:b w:val="0"/>
                      <w:bCs w:val="0"/>
                      <w:u w:val="none"/>
                    </w:rPr>
                    <w:t>6</w:t>
                  </w:r>
                </w:p>
              </w:tc>
              <w:tc>
                <w:tcPr>
                  <w:tcW w:w="1396" w:type="dxa"/>
                  <w:tcBorders>
                    <w:tl2br w:val="nil"/>
                    <w:tr2bl w:val="nil"/>
                  </w:tcBorders>
                  <w:shd w:val="clear" w:color="auto" w:fill="auto"/>
                  <w:vAlign w:val="center"/>
                </w:tcPr>
                <w:p w14:paraId="7DD95493">
                  <w:pPr>
                    <w:pStyle w:val="45"/>
                    <w:rPr>
                      <w:rFonts w:hint="default"/>
                      <w:b w:val="0"/>
                      <w:bCs w:val="0"/>
                      <w:u w:val="none"/>
                    </w:rPr>
                  </w:pPr>
                  <w:r>
                    <w:rPr>
                      <w:b w:val="0"/>
                      <w:bCs w:val="0"/>
                      <w:u w:val="none"/>
                    </w:rPr>
                    <w:t>1.5</w:t>
                  </w:r>
                </w:p>
              </w:tc>
            </w:tr>
            <w:tr w14:paraId="56CE33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0" w:type="dxa"/>
                  <w:vMerge w:val="continue"/>
                  <w:tcBorders>
                    <w:tl2br w:val="nil"/>
                    <w:tr2bl w:val="nil"/>
                  </w:tcBorders>
                  <w:shd w:val="clear" w:color="auto" w:fill="auto"/>
                  <w:vAlign w:val="center"/>
                </w:tcPr>
                <w:p w14:paraId="1AAAF2BF">
                  <w:pPr>
                    <w:pStyle w:val="45"/>
                    <w:rPr>
                      <w:rFonts w:hint="default"/>
                      <w:b w:val="0"/>
                      <w:bCs w:val="0"/>
                      <w:u w:val="none"/>
                    </w:rPr>
                  </w:pPr>
                </w:p>
              </w:tc>
              <w:tc>
                <w:tcPr>
                  <w:tcW w:w="1333" w:type="dxa"/>
                  <w:tcBorders>
                    <w:tl2br w:val="nil"/>
                    <w:tr2bl w:val="nil"/>
                  </w:tcBorders>
                  <w:shd w:val="clear" w:color="auto" w:fill="auto"/>
                  <w:vAlign w:val="center"/>
                </w:tcPr>
                <w:p w14:paraId="2B2F3BE4">
                  <w:pPr>
                    <w:pStyle w:val="45"/>
                    <w:rPr>
                      <w:rFonts w:hint="default"/>
                      <w:b w:val="0"/>
                      <w:bCs w:val="0"/>
                      <w:u w:val="none"/>
                    </w:rPr>
                  </w:pPr>
                  <w:r>
                    <w:rPr>
                      <w:b w:val="0"/>
                      <w:bCs w:val="0"/>
                      <w:u w:val="none"/>
                    </w:rPr>
                    <w:t>达标情况</w:t>
                  </w:r>
                </w:p>
              </w:tc>
              <w:tc>
                <w:tcPr>
                  <w:tcW w:w="1292" w:type="dxa"/>
                  <w:tcBorders>
                    <w:tl2br w:val="nil"/>
                    <w:tr2bl w:val="nil"/>
                  </w:tcBorders>
                  <w:shd w:val="clear" w:color="auto" w:fill="auto"/>
                  <w:vAlign w:val="center"/>
                </w:tcPr>
                <w:p w14:paraId="4E195DA3">
                  <w:pPr>
                    <w:pStyle w:val="45"/>
                    <w:rPr>
                      <w:rFonts w:hint="default"/>
                      <w:b w:val="0"/>
                      <w:bCs w:val="0"/>
                      <w:u w:val="none"/>
                    </w:rPr>
                  </w:pPr>
                  <w:r>
                    <w:rPr>
                      <w:b w:val="0"/>
                      <w:bCs w:val="0"/>
                      <w:u w:val="none"/>
                    </w:rPr>
                    <w:t>达标</w:t>
                  </w:r>
                </w:p>
              </w:tc>
              <w:tc>
                <w:tcPr>
                  <w:tcW w:w="1210" w:type="dxa"/>
                  <w:tcBorders>
                    <w:tl2br w:val="nil"/>
                    <w:tr2bl w:val="nil"/>
                  </w:tcBorders>
                  <w:shd w:val="clear" w:color="auto" w:fill="auto"/>
                  <w:vAlign w:val="center"/>
                </w:tcPr>
                <w:p w14:paraId="3E2A1ED1">
                  <w:pPr>
                    <w:pStyle w:val="45"/>
                    <w:rPr>
                      <w:rFonts w:hint="default"/>
                      <w:b w:val="0"/>
                      <w:bCs w:val="0"/>
                      <w:u w:val="none"/>
                    </w:rPr>
                  </w:pPr>
                  <w:r>
                    <w:rPr>
                      <w:b w:val="0"/>
                      <w:bCs w:val="0"/>
                      <w:u w:val="none"/>
                    </w:rPr>
                    <w:t>达标</w:t>
                  </w:r>
                </w:p>
              </w:tc>
              <w:tc>
                <w:tcPr>
                  <w:tcW w:w="1182" w:type="dxa"/>
                  <w:tcBorders>
                    <w:tl2br w:val="nil"/>
                    <w:tr2bl w:val="nil"/>
                  </w:tcBorders>
                  <w:shd w:val="clear" w:color="auto" w:fill="auto"/>
                  <w:vAlign w:val="center"/>
                </w:tcPr>
                <w:p w14:paraId="70ED0147">
                  <w:pPr>
                    <w:pStyle w:val="45"/>
                    <w:rPr>
                      <w:rFonts w:hint="default"/>
                      <w:b w:val="0"/>
                      <w:bCs w:val="0"/>
                      <w:u w:val="none"/>
                    </w:rPr>
                  </w:pPr>
                  <w:r>
                    <w:rPr>
                      <w:b w:val="0"/>
                      <w:bCs w:val="0"/>
                      <w:u w:val="none"/>
                    </w:rPr>
                    <w:t>达标</w:t>
                  </w:r>
                </w:p>
              </w:tc>
              <w:tc>
                <w:tcPr>
                  <w:tcW w:w="1396" w:type="dxa"/>
                  <w:tcBorders>
                    <w:tl2br w:val="nil"/>
                    <w:tr2bl w:val="nil"/>
                  </w:tcBorders>
                  <w:shd w:val="clear" w:color="auto" w:fill="auto"/>
                  <w:vAlign w:val="center"/>
                </w:tcPr>
                <w:p w14:paraId="4F56FA53">
                  <w:pPr>
                    <w:pStyle w:val="45"/>
                    <w:rPr>
                      <w:rFonts w:hint="default"/>
                      <w:b w:val="0"/>
                      <w:bCs w:val="0"/>
                      <w:u w:val="none"/>
                    </w:rPr>
                  </w:pPr>
                  <w:r>
                    <w:rPr>
                      <w:b w:val="0"/>
                      <w:bCs w:val="0"/>
                      <w:u w:val="none"/>
                    </w:rPr>
                    <w:t xml:space="preserve"> 达标</w:t>
                  </w:r>
                </w:p>
              </w:tc>
            </w:tr>
          </w:tbl>
          <w:p w14:paraId="3FAC8790">
            <w:pPr>
              <w:pStyle w:val="5"/>
              <w:rPr>
                <w:rFonts w:hint="default"/>
                <w:b w:val="0"/>
                <w:bCs w:val="0"/>
                <w:u w:val="none"/>
              </w:rPr>
            </w:pPr>
            <w:r>
              <w:rPr>
                <w:b w:val="0"/>
                <w:bCs w:val="0"/>
                <w:u w:val="none"/>
              </w:rPr>
              <w:t>由上表可知，灰河水寨屈庄断面各项监测因子均满足《地表水环境质量标准》 （GB3838-2002）Ⅳ类标准，说明本项目所在区域地表水环境质量较好。</w:t>
            </w:r>
          </w:p>
          <w:p w14:paraId="58D96A51">
            <w:pPr>
              <w:pStyle w:val="4"/>
              <w:numPr>
                <w:ilvl w:val="1"/>
                <w:numId w:val="3"/>
              </w:numPr>
              <w:tabs>
                <w:tab w:val="left" w:pos="0"/>
              </w:tabs>
              <w:rPr>
                <w:b w:val="0"/>
                <w:bCs w:val="0"/>
                <w:u w:val="none"/>
              </w:rPr>
            </w:pPr>
            <w:r>
              <w:rPr>
                <w:rFonts w:hint="eastAsia"/>
                <w:b w:val="0"/>
                <w:bCs w:val="0"/>
                <w:u w:val="none"/>
              </w:rPr>
              <w:t>声环境质量现状</w:t>
            </w:r>
          </w:p>
          <w:p w14:paraId="27D07873">
            <w:pPr>
              <w:pStyle w:val="5"/>
              <w:rPr>
                <w:rFonts w:hint="default"/>
                <w:b w:val="0"/>
                <w:bCs w:val="0"/>
                <w:u w:val="none"/>
              </w:rPr>
            </w:pPr>
            <w:r>
              <w:rPr>
                <w:b w:val="0"/>
                <w:bCs w:val="0"/>
                <w:u w:val="none"/>
              </w:rPr>
              <w:t>本项目周边50m范围内不存在声环境保护目标，无需进行噪声现状监测。</w:t>
            </w:r>
          </w:p>
          <w:p w14:paraId="03A99126">
            <w:pPr>
              <w:pStyle w:val="4"/>
              <w:numPr>
                <w:ilvl w:val="1"/>
                <w:numId w:val="3"/>
              </w:numPr>
              <w:tabs>
                <w:tab w:val="left" w:pos="0"/>
              </w:tabs>
              <w:rPr>
                <w:b w:val="0"/>
                <w:bCs w:val="0"/>
                <w:u w:val="none"/>
              </w:rPr>
            </w:pPr>
            <w:r>
              <w:rPr>
                <w:rFonts w:hint="eastAsia"/>
                <w:b w:val="0"/>
                <w:bCs w:val="0"/>
                <w:u w:val="none"/>
              </w:rPr>
              <w:t>地下水、土壤环境质量现状</w:t>
            </w:r>
          </w:p>
          <w:p w14:paraId="1B320937">
            <w:pPr>
              <w:pStyle w:val="5"/>
              <w:rPr>
                <w:rFonts w:hint="default"/>
                <w:b w:val="0"/>
                <w:bCs w:val="0"/>
                <w:u w:val="none"/>
              </w:rPr>
            </w:pPr>
            <w:r>
              <w:rPr>
                <w:b w:val="0"/>
                <w:bCs w:val="0"/>
                <w:u w:val="none"/>
              </w:rPr>
              <w:t>本项目不涉及重金属、持久性难降解有机污染物。根据《建设项目环境影响报告表编制技术指南 （污染影响类）》，原则上不开展土壤、地下水环境质量现状调查。</w:t>
            </w:r>
          </w:p>
          <w:p w14:paraId="69985579">
            <w:pPr>
              <w:pStyle w:val="4"/>
              <w:numPr>
                <w:ilvl w:val="1"/>
                <w:numId w:val="3"/>
              </w:numPr>
              <w:tabs>
                <w:tab w:val="left" w:pos="0"/>
              </w:tabs>
              <w:rPr>
                <w:b w:val="0"/>
                <w:bCs w:val="0"/>
                <w:u w:val="none"/>
              </w:rPr>
            </w:pPr>
            <w:r>
              <w:rPr>
                <w:rFonts w:hint="eastAsia"/>
                <w:b w:val="0"/>
                <w:bCs w:val="0"/>
                <w:u w:val="none"/>
              </w:rPr>
              <w:t>生态环境现状</w:t>
            </w:r>
          </w:p>
          <w:p w14:paraId="141402A3">
            <w:pPr>
              <w:pStyle w:val="5"/>
              <w:rPr>
                <w:rFonts w:hint="default"/>
                <w:b w:val="0"/>
                <w:bCs w:val="0"/>
                <w:u w:val="none"/>
              </w:rPr>
            </w:pPr>
            <w:r>
              <w:rPr>
                <w:b w:val="0"/>
                <w:bCs w:val="0"/>
                <w:u w:val="none"/>
              </w:rPr>
              <w:t>本项目位于平顶山尼龙新材料产业集聚区内，经现场调查，该项目评价区域人为活动比较频繁，生态环境以人工生态环境为主，区域内主要植物以人工栽培的树木、农作物为主，项目周边无列入《国家重点保护野生植物名录》和《国家重点保护野生动物名录》的动植物。</w:t>
            </w:r>
          </w:p>
        </w:tc>
      </w:tr>
      <w:tr w14:paraId="1BE321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91" w:type="dxa"/>
            <w:tcBorders>
              <w:top w:val="single" w:color="auto" w:sz="4" w:space="0"/>
              <w:left w:val="single" w:color="auto" w:sz="8" w:space="0"/>
              <w:bottom w:val="single" w:color="auto" w:sz="4" w:space="0"/>
              <w:right w:val="single" w:color="auto" w:sz="4" w:space="0"/>
            </w:tcBorders>
            <w:vAlign w:val="center"/>
          </w:tcPr>
          <w:p w14:paraId="048A67D6">
            <w:pPr>
              <w:rPr>
                <w:b w:val="0"/>
                <w:bCs w:val="0"/>
                <w:u w:val="none"/>
              </w:rPr>
            </w:pPr>
            <w:r>
              <w:rPr>
                <w:rFonts w:hint="eastAsia"/>
                <w:b w:val="0"/>
                <w:bCs w:val="0"/>
                <w:u w:val="none"/>
              </w:rPr>
              <w:t>环境保护目标</w:t>
            </w:r>
          </w:p>
        </w:tc>
        <w:tc>
          <w:tcPr>
            <w:tcW w:w="8299" w:type="dxa"/>
            <w:tcBorders>
              <w:top w:val="single" w:color="auto" w:sz="4" w:space="0"/>
              <w:left w:val="single" w:color="auto" w:sz="4" w:space="0"/>
              <w:bottom w:val="single" w:color="auto" w:sz="4" w:space="0"/>
              <w:right w:val="single" w:color="auto" w:sz="8" w:space="0"/>
            </w:tcBorders>
            <w:vAlign w:val="center"/>
          </w:tcPr>
          <w:p w14:paraId="4CBE21FB">
            <w:pPr>
              <w:pStyle w:val="4"/>
              <w:numPr>
                <w:ilvl w:val="1"/>
                <w:numId w:val="8"/>
              </w:numPr>
              <w:tabs>
                <w:tab w:val="left" w:pos="0"/>
              </w:tabs>
              <w:rPr>
                <w:b w:val="0"/>
                <w:bCs w:val="0"/>
                <w:u w:val="none"/>
              </w:rPr>
            </w:pPr>
            <w:r>
              <w:rPr>
                <w:rFonts w:hint="eastAsia"/>
                <w:b w:val="0"/>
                <w:bCs w:val="0"/>
                <w:u w:val="none"/>
              </w:rPr>
              <w:t>空气环境</w:t>
            </w:r>
          </w:p>
          <w:p w14:paraId="352A7E97">
            <w:pPr>
              <w:pStyle w:val="5"/>
              <w:rPr>
                <w:rFonts w:hint="default"/>
                <w:b w:val="0"/>
                <w:bCs w:val="0"/>
                <w:u w:val="none"/>
              </w:rPr>
            </w:pPr>
            <w:r>
              <w:rPr>
                <w:b w:val="0"/>
                <w:bCs w:val="0"/>
                <w:u w:val="none"/>
              </w:rPr>
              <w:t>本项目厂界外500米范围内有2处大气环境保护目标。</w:t>
            </w:r>
          </w:p>
          <w:p w14:paraId="3A47299E">
            <w:pPr>
              <w:pStyle w:val="44"/>
              <w:numPr>
                <w:ilvl w:val="0"/>
                <w:numId w:val="2"/>
              </w:numPr>
              <w:rPr>
                <w:rFonts w:hint="default"/>
                <w:b w:val="0"/>
                <w:bCs w:val="0"/>
                <w:u w:val="none"/>
              </w:rPr>
            </w:pPr>
            <w:r>
              <w:rPr>
                <w:rFonts w:hint="default"/>
                <w:b w:val="0"/>
                <w:bCs w:val="0"/>
                <w:u w:val="none"/>
              </w:rPr>
              <w:t>大气环境保护目标一览表</w:t>
            </w:r>
          </w:p>
          <w:tbl>
            <w:tblPr>
              <w:tblStyle w:val="28"/>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514"/>
              <w:gridCol w:w="1421"/>
              <w:gridCol w:w="1316"/>
              <w:gridCol w:w="2480"/>
            </w:tblGrid>
            <w:tr w14:paraId="20DBCA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6" w:type="dxa"/>
                  <w:tcBorders>
                    <w:tl2br w:val="nil"/>
                    <w:tr2bl w:val="nil"/>
                  </w:tcBorders>
                  <w:vAlign w:val="center"/>
                </w:tcPr>
                <w:p w14:paraId="5714662B">
                  <w:pPr>
                    <w:pStyle w:val="45"/>
                    <w:rPr>
                      <w:rFonts w:hint="default"/>
                      <w:b w:val="0"/>
                      <w:bCs w:val="0"/>
                      <w:u w:val="none"/>
                    </w:rPr>
                  </w:pPr>
                  <w:r>
                    <w:rPr>
                      <w:rFonts w:hint="default"/>
                      <w:b w:val="0"/>
                      <w:bCs w:val="0"/>
                      <w:u w:val="none"/>
                    </w:rPr>
                    <w:t>保护对象</w:t>
                  </w:r>
                  <w:r>
                    <w:rPr>
                      <w:b w:val="0"/>
                      <w:bCs w:val="0"/>
                      <w:u w:val="none"/>
                    </w:rPr>
                    <w:t>名称</w:t>
                  </w:r>
                </w:p>
              </w:tc>
              <w:tc>
                <w:tcPr>
                  <w:tcW w:w="1350" w:type="dxa"/>
                  <w:tcBorders>
                    <w:tl2br w:val="nil"/>
                    <w:tr2bl w:val="nil"/>
                  </w:tcBorders>
                  <w:vAlign w:val="center"/>
                </w:tcPr>
                <w:p w14:paraId="44A05C4F">
                  <w:pPr>
                    <w:pStyle w:val="45"/>
                    <w:rPr>
                      <w:rFonts w:hint="default"/>
                      <w:b w:val="0"/>
                      <w:bCs w:val="0"/>
                      <w:u w:val="none"/>
                    </w:rPr>
                  </w:pPr>
                  <w:r>
                    <w:rPr>
                      <w:b w:val="0"/>
                      <w:bCs w:val="0"/>
                      <w:u w:val="none"/>
                    </w:rPr>
                    <w:t>相对厂址</w:t>
                  </w:r>
                  <w:r>
                    <w:rPr>
                      <w:rFonts w:hint="default"/>
                      <w:b w:val="0"/>
                      <w:bCs w:val="0"/>
                      <w:u w:val="none"/>
                    </w:rPr>
                    <w:t>方位</w:t>
                  </w:r>
                </w:p>
              </w:tc>
              <w:tc>
                <w:tcPr>
                  <w:tcW w:w="1267" w:type="dxa"/>
                  <w:tcBorders>
                    <w:tl2br w:val="nil"/>
                    <w:tr2bl w:val="nil"/>
                  </w:tcBorders>
                  <w:vAlign w:val="center"/>
                </w:tcPr>
                <w:p w14:paraId="570210A0">
                  <w:pPr>
                    <w:pStyle w:val="45"/>
                    <w:rPr>
                      <w:rFonts w:hint="default"/>
                      <w:b w:val="0"/>
                      <w:bCs w:val="0"/>
                      <w:u w:val="none"/>
                    </w:rPr>
                  </w:pPr>
                  <w:r>
                    <w:rPr>
                      <w:rFonts w:hint="default"/>
                      <w:b w:val="0"/>
                      <w:bCs w:val="0"/>
                      <w:u w:val="none"/>
                    </w:rPr>
                    <w:t>相对厂址距离（m）</w:t>
                  </w:r>
                </w:p>
              </w:tc>
              <w:tc>
                <w:tcPr>
                  <w:tcW w:w="1174" w:type="dxa"/>
                  <w:tcBorders>
                    <w:tl2br w:val="nil"/>
                    <w:tr2bl w:val="nil"/>
                  </w:tcBorders>
                  <w:vAlign w:val="center"/>
                </w:tcPr>
                <w:p w14:paraId="0544A05F">
                  <w:pPr>
                    <w:pStyle w:val="45"/>
                    <w:rPr>
                      <w:rFonts w:hint="default"/>
                      <w:b w:val="0"/>
                      <w:bCs w:val="0"/>
                      <w:u w:val="none"/>
                    </w:rPr>
                  </w:pPr>
                  <w:r>
                    <w:rPr>
                      <w:b w:val="0"/>
                      <w:bCs w:val="0"/>
                      <w:u w:val="none"/>
                    </w:rPr>
                    <w:t>保护内容</w:t>
                  </w:r>
                </w:p>
              </w:tc>
              <w:tc>
                <w:tcPr>
                  <w:tcW w:w="2212" w:type="dxa"/>
                  <w:tcBorders>
                    <w:tl2br w:val="nil"/>
                    <w:tr2bl w:val="nil"/>
                  </w:tcBorders>
                  <w:vAlign w:val="center"/>
                </w:tcPr>
                <w:p w14:paraId="34C9129C">
                  <w:pPr>
                    <w:pStyle w:val="45"/>
                    <w:rPr>
                      <w:rFonts w:hint="default"/>
                      <w:b w:val="0"/>
                      <w:bCs w:val="0"/>
                      <w:u w:val="none"/>
                    </w:rPr>
                  </w:pPr>
                  <w:r>
                    <w:rPr>
                      <w:rFonts w:hint="default"/>
                      <w:b w:val="0"/>
                      <w:bCs w:val="0"/>
                      <w:u w:val="none"/>
                    </w:rPr>
                    <w:t>环境功能区</w:t>
                  </w:r>
                </w:p>
              </w:tc>
            </w:tr>
            <w:tr w14:paraId="533C55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6" w:type="dxa"/>
                  <w:tcBorders>
                    <w:tl2br w:val="nil"/>
                    <w:tr2bl w:val="nil"/>
                  </w:tcBorders>
                  <w:vAlign w:val="center"/>
                </w:tcPr>
                <w:p w14:paraId="2AE35DB1">
                  <w:pPr>
                    <w:pStyle w:val="45"/>
                    <w:rPr>
                      <w:rFonts w:hint="default"/>
                      <w:b w:val="0"/>
                      <w:bCs w:val="0"/>
                      <w:u w:val="none"/>
                    </w:rPr>
                  </w:pPr>
                  <w:r>
                    <w:rPr>
                      <w:b w:val="0"/>
                      <w:bCs w:val="0"/>
                      <w:u w:val="none"/>
                    </w:rPr>
                    <w:t>常李村</w:t>
                  </w:r>
                </w:p>
              </w:tc>
              <w:tc>
                <w:tcPr>
                  <w:tcW w:w="1350" w:type="dxa"/>
                  <w:tcBorders>
                    <w:tl2br w:val="nil"/>
                    <w:tr2bl w:val="nil"/>
                  </w:tcBorders>
                  <w:vAlign w:val="center"/>
                </w:tcPr>
                <w:p w14:paraId="6F8E2AA3">
                  <w:pPr>
                    <w:pStyle w:val="45"/>
                    <w:rPr>
                      <w:rFonts w:hint="default"/>
                      <w:b w:val="0"/>
                      <w:bCs w:val="0"/>
                      <w:u w:val="none"/>
                    </w:rPr>
                  </w:pPr>
                  <w:r>
                    <w:rPr>
                      <w:b w:val="0"/>
                      <w:bCs w:val="0"/>
                      <w:u w:val="none"/>
                    </w:rPr>
                    <w:t>西南</w:t>
                  </w:r>
                </w:p>
              </w:tc>
              <w:tc>
                <w:tcPr>
                  <w:tcW w:w="1267" w:type="dxa"/>
                  <w:tcBorders>
                    <w:tl2br w:val="nil"/>
                    <w:tr2bl w:val="nil"/>
                  </w:tcBorders>
                  <w:vAlign w:val="center"/>
                </w:tcPr>
                <w:p w14:paraId="3C06992A">
                  <w:pPr>
                    <w:pStyle w:val="45"/>
                    <w:rPr>
                      <w:rFonts w:hint="default"/>
                      <w:b w:val="0"/>
                      <w:bCs w:val="0"/>
                      <w:u w:val="none"/>
                    </w:rPr>
                  </w:pPr>
                  <w:r>
                    <w:rPr>
                      <w:b w:val="0"/>
                      <w:bCs w:val="0"/>
                      <w:u w:val="none"/>
                    </w:rPr>
                    <w:t>366</w:t>
                  </w:r>
                </w:p>
              </w:tc>
              <w:tc>
                <w:tcPr>
                  <w:tcW w:w="1174" w:type="dxa"/>
                  <w:tcBorders>
                    <w:tl2br w:val="nil"/>
                    <w:tr2bl w:val="nil"/>
                  </w:tcBorders>
                  <w:vAlign w:val="center"/>
                </w:tcPr>
                <w:p w14:paraId="642EB41A">
                  <w:pPr>
                    <w:pStyle w:val="45"/>
                    <w:rPr>
                      <w:rFonts w:hint="default"/>
                      <w:b w:val="0"/>
                      <w:bCs w:val="0"/>
                      <w:u w:val="none"/>
                    </w:rPr>
                  </w:pPr>
                  <w:r>
                    <w:rPr>
                      <w:b w:val="0"/>
                      <w:bCs w:val="0"/>
                      <w:u w:val="none"/>
                    </w:rPr>
                    <w:t>居民</w:t>
                  </w:r>
                </w:p>
              </w:tc>
              <w:tc>
                <w:tcPr>
                  <w:tcW w:w="2212" w:type="dxa"/>
                  <w:vMerge w:val="restart"/>
                  <w:tcBorders>
                    <w:tl2br w:val="nil"/>
                    <w:tr2bl w:val="nil"/>
                  </w:tcBorders>
                  <w:vAlign w:val="center"/>
                </w:tcPr>
                <w:p w14:paraId="6EC02D19">
                  <w:pPr>
                    <w:pStyle w:val="45"/>
                    <w:rPr>
                      <w:rFonts w:hint="default"/>
                      <w:b w:val="0"/>
                      <w:bCs w:val="0"/>
                      <w:u w:val="none"/>
                    </w:rPr>
                  </w:pPr>
                  <w:r>
                    <w:rPr>
                      <w:b w:val="0"/>
                      <w:bCs w:val="0"/>
                      <w:u w:val="none"/>
                    </w:rPr>
                    <w:t>《环境空气质量标准》</w:t>
                  </w:r>
                </w:p>
                <w:p w14:paraId="5D8F0840">
                  <w:pPr>
                    <w:pStyle w:val="45"/>
                    <w:rPr>
                      <w:rFonts w:hint="default"/>
                      <w:b w:val="0"/>
                      <w:bCs w:val="0"/>
                      <w:u w:val="none"/>
                    </w:rPr>
                  </w:pPr>
                  <w:r>
                    <w:rPr>
                      <w:b w:val="0"/>
                      <w:bCs w:val="0"/>
                      <w:u w:val="none"/>
                    </w:rPr>
                    <w:t>（GB3095-2012）二级标准</w:t>
                  </w:r>
                </w:p>
              </w:tc>
            </w:tr>
            <w:tr w14:paraId="40A5E5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6" w:type="dxa"/>
                  <w:tcBorders>
                    <w:tl2br w:val="nil"/>
                    <w:tr2bl w:val="nil"/>
                  </w:tcBorders>
                  <w:vAlign w:val="center"/>
                </w:tcPr>
                <w:p w14:paraId="4CB9DE75">
                  <w:pPr>
                    <w:pStyle w:val="45"/>
                    <w:rPr>
                      <w:rFonts w:hint="default"/>
                      <w:b w:val="0"/>
                      <w:bCs w:val="0"/>
                      <w:u w:val="none"/>
                    </w:rPr>
                  </w:pPr>
                  <w:r>
                    <w:rPr>
                      <w:b w:val="0"/>
                      <w:bCs w:val="0"/>
                      <w:u w:val="none"/>
                    </w:rPr>
                    <w:t>泥河张村</w:t>
                  </w:r>
                </w:p>
              </w:tc>
              <w:tc>
                <w:tcPr>
                  <w:tcW w:w="1350" w:type="dxa"/>
                  <w:tcBorders>
                    <w:tl2br w:val="nil"/>
                    <w:tr2bl w:val="nil"/>
                  </w:tcBorders>
                  <w:vAlign w:val="center"/>
                </w:tcPr>
                <w:p w14:paraId="11981B87">
                  <w:pPr>
                    <w:pStyle w:val="45"/>
                    <w:rPr>
                      <w:rFonts w:hint="default"/>
                      <w:b w:val="0"/>
                      <w:bCs w:val="0"/>
                      <w:u w:val="none"/>
                    </w:rPr>
                  </w:pPr>
                  <w:r>
                    <w:rPr>
                      <w:b w:val="0"/>
                      <w:bCs w:val="0"/>
                      <w:u w:val="none"/>
                    </w:rPr>
                    <w:t>东南</w:t>
                  </w:r>
                </w:p>
              </w:tc>
              <w:tc>
                <w:tcPr>
                  <w:tcW w:w="1267" w:type="dxa"/>
                  <w:tcBorders>
                    <w:tl2br w:val="nil"/>
                    <w:tr2bl w:val="nil"/>
                  </w:tcBorders>
                  <w:vAlign w:val="center"/>
                </w:tcPr>
                <w:p w14:paraId="1364C889">
                  <w:pPr>
                    <w:pStyle w:val="45"/>
                    <w:rPr>
                      <w:rFonts w:hint="default"/>
                      <w:b w:val="0"/>
                      <w:bCs w:val="0"/>
                      <w:u w:val="none"/>
                    </w:rPr>
                  </w:pPr>
                  <w:r>
                    <w:rPr>
                      <w:b w:val="0"/>
                      <w:bCs w:val="0"/>
                      <w:u w:val="none"/>
                    </w:rPr>
                    <w:t>392</w:t>
                  </w:r>
                </w:p>
              </w:tc>
              <w:tc>
                <w:tcPr>
                  <w:tcW w:w="1174" w:type="dxa"/>
                  <w:tcBorders>
                    <w:tl2br w:val="nil"/>
                    <w:tr2bl w:val="nil"/>
                  </w:tcBorders>
                  <w:vAlign w:val="center"/>
                </w:tcPr>
                <w:p w14:paraId="1C6DF5FB">
                  <w:pPr>
                    <w:pStyle w:val="45"/>
                    <w:rPr>
                      <w:rFonts w:hint="default"/>
                      <w:b w:val="0"/>
                      <w:bCs w:val="0"/>
                      <w:u w:val="none"/>
                    </w:rPr>
                  </w:pPr>
                  <w:r>
                    <w:rPr>
                      <w:b w:val="0"/>
                      <w:bCs w:val="0"/>
                      <w:u w:val="none"/>
                    </w:rPr>
                    <w:t>居民</w:t>
                  </w:r>
                </w:p>
              </w:tc>
              <w:tc>
                <w:tcPr>
                  <w:tcW w:w="2212" w:type="dxa"/>
                  <w:vMerge w:val="continue"/>
                  <w:tcBorders>
                    <w:tl2br w:val="nil"/>
                    <w:tr2bl w:val="nil"/>
                  </w:tcBorders>
                  <w:vAlign w:val="center"/>
                </w:tcPr>
                <w:p w14:paraId="4182593A">
                  <w:pPr>
                    <w:pStyle w:val="45"/>
                    <w:rPr>
                      <w:rFonts w:hint="default"/>
                      <w:b w:val="0"/>
                      <w:bCs w:val="0"/>
                      <w:u w:val="none"/>
                    </w:rPr>
                  </w:pPr>
                </w:p>
              </w:tc>
            </w:tr>
          </w:tbl>
          <w:p w14:paraId="374F3686">
            <w:pPr>
              <w:pStyle w:val="4"/>
              <w:numPr>
                <w:ilvl w:val="1"/>
                <w:numId w:val="3"/>
              </w:numPr>
              <w:tabs>
                <w:tab w:val="left" w:pos="0"/>
              </w:tabs>
              <w:rPr>
                <w:b w:val="0"/>
                <w:bCs w:val="0"/>
                <w:u w:val="none"/>
              </w:rPr>
            </w:pPr>
            <w:r>
              <w:rPr>
                <w:rFonts w:hint="eastAsia"/>
                <w:b w:val="0"/>
                <w:bCs w:val="0"/>
                <w:u w:val="none"/>
              </w:rPr>
              <w:t>声环境</w:t>
            </w:r>
          </w:p>
          <w:p w14:paraId="74EB8061">
            <w:pPr>
              <w:pStyle w:val="5"/>
              <w:rPr>
                <w:rFonts w:hint="default"/>
                <w:b w:val="0"/>
                <w:bCs w:val="0"/>
                <w:u w:val="none"/>
              </w:rPr>
            </w:pPr>
            <w:r>
              <w:rPr>
                <w:b w:val="0"/>
                <w:bCs w:val="0"/>
                <w:u w:val="none"/>
              </w:rPr>
              <w:t>根据现场勘查，本项目厂界外50m范围内无声环境保护目标。</w:t>
            </w:r>
          </w:p>
          <w:p w14:paraId="09A8F0F1">
            <w:pPr>
              <w:pStyle w:val="4"/>
              <w:numPr>
                <w:ilvl w:val="1"/>
                <w:numId w:val="3"/>
              </w:numPr>
              <w:tabs>
                <w:tab w:val="left" w:pos="0"/>
              </w:tabs>
              <w:rPr>
                <w:b w:val="0"/>
                <w:bCs w:val="0"/>
                <w:u w:val="none"/>
              </w:rPr>
            </w:pPr>
            <w:r>
              <w:rPr>
                <w:rFonts w:hint="eastAsia"/>
                <w:b w:val="0"/>
                <w:bCs w:val="0"/>
                <w:u w:val="none"/>
              </w:rPr>
              <w:t>地下水环境</w:t>
            </w:r>
          </w:p>
          <w:p w14:paraId="31301003">
            <w:pPr>
              <w:pStyle w:val="5"/>
              <w:rPr>
                <w:rFonts w:hint="default"/>
                <w:b w:val="0"/>
                <w:bCs w:val="0"/>
                <w:u w:val="none"/>
              </w:rPr>
            </w:pPr>
            <w:r>
              <w:rPr>
                <w:b w:val="0"/>
                <w:bCs w:val="0"/>
                <w:u w:val="none"/>
              </w:rPr>
              <w:t>根据现场勘查，本项目厂界外500m范围内无地下水集中式饮用水水源和热水、矿泉水、温泉等特殊地下水资源。</w:t>
            </w:r>
          </w:p>
        </w:tc>
      </w:tr>
      <w:tr w14:paraId="6765AF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691" w:type="dxa"/>
            <w:tcBorders>
              <w:top w:val="single" w:color="auto" w:sz="4" w:space="0"/>
              <w:left w:val="single" w:color="auto" w:sz="8" w:space="0"/>
              <w:bottom w:val="single" w:color="auto" w:sz="4" w:space="0"/>
              <w:right w:val="single" w:color="auto" w:sz="4" w:space="0"/>
            </w:tcBorders>
            <w:tcMar>
              <w:top w:w="0" w:type="dxa"/>
              <w:left w:w="28" w:type="dxa"/>
              <w:bottom w:w="0" w:type="dxa"/>
              <w:right w:w="28" w:type="dxa"/>
            </w:tcMar>
            <w:vAlign w:val="center"/>
          </w:tcPr>
          <w:p w14:paraId="73834080">
            <w:pPr>
              <w:rPr>
                <w:b w:val="0"/>
                <w:bCs w:val="0"/>
                <w:u w:val="none"/>
              </w:rPr>
            </w:pPr>
            <w:r>
              <w:rPr>
                <w:rFonts w:hint="eastAsia"/>
                <w:b w:val="0"/>
                <w:bCs w:val="0"/>
                <w:u w:val="none"/>
              </w:rPr>
              <w:t>污染物排放控</w:t>
            </w:r>
          </w:p>
          <w:p w14:paraId="0D4E614B">
            <w:pPr>
              <w:rPr>
                <w:b w:val="0"/>
                <w:bCs w:val="0"/>
                <w:u w:val="none"/>
              </w:rPr>
            </w:pPr>
            <w:r>
              <w:rPr>
                <w:rFonts w:hint="eastAsia"/>
                <w:b w:val="0"/>
                <w:bCs w:val="0"/>
                <w:u w:val="none"/>
              </w:rPr>
              <w:t>制标准</w:t>
            </w:r>
          </w:p>
        </w:tc>
        <w:tc>
          <w:tcPr>
            <w:tcW w:w="8299" w:type="dxa"/>
            <w:tcBorders>
              <w:top w:val="single" w:color="auto" w:sz="4" w:space="0"/>
              <w:left w:val="single" w:color="auto" w:sz="4" w:space="0"/>
              <w:bottom w:val="single" w:color="auto" w:sz="4" w:space="0"/>
              <w:right w:val="single" w:color="auto" w:sz="8" w:space="0"/>
            </w:tcBorders>
            <w:vAlign w:val="center"/>
          </w:tcPr>
          <w:p w14:paraId="12F73837">
            <w:pPr>
              <w:pStyle w:val="4"/>
              <w:numPr>
                <w:ilvl w:val="1"/>
                <w:numId w:val="9"/>
              </w:numPr>
              <w:tabs>
                <w:tab w:val="left" w:pos="0"/>
              </w:tabs>
              <w:rPr>
                <w:b w:val="0"/>
                <w:bCs w:val="0"/>
                <w:u w:val="none"/>
              </w:rPr>
            </w:pPr>
            <w:r>
              <w:rPr>
                <w:rFonts w:hint="eastAsia"/>
                <w:b w:val="0"/>
                <w:bCs w:val="0"/>
                <w:u w:val="none"/>
              </w:rPr>
              <w:t>废气排放标准</w:t>
            </w:r>
          </w:p>
          <w:p w14:paraId="313451C6">
            <w:pPr>
              <w:pStyle w:val="5"/>
              <w:rPr>
                <w:rFonts w:hint="default"/>
                <w:b w:val="0"/>
                <w:bCs w:val="0"/>
                <w:u w:val="none"/>
              </w:rPr>
            </w:pPr>
            <w:r>
              <w:rPr>
                <w:b w:val="0"/>
                <w:bCs w:val="0"/>
                <w:u w:val="none"/>
              </w:rPr>
              <w:t>液体CO</w:t>
            </w:r>
            <w:r>
              <w:rPr>
                <w:b w:val="0"/>
                <w:bCs w:val="0"/>
                <w:u w:val="none"/>
                <w:vertAlign w:val="subscript"/>
              </w:rPr>
              <w:t>2</w:t>
            </w:r>
            <w:r>
              <w:rPr>
                <w:b w:val="0"/>
                <w:bCs w:val="0"/>
                <w:u w:val="none"/>
              </w:rPr>
              <w:t>生产线产生的预精馏及提纯有组织废气（简称：二氧化碳回收尾气）中甲醇执行《大气污染物综合排放标准》（GB16297-1996），制氨水系统废气执行《无机化学工业污染物排放标准》（GB31573—2015）及其修改单中表3排放限值。具体见下表。</w:t>
            </w:r>
          </w:p>
          <w:p w14:paraId="3F31F0D2">
            <w:pPr>
              <w:pStyle w:val="44"/>
              <w:numPr>
                <w:ilvl w:val="0"/>
                <w:numId w:val="2"/>
              </w:numPr>
              <w:rPr>
                <w:rFonts w:hint="default"/>
                <w:b w:val="0"/>
                <w:bCs w:val="0"/>
                <w:u w:val="none"/>
              </w:rPr>
            </w:pPr>
            <w:r>
              <w:rPr>
                <w:rFonts w:hint="default"/>
                <w:b w:val="0"/>
                <w:bCs w:val="0"/>
                <w:u w:val="none"/>
              </w:rPr>
              <w:t>项目有组织废气排放标准</w:t>
            </w:r>
          </w:p>
          <w:tbl>
            <w:tblPr>
              <w:tblStyle w:val="2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736"/>
              <w:gridCol w:w="1318"/>
              <w:gridCol w:w="1366"/>
              <w:gridCol w:w="3603"/>
            </w:tblGrid>
            <w:tr w14:paraId="27ABFFB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pct"/>
                  <w:vMerge w:val="restart"/>
                  <w:tcBorders>
                    <w:tl2br w:val="nil"/>
                    <w:tr2bl w:val="nil"/>
                  </w:tcBorders>
                  <w:shd w:val="clear" w:color="auto" w:fill="auto"/>
                  <w:vAlign w:val="center"/>
                </w:tcPr>
                <w:p w14:paraId="79F08499">
                  <w:pPr>
                    <w:pStyle w:val="45"/>
                    <w:rPr>
                      <w:rFonts w:hint="default"/>
                      <w:b w:val="0"/>
                      <w:bCs w:val="0"/>
                      <w:u w:val="none"/>
                    </w:rPr>
                  </w:pPr>
                  <w:r>
                    <w:rPr>
                      <w:b w:val="0"/>
                      <w:bCs w:val="0"/>
                      <w:u w:val="none"/>
                    </w:rPr>
                    <w:t>污染源</w:t>
                  </w:r>
                </w:p>
              </w:tc>
              <w:tc>
                <w:tcPr>
                  <w:tcW w:w="455" w:type="pct"/>
                  <w:vMerge w:val="restart"/>
                  <w:tcBorders>
                    <w:tl2br w:val="nil"/>
                    <w:tr2bl w:val="nil"/>
                  </w:tcBorders>
                  <w:shd w:val="clear" w:color="auto" w:fill="auto"/>
                  <w:vAlign w:val="center"/>
                </w:tcPr>
                <w:p w14:paraId="1B1BD965">
                  <w:pPr>
                    <w:pStyle w:val="45"/>
                    <w:rPr>
                      <w:rFonts w:hint="default"/>
                      <w:b w:val="0"/>
                      <w:bCs w:val="0"/>
                      <w:u w:val="none"/>
                    </w:rPr>
                  </w:pPr>
                  <w:r>
                    <w:rPr>
                      <w:b w:val="0"/>
                      <w:bCs w:val="0"/>
                      <w:u w:val="none"/>
                    </w:rPr>
                    <w:t>污染物</w:t>
                  </w:r>
                </w:p>
              </w:tc>
              <w:tc>
                <w:tcPr>
                  <w:tcW w:w="1659" w:type="pct"/>
                  <w:gridSpan w:val="2"/>
                  <w:tcBorders>
                    <w:tl2br w:val="nil"/>
                    <w:tr2bl w:val="nil"/>
                  </w:tcBorders>
                  <w:shd w:val="clear" w:color="auto" w:fill="auto"/>
                  <w:vAlign w:val="center"/>
                </w:tcPr>
                <w:p w14:paraId="166FBC41">
                  <w:pPr>
                    <w:pStyle w:val="45"/>
                    <w:rPr>
                      <w:rFonts w:hint="default"/>
                      <w:b w:val="0"/>
                      <w:bCs w:val="0"/>
                      <w:u w:val="none"/>
                    </w:rPr>
                  </w:pPr>
                  <w:r>
                    <w:rPr>
                      <w:b w:val="0"/>
                      <w:bCs w:val="0"/>
                      <w:u w:val="none"/>
                    </w:rPr>
                    <w:t>标准限值</w:t>
                  </w:r>
                </w:p>
              </w:tc>
              <w:tc>
                <w:tcPr>
                  <w:tcW w:w="2228" w:type="pct"/>
                  <w:vMerge w:val="restart"/>
                  <w:tcBorders>
                    <w:tl2br w:val="nil"/>
                    <w:tr2bl w:val="nil"/>
                  </w:tcBorders>
                  <w:shd w:val="clear" w:color="auto" w:fill="auto"/>
                  <w:vAlign w:val="center"/>
                </w:tcPr>
                <w:p w14:paraId="5795C4CE">
                  <w:pPr>
                    <w:pStyle w:val="45"/>
                    <w:rPr>
                      <w:rFonts w:hint="default"/>
                      <w:b w:val="0"/>
                      <w:bCs w:val="0"/>
                      <w:u w:val="none"/>
                    </w:rPr>
                  </w:pPr>
                  <w:r>
                    <w:rPr>
                      <w:b w:val="0"/>
                      <w:bCs w:val="0"/>
                      <w:u w:val="none"/>
                    </w:rPr>
                    <w:t>执行标准</w:t>
                  </w:r>
                </w:p>
              </w:tc>
            </w:tr>
            <w:tr w14:paraId="2C615C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pct"/>
                  <w:vMerge w:val="continue"/>
                  <w:tcBorders>
                    <w:tl2br w:val="nil"/>
                    <w:tr2bl w:val="nil"/>
                  </w:tcBorders>
                  <w:shd w:val="clear" w:color="auto" w:fill="auto"/>
                  <w:vAlign w:val="center"/>
                </w:tcPr>
                <w:p w14:paraId="0C7D99AD">
                  <w:pPr>
                    <w:pStyle w:val="45"/>
                    <w:rPr>
                      <w:rFonts w:hint="default"/>
                      <w:b w:val="0"/>
                      <w:bCs w:val="0"/>
                      <w:u w:val="none"/>
                    </w:rPr>
                  </w:pPr>
                </w:p>
              </w:tc>
              <w:tc>
                <w:tcPr>
                  <w:tcW w:w="455" w:type="pct"/>
                  <w:vMerge w:val="continue"/>
                  <w:tcBorders>
                    <w:tl2br w:val="nil"/>
                    <w:tr2bl w:val="nil"/>
                  </w:tcBorders>
                  <w:shd w:val="clear" w:color="auto" w:fill="auto"/>
                  <w:vAlign w:val="center"/>
                </w:tcPr>
                <w:p w14:paraId="497D29EF">
                  <w:pPr>
                    <w:pStyle w:val="45"/>
                    <w:rPr>
                      <w:rFonts w:hint="default"/>
                      <w:b w:val="0"/>
                      <w:bCs w:val="0"/>
                      <w:u w:val="none"/>
                    </w:rPr>
                  </w:pPr>
                </w:p>
              </w:tc>
              <w:tc>
                <w:tcPr>
                  <w:tcW w:w="815" w:type="pct"/>
                  <w:tcBorders>
                    <w:tl2br w:val="nil"/>
                    <w:tr2bl w:val="nil"/>
                  </w:tcBorders>
                  <w:shd w:val="clear" w:color="auto" w:fill="auto"/>
                  <w:vAlign w:val="center"/>
                </w:tcPr>
                <w:p w14:paraId="61BE967B">
                  <w:pPr>
                    <w:pStyle w:val="45"/>
                    <w:rPr>
                      <w:rFonts w:hint="default"/>
                      <w:b w:val="0"/>
                      <w:bCs w:val="0"/>
                      <w:u w:val="none"/>
                    </w:rPr>
                  </w:pPr>
                  <w:r>
                    <w:rPr>
                      <w:b w:val="0"/>
                      <w:bCs w:val="0"/>
                      <w:u w:val="none"/>
                    </w:rPr>
                    <w:t>最高允许排放浓度mg/m</w:t>
                  </w:r>
                  <w:r>
                    <w:rPr>
                      <w:b w:val="0"/>
                      <w:bCs w:val="0"/>
                      <w:u w:val="none"/>
                      <w:vertAlign w:val="superscript"/>
                    </w:rPr>
                    <w:t>3</w:t>
                  </w:r>
                </w:p>
              </w:tc>
              <w:tc>
                <w:tcPr>
                  <w:tcW w:w="844" w:type="pct"/>
                  <w:tcBorders>
                    <w:tl2br w:val="nil"/>
                    <w:tr2bl w:val="nil"/>
                  </w:tcBorders>
                  <w:shd w:val="clear" w:color="auto" w:fill="auto"/>
                  <w:vAlign w:val="center"/>
                </w:tcPr>
                <w:p w14:paraId="679FD2A9">
                  <w:pPr>
                    <w:pStyle w:val="45"/>
                    <w:rPr>
                      <w:rFonts w:hint="default"/>
                      <w:b w:val="0"/>
                      <w:bCs w:val="0"/>
                      <w:u w:val="none"/>
                    </w:rPr>
                  </w:pPr>
                  <w:r>
                    <w:rPr>
                      <w:b w:val="0"/>
                      <w:bCs w:val="0"/>
                      <w:u w:val="none"/>
                    </w:rPr>
                    <w:t>最高允许排放速率kg/h</w:t>
                  </w:r>
                </w:p>
              </w:tc>
              <w:tc>
                <w:tcPr>
                  <w:tcW w:w="2228" w:type="pct"/>
                  <w:vMerge w:val="continue"/>
                  <w:tcBorders>
                    <w:tl2br w:val="nil"/>
                    <w:tr2bl w:val="nil"/>
                  </w:tcBorders>
                  <w:shd w:val="clear" w:color="auto" w:fill="auto"/>
                  <w:vAlign w:val="center"/>
                </w:tcPr>
                <w:p w14:paraId="79617F66">
                  <w:pPr>
                    <w:pStyle w:val="45"/>
                    <w:rPr>
                      <w:rFonts w:hint="default"/>
                      <w:b w:val="0"/>
                      <w:bCs w:val="0"/>
                      <w:u w:val="none"/>
                    </w:rPr>
                  </w:pPr>
                </w:p>
              </w:tc>
            </w:tr>
            <w:tr w14:paraId="5ACD5C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pct"/>
                  <w:vMerge w:val="restart"/>
                  <w:tcBorders>
                    <w:tl2br w:val="nil"/>
                    <w:tr2bl w:val="nil"/>
                  </w:tcBorders>
                  <w:shd w:val="clear" w:color="auto" w:fill="auto"/>
                  <w:vAlign w:val="center"/>
                </w:tcPr>
                <w:p w14:paraId="2E218D24">
                  <w:pPr>
                    <w:pStyle w:val="45"/>
                    <w:rPr>
                      <w:rFonts w:hint="default"/>
                      <w:b w:val="0"/>
                      <w:bCs w:val="0"/>
                      <w:u w:val="none"/>
                    </w:rPr>
                  </w:pPr>
                  <w:r>
                    <w:rPr>
                      <w:b w:val="0"/>
                      <w:bCs w:val="0"/>
                      <w:u w:val="none"/>
                    </w:rPr>
                    <w:t>二氧化碳回收尾气（DA001）</w:t>
                  </w:r>
                </w:p>
              </w:tc>
              <w:tc>
                <w:tcPr>
                  <w:tcW w:w="455" w:type="pct"/>
                  <w:tcBorders>
                    <w:tl2br w:val="nil"/>
                    <w:tr2bl w:val="nil"/>
                  </w:tcBorders>
                  <w:shd w:val="clear" w:color="auto" w:fill="auto"/>
                  <w:vAlign w:val="center"/>
                </w:tcPr>
                <w:p w14:paraId="583075BE">
                  <w:pPr>
                    <w:pStyle w:val="45"/>
                    <w:rPr>
                      <w:rFonts w:hint="default"/>
                      <w:b w:val="0"/>
                      <w:bCs w:val="0"/>
                      <w:u w:val="none"/>
                    </w:rPr>
                  </w:pPr>
                  <w:r>
                    <w:rPr>
                      <w:b w:val="0"/>
                      <w:bCs w:val="0"/>
                      <w:u w:val="none"/>
                    </w:rPr>
                    <w:t>甲醇</w:t>
                  </w:r>
                </w:p>
              </w:tc>
              <w:tc>
                <w:tcPr>
                  <w:tcW w:w="815" w:type="pct"/>
                  <w:tcBorders>
                    <w:tl2br w:val="nil"/>
                    <w:tr2bl w:val="nil"/>
                  </w:tcBorders>
                  <w:shd w:val="clear" w:color="auto" w:fill="auto"/>
                  <w:vAlign w:val="center"/>
                </w:tcPr>
                <w:p w14:paraId="5621E7CB">
                  <w:pPr>
                    <w:pStyle w:val="45"/>
                    <w:rPr>
                      <w:rFonts w:hint="default"/>
                      <w:b w:val="0"/>
                      <w:bCs w:val="0"/>
                      <w:u w:val="none"/>
                    </w:rPr>
                  </w:pPr>
                  <w:r>
                    <w:rPr>
                      <w:b w:val="0"/>
                      <w:bCs w:val="0"/>
                      <w:u w:val="none"/>
                    </w:rPr>
                    <w:t>190</w:t>
                  </w:r>
                </w:p>
              </w:tc>
              <w:tc>
                <w:tcPr>
                  <w:tcW w:w="844" w:type="pct"/>
                  <w:tcBorders>
                    <w:tl2br w:val="nil"/>
                    <w:tr2bl w:val="nil"/>
                  </w:tcBorders>
                  <w:shd w:val="clear" w:color="auto" w:fill="auto"/>
                  <w:vAlign w:val="center"/>
                </w:tcPr>
                <w:p w14:paraId="6DC6348E">
                  <w:pPr>
                    <w:pStyle w:val="45"/>
                    <w:rPr>
                      <w:rFonts w:hint="default"/>
                      <w:b w:val="0"/>
                      <w:bCs w:val="0"/>
                      <w:u w:val="none"/>
                    </w:rPr>
                  </w:pPr>
                  <w:r>
                    <w:rPr>
                      <w:b w:val="0"/>
                      <w:bCs w:val="0"/>
                      <w:highlight w:val="none"/>
                      <w:u w:val="none"/>
                    </w:rPr>
                    <w:t>29（30m）</w:t>
                  </w:r>
                </w:p>
              </w:tc>
              <w:tc>
                <w:tcPr>
                  <w:tcW w:w="2228" w:type="pct"/>
                  <w:tcBorders>
                    <w:tl2br w:val="nil"/>
                    <w:tr2bl w:val="nil"/>
                  </w:tcBorders>
                  <w:shd w:val="clear" w:color="auto" w:fill="auto"/>
                  <w:vAlign w:val="center"/>
                </w:tcPr>
                <w:p w14:paraId="67DB154F">
                  <w:pPr>
                    <w:pStyle w:val="45"/>
                    <w:rPr>
                      <w:rFonts w:hint="default"/>
                      <w:b w:val="0"/>
                      <w:bCs w:val="0"/>
                      <w:u w:val="none"/>
                    </w:rPr>
                  </w:pPr>
                  <w:r>
                    <w:rPr>
                      <w:b w:val="0"/>
                      <w:bCs w:val="0"/>
                      <w:u w:val="none"/>
                    </w:rPr>
                    <w:t>《大气污染物综合排放标准》（GB16297-1996）</w:t>
                  </w:r>
                </w:p>
              </w:tc>
            </w:tr>
            <w:tr w14:paraId="452436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pct"/>
                  <w:vMerge w:val="continue"/>
                  <w:tcBorders>
                    <w:tl2br w:val="nil"/>
                    <w:tr2bl w:val="nil"/>
                  </w:tcBorders>
                  <w:shd w:val="clear" w:color="auto" w:fill="auto"/>
                  <w:vAlign w:val="center"/>
                </w:tcPr>
                <w:p w14:paraId="1372D926">
                  <w:pPr>
                    <w:pStyle w:val="45"/>
                    <w:rPr>
                      <w:rFonts w:hint="default"/>
                      <w:b w:val="0"/>
                      <w:bCs w:val="0"/>
                      <w:u w:val="none"/>
                    </w:rPr>
                  </w:pPr>
                </w:p>
              </w:tc>
              <w:tc>
                <w:tcPr>
                  <w:tcW w:w="455" w:type="pct"/>
                  <w:tcBorders>
                    <w:tl2br w:val="nil"/>
                    <w:tr2bl w:val="nil"/>
                  </w:tcBorders>
                  <w:shd w:val="clear" w:color="auto" w:fill="auto"/>
                  <w:vAlign w:val="center"/>
                </w:tcPr>
                <w:p w14:paraId="3801539B">
                  <w:pPr>
                    <w:pStyle w:val="45"/>
                    <w:rPr>
                      <w:rFonts w:hint="default"/>
                      <w:b w:val="0"/>
                      <w:bCs w:val="0"/>
                      <w:u w:val="none"/>
                    </w:rPr>
                  </w:pPr>
                  <w:r>
                    <w:rPr>
                      <w:b w:val="0"/>
                      <w:bCs w:val="0"/>
                      <w:u w:val="none"/>
                    </w:rPr>
                    <w:t>H</w:t>
                  </w:r>
                  <w:r>
                    <w:rPr>
                      <w:b w:val="0"/>
                      <w:bCs w:val="0"/>
                      <w:u w:val="none"/>
                      <w:vertAlign w:val="subscript"/>
                    </w:rPr>
                    <w:t>2</w:t>
                  </w:r>
                  <w:r>
                    <w:rPr>
                      <w:b w:val="0"/>
                      <w:bCs w:val="0"/>
                      <w:u w:val="none"/>
                    </w:rPr>
                    <w:t>S</w:t>
                  </w:r>
                </w:p>
              </w:tc>
              <w:tc>
                <w:tcPr>
                  <w:tcW w:w="815" w:type="pct"/>
                  <w:tcBorders>
                    <w:tl2br w:val="nil"/>
                    <w:tr2bl w:val="nil"/>
                  </w:tcBorders>
                  <w:shd w:val="clear" w:color="auto" w:fill="auto"/>
                  <w:vAlign w:val="center"/>
                </w:tcPr>
                <w:p w14:paraId="25F1421E">
                  <w:pPr>
                    <w:pStyle w:val="45"/>
                    <w:rPr>
                      <w:rFonts w:hint="default"/>
                      <w:b w:val="0"/>
                      <w:bCs w:val="0"/>
                      <w:u w:val="none"/>
                    </w:rPr>
                  </w:pPr>
                  <w:r>
                    <w:rPr>
                      <w:b w:val="0"/>
                      <w:bCs w:val="0"/>
                      <w:u w:val="none"/>
                    </w:rPr>
                    <w:t>5</w:t>
                  </w:r>
                </w:p>
              </w:tc>
              <w:tc>
                <w:tcPr>
                  <w:tcW w:w="844" w:type="pct"/>
                  <w:tcBorders>
                    <w:tl2br w:val="nil"/>
                    <w:tr2bl w:val="nil"/>
                  </w:tcBorders>
                  <w:shd w:val="clear" w:color="auto" w:fill="auto"/>
                  <w:vAlign w:val="center"/>
                </w:tcPr>
                <w:p w14:paraId="33824673">
                  <w:pPr>
                    <w:pStyle w:val="45"/>
                    <w:rPr>
                      <w:rFonts w:hint="default"/>
                      <w:b w:val="0"/>
                      <w:bCs w:val="0"/>
                      <w:u w:val="none"/>
                    </w:rPr>
                  </w:pPr>
                  <w:r>
                    <w:rPr>
                      <w:b w:val="0"/>
                      <w:bCs w:val="0"/>
                      <w:u w:val="none"/>
                    </w:rPr>
                    <w:t>/</w:t>
                  </w:r>
                </w:p>
              </w:tc>
              <w:tc>
                <w:tcPr>
                  <w:tcW w:w="2228" w:type="pct"/>
                  <w:tcBorders>
                    <w:tl2br w:val="nil"/>
                    <w:tr2bl w:val="nil"/>
                  </w:tcBorders>
                  <w:shd w:val="clear" w:color="auto" w:fill="auto"/>
                  <w:vAlign w:val="center"/>
                </w:tcPr>
                <w:p w14:paraId="27D5838B">
                  <w:pPr>
                    <w:pStyle w:val="45"/>
                    <w:rPr>
                      <w:rFonts w:hint="default"/>
                      <w:b w:val="0"/>
                      <w:bCs w:val="0"/>
                      <w:u w:val="none"/>
                    </w:rPr>
                  </w:pPr>
                  <w:r>
                    <w:rPr>
                      <w:b w:val="0"/>
                      <w:bCs w:val="0"/>
                      <w:u w:val="none"/>
                    </w:rPr>
                    <w:t>《无机化学工业污染物排放标准》（GB31573—2015）及其修改单中表4特别排放限值</w:t>
                  </w:r>
                </w:p>
              </w:tc>
            </w:tr>
            <w:tr w14:paraId="54020E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5" w:type="pct"/>
                  <w:tcBorders>
                    <w:tl2br w:val="nil"/>
                    <w:tr2bl w:val="nil"/>
                  </w:tcBorders>
                  <w:shd w:val="clear" w:color="auto" w:fill="auto"/>
                  <w:vAlign w:val="center"/>
                </w:tcPr>
                <w:p w14:paraId="1940200A">
                  <w:pPr>
                    <w:pStyle w:val="45"/>
                    <w:rPr>
                      <w:rFonts w:hint="default"/>
                      <w:b w:val="0"/>
                      <w:bCs w:val="0"/>
                      <w:u w:val="none"/>
                    </w:rPr>
                  </w:pPr>
                  <w:r>
                    <w:rPr>
                      <w:b w:val="0"/>
                      <w:bCs w:val="0"/>
                      <w:u w:val="none"/>
                    </w:rPr>
                    <w:t>制氨水系统废气（DA002）</w:t>
                  </w:r>
                </w:p>
              </w:tc>
              <w:tc>
                <w:tcPr>
                  <w:tcW w:w="455" w:type="pct"/>
                  <w:tcBorders>
                    <w:tl2br w:val="nil"/>
                    <w:tr2bl w:val="nil"/>
                  </w:tcBorders>
                  <w:shd w:val="clear" w:color="auto" w:fill="auto"/>
                  <w:vAlign w:val="center"/>
                </w:tcPr>
                <w:p w14:paraId="4C19ED7C">
                  <w:pPr>
                    <w:pStyle w:val="45"/>
                    <w:rPr>
                      <w:rFonts w:hint="default"/>
                      <w:b w:val="0"/>
                      <w:bCs w:val="0"/>
                      <w:u w:val="none"/>
                    </w:rPr>
                  </w:pPr>
                  <w:r>
                    <w:rPr>
                      <w:b w:val="0"/>
                      <w:bCs w:val="0"/>
                      <w:u w:val="none"/>
                    </w:rPr>
                    <w:t>NH</w:t>
                  </w:r>
                  <w:r>
                    <w:rPr>
                      <w:b w:val="0"/>
                      <w:bCs w:val="0"/>
                      <w:u w:val="none"/>
                      <w:vertAlign w:val="subscript"/>
                    </w:rPr>
                    <w:t>3</w:t>
                  </w:r>
                </w:p>
              </w:tc>
              <w:tc>
                <w:tcPr>
                  <w:tcW w:w="815" w:type="pct"/>
                  <w:tcBorders>
                    <w:tl2br w:val="nil"/>
                    <w:tr2bl w:val="nil"/>
                  </w:tcBorders>
                  <w:shd w:val="clear" w:color="auto" w:fill="auto"/>
                  <w:vAlign w:val="center"/>
                </w:tcPr>
                <w:p w14:paraId="19B87D53">
                  <w:pPr>
                    <w:pStyle w:val="45"/>
                    <w:rPr>
                      <w:rFonts w:hint="default"/>
                      <w:b w:val="0"/>
                      <w:bCs w:val="0"/>
                      <w:u w:val="none"/>
                    </w:rPr>
                  </w:pPr>
                  <w:r>
                    <w:rPr>
                      <w:b w:val="0"/>
                      <w:bCs w:val="0"/>
                      <w:u w:val="none"/>
                    </w:rPr>
                    <w:t>10</w:t>
                  </w:r>
                </w:p>
              </w:tc>
              <w:tc>
                <w:tcPr>
                  <w:tcW w:w="844" w:type="pct"/>
                  <w:tcBorders>
                    <w:tl2br w:val="nil"/>
                    <w:tr2bl w:val="nil"/>
                  </w:tcBorders>
                  <w:shd w:val="clear" w:color="auto" w:fill="auto"/>
                  <w:vAlign w:val="center"/>
                </w:tcPr>
                <w:p w14:paraId="55AC935F">
                  <w:pPr>
                    <w:pStyle w:val="45"/>
                    <w:rPr>
                      <w:rFonts w:hint="default"/>
                      <w:b w:val="0"/>
                      <w:bCs w:val="0"/>
                      <w:u w:val="none"/>
                    </w:rPr>
                  </w:pPr>
                  <w:r>
                    <w:rPr>
                      <w:b w:val="0"/>
                      <w:bCs w:val="0"/>
                      <w:u w:val="none"/>
                    </w:rPr>
                    <w:t>/</w:t>
                  </w:r>
                </w:p>
              </w:tc>
              <w:tc>
                <w:tcPr>
                  <w:tcW w:w="2228" w:type="pct"/>
                  <w:tcBorders>
                    <w:tl2br w:val="nil"/>
                    <w:tr2bl w:val="nil"/>
                  </w:tcBorders>
                  <w:shd w:val="clear" w:color="auto" w:fill="auto"/>
                  <w:vAlign w:val="center"/>
                </w:tcPr>
                <w:p w14:paraId="589E8285">
                  <w:pPr>
                    <w:pStyle w:val="45"/>
                    <w:rPr>
                      <w:rFonts w:hint="default"/>
                      <w:b w:val="0"/>
                      <w:bCs w:val="0"/>
                      <w:u w:val="none"/>
                    </w:rPr>
                  </w:pPr>
                  <w:r>
                    <w:rPr>
                      <w:b w:val="0"/>
                      <w:bCs w:val="0"/>
                      <w:u w:val="none"/>
                    </w:rPr>
                    <w:t>《无机化学工业污染物排放标准》（GB31573—2015）及其修改单中表4特别排放限值</w:t>
                  </w:r>
                </w:p>
              </w:tc>
            </w:tr>
          </w:tbl>
          <w:p w14:paraId="6DF0F4FE">
            <w:pPr>
              <w:pStyle w:val="5"/>
              <w:rPr>
                <w:rFonts w:hint="default"/>
                <w:b w:val="0"/>
                <w:bCs w:val="0"/>
                <w:u w:val="none"/>
              </w:rPr>
            </w:pPr>
            <w:r>
              <w:rPr>
                <w:b w:val="0"/>
                <w:bCs w:val="0"/>
                <w:u w:val="none"/>
              </w:rPr>
              <w:t>无组织排放标准具体见下表。</w:t>
            </w:r>
          </w:p>
          <w:p w14:paraId="4FF39C59">
            <w:pPr>
              <w:pStyle w:val="44"/>
              <w:numPr>
                <w:ilvl w:val="0"/>
                <w:numId w:val="2"/>
              </w:numPr>
              <w:rPr>
                <w:rFonts w:hint="default"/>
                <w:b w:val="0"/>
                <w:bCs w:val="0"/>
                <w:u w:val="none"/>
              </w:rPr>
            </w:pPr>
            <w:r>
              <w:rPr>
                <w:rFonts w:hint="default"/>
                <w:b w:val="0"/>
                <w:bCs w:val="0"/>
                <w:u w:val="none"/>
              </w:rPr>
              <w:t>项目无组织废气排放标准</w:t>
            </w:r>
          </w:p>
          <w:tbl>
            <w:tblPr>
              <w:tblStyle w:val="2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131"/>
              <w:gridCol w:w="4021"/>
            </w:tblGrid>
            <w:tr w14:paraId="5D2527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atLeast"/>
                <w:jc w:val="center"/>
              </w:trPr>
              <w:tc>
                <w:tcPr>
                  <w:tcW w:w="1586" w:type="dxa"/>
                  <w:tcBorders>
                    <w:tl2br w:val="nil"/>
                    <w:tr2bl w:val="nil"/>
                  </w:tcBorders>
                  <w:shd w:val="clear" w:color="auto" w:fill="auto"/>
                  <w:vAlign w:val="center"/>
                </w:tcPr>
                <w:p w14:paraId="4FC1E7B6">
                  <w:pPr>
                    <w:pStyle w:val="45"/>
                    <w:rPr>
                      <w:rFonts w:hint="default"/>
                      <w:b w:val="0"/>
                      <w:bCs w:val="0"/>
                      <w:u w:val="none"/>
                    </w:rPr>
                  </w:pPr>
                  <w:r>
                    <w:rPr>
                      <w:b w:val="0"/>
                      <w:bCs w:val="0"/>
                      <w:u w:val="none"/>
                    </w:rPr>
                    <w:t>污染物</w:t>
                  </w:r>
                </w:p>
              </w:tc>
              <w:tc>
                <w:tcPr>
                  <w:tcW w:w="1750" w:type="dxa"/>
                  <w:tcBorders>
                    <w:tl2br w:val="nil"/>
                    <w:tr2bl w:val="nil"/>
                  </w:tcBorders>
                  <w:shd w:val="clear" w:color="auto" w:fill="auto"/>
                  <w:vAlign w:val="center"/>
                </w:tcPr>
                <w:p w14:paraId="5CE301BD">
                  <w:pPr>
                    <w:pStyle w:val="45"/>
                    <w:rPr>
                      <w:rFonts w:hint="default"/>
                      <w:b w:val="0"/>
                      <w:bCs w:val="0"/>
                      <w:u w:val="none"/>
                    </w:rPr>
                  </w:pPr>
                  <w:r>
                    <w:rPr>
                      <w:b w:val="0"/>
                      <w:bCs w:val="0"/>
                      <w:u w:val="none"/>
                    </w:rPr>
                    <w:t>无组织mg/m</w:t>
                  </w:r>
                  <w:r>
                    <w:rPr>
                      <w:b w:val="0"/>
                      <w:bCs w:val="0"/>
                      <w:u w:val="none"/>
                      <w:vertAlign w:val="superscript"/>
                    </w:rPr>
                    <w:t>3</w:t>
                  </w:r>
                </w:p>
              </w:tc>
              <w:tc>
                <w:tcPr>
                  <w:tcW w:w="3302" w:type="dxa"/>
                  <w:tcBorders>
                    <w:tl2br w:val="nil"/>
                    <w:tr2bl w:val="nil"/>
                  </w:tcBorders>
                  <w:shd w:val="clear" w:color="auto" w:fill="auto"/>
                  <w:vAlign w:val="center"/>
                </w:tcPr>
                <w:p w14:paraId="0BC69A96">
                  <w:pPr>
                    <w:pStyle w:val="45"/>
                    <w:rPr>
                      <w:rFonts w:hint="default"/>
                      <w:b w:val="0"/>
                      <w:bCs w:val="0"/>
                      <w:u w:val="none"/>
                    </w:rPr>
                  </w:pPr>
                  <w:r>
                    <w:rPr>
                      <w:b w:val="0"/>
                      <w:bCs w:val="0"/>
                      <w:u w:val="none"/>
                    </w:rPr>
                    <w:t>执行标准</w:t>
                  </w:r>
                </w:p>
              </w:tc>
            </w:tr>
            <w:tr w14:paraId="0136D7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6" w:type="dxa"/>
                  <w:tcBorders>
                    <w:tl2br w:val="nil"/>
                    <w:tr2bl w:val="nil"/>
                  </w:tcBorders>
                  <w:shd w:val="clear" w:color="auto" w:fill="auto"/>
                  <w:vAlign w:val="center"/>
                </w:tcPr>
                <w:p w14:paraId="75705171">
                  <w:pPr>
                    <w:pStyle w:val="45"/>
                    <w:rPr>
                      <w:rFonts w:hint="default"/>
                      <w:b w:val="0"/>
                      <w:bCs w:val="0"/>
                      <w:u w:val="none"/>
                    </w:rPr>
                  </w:pPr>
                  <w:r>
                    <w:rPr>
                      <w:b w:val="0"/>
                      <w:bCs w:val="0"/>
                      <w:u w:val="none"/>
                    </w:rPr>
                    <w:t>甲醇</w:t>
                  </w:r>
                </w:p>
              </w:tc>
              <w:tc>
                <w:tcPr>
                  <w:tcW w:w="1750" w:type="dxa"/>
                  <w:tcBorders>
                    <w:tl2br w:val="nil"/>
                    <w:tr2bl w:val="nil"/>
                  </w:tcBorders>
                  <w:shd w:val="clear" w:color="auto" w:fill="auto"/>
                  <w:vAlign w:val="center"/>
                </w:tcPr>
                <w:p w14:paraId="70F15954">
                  <w:pPr>
                    <w:pStyle w:val="45"/>
                    <w:rPr>
                      <w:rFonts w:hint="default"/>
                      <w:b w:val="0"/>
                      <w:bCs w:val="0"/>
                      <w:highlight w:val="none"/>
                      <w:u w:val="none"/>
                    </w:rPr>
                  </w:pPr>
                  <w:r>
                    <w:rPr>
                      <w:b w:val="0"/>
                      <w:bCs w:val="0"/>
                      <w:highlight w:val="none"/>
                      <w:u w:val="none"/>
                    </w:rPr>
                    <w:t>12</w:t>
                  </w:r>
                </w:p>
              </w:tc>
              <w:tc>
                <w:tcPr>
                  <w:tcW w:w="3302" w:type="dxa"/>
                  <w:tcBorders>
                    <w:tl2br w:val="nil"/>
                    <w:tr2bl w:val="nil"/>
                  </w:tcBorders>
                  <w:shd w:val="clear" w:color="auto" w:fill="auto"/>
                  <w:vAlign w:val="center"/>
                </w:tcPr>
                <w:p w14:paraId="75FCE053">
                  <w:pPr>
                    <w:pStyle w:val="45"/>
                    <w:rPr>
                      <w:rFonts w:hint="default"/>
                      <w:b w:val="0"/>
                      <w:bCs w:val="0"/>
                      <w:u w:val="none"/>
                    </w:rPr>
                  </w:pPr>
                  <w:r>
                    <w:rPr>
                      <w:b w:val="0"/>
                      <w:bCs w:val="0"/>
                      <w:u w:val="none"/>
                    </w:rPr>
                    <w:t>《大气污染物综合排放标准》（DB32/4041-2021）</w:t>
                  </w:r>
                </w:p>
              </w:tc>
            </w:tr>
            <w:tr w14:paraId="539BF84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6" w:type="dxa"/>
                  <w:tcBorders>
                    <w:tl2br w:val="nil"/>
                    <w:tr2bl w:val="nil"/>
                  </w:tcBorders>
                  <w:shd w:val="clear" w:color="auto" w:fill="auto"/>
                  <w:vAlign w:val="center"/>
                </w:tcPr>
                <w:p w14:paraId="2FEC78E9">
                  <w:pPr>
                    <w:pStyle w:val="45"/>
                    <w:rPr>
                      <w:rFonts w:hint="default"/>
                      <w:b w:val="0"/>
                      <w:bCs w:val="0"/>
                      <w:u w:val="none"/>
                    </w:rPr>
                  </w:pPr>
                  <w:r>
                    <w:rPr>
                      <w:b w:val="0"/>
                      <w:bCs w:val="0"/>
                      <w:u w:val="none"/>
                    </w:rPr>
                    <w:t>H</w:t>
                  </w:r>
                  <w:r>
                    <w:rPr>
                      <w:b w:val="0"/>
                      <w:bCs w:val="0"/>
                      <w:u w:val="none"/>
                      <w:vertAlign w:val="subscript"/>
                    </w:rPr>
                    <w:t>2</w:t>
                  </w:r>
                  <w:r>
                    <w:rPr>
                      <w:b w:val="0"/>
                      <w:bCs w:val="0"/>
                      <w:u w:val="none"/>
                    </w:rPr>
                    <w:t>S</w:t>
                  </w:r>
                </w:p>
              </w:tc>
              <w:tc>
                <w:tcPr>
                  <w:tcW w:w="1750" w:type="dxa"/>
                  <w:tcBorders>
                    <w:tl2br w:val="nil"/>
                    <w:tr2bl w:val="nil"/>
                  </w:tcBorders>
                  <w:shd w:val="clear" w:color="auto" w:fill="auto"/>
                  <w:vAlign w:val="center"/>
                </w:tcPr>
                <w:p w14:paraId="1DE74123">
                  <w:pPr>
                    <w:pStyle w:val="45"/>
                    <w:rPr>
                      <w:rFonts w:hint="default"/>
                      <w:b w:val="0"/>
                      <w:bCs w:val="0"/>
                      <w:highlight w:val="none"/>
                      <w:u w:val="none"/>
                    </w:rPr>
                  </w:pPr>
                  <w:r>
                    <w:rPr>
                      <w:b w:val="0"/>
                      <w:bCs w:val="0"/>
                      <w:highlight w:val="none"/>
                      <w:u w:val="none"/>
                    </w:rPr>
                    <w:t>0.3</w:t>
                  </w:r>
                </w:p>
              </w:tc>
              <w:tc>
                <w:tcPr>
                  <w:tcW w:w="3302" w:type="dxa"/>
                  <w:tcBorders>
                    <w:tl2br w:val="nil"/>
                    <w:tr2bl w:val="nil"/>
                  </w:tcBorders>
                  <w:shd w:val="clear" w:color="auto" w:fill="auto"/>
                  <w:vAlign w:val="center"/>
                </w:tcPr>
                <w:p w14:paraId="4BBAAD6C">
                  <w:pPr>
                    <w:pStyle w:val="45"/>
                    <w:rPr>
                      <w:rFonts w:hint="default"/>
                      <w:b w:val="0"/>
                      <w:bCs w:val="0"/>
                      <w:u w:val="none"/>
                    </w:rPr>
                  </w:pPr>
                  <w:r>
                    <w:rPr>
                      <w:b w:val="0"/>
                      <w:bCs w:val="0"/>
                      <w:u w:val="none"/>
                    </w:rPr>
                    <w:t>《无机化学工业污染物排放标准》（GB31573—2015）及其修改单中表5</w:t>
                  </w:r>
                </w:p>
              </w:tc>
            </w:tr>
            <w:tr w14:paraId="1A10CE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6" w:type="dxa"/>
                  <w:tcBorders>
                    <w:tl2br w:val="nil"/>
                    <w:tr2bl w:val="nil"/>
                  </w:tcBorders>
                  <w:shd w:val="clear" w:color="auto" w:fill="auto"/>
                  <w:vAlign w:val="center"/>
                </w:tcPr>
                <w:p w14:paraId="21910E32">
                  <w:pPr>
                    <w:pStyle w:val="45"/>
                    <w:rPr>
                      <w:rFonts w:hint="default"/>
                      <w:b w:val="0"/>
                      <w:bCs w:val="0"/>
                      <w:u w:val="none"/>
                    </w:rPr>
                  </w:pPr>
                  <w:r>
                    <w:rPr>
                      <w:b w:val="0"/>
                      <w:bCs w:val="0"/>
                      <w:u w:val="none"/>
                    </w:rPr>
                    <w:t>NH</w:t>
                  </w:r>
                  <w:r>
                    <w:rPr>
                      <w:b w:val="0"/>
                      <w:bCs w:val="0"/>
                      <w:u w:val="none"/>
                      <w:vertAlign w:val="subscript"/>
                    </w:rPr>
                    <w:t>3</w:t>
                  </w:r>
                </w:p>
              </w:tc>
              <w:tc>
                <w:tcPr>
                  <w:tcW w:w="1750" w:type="dxa"/>
                  <w:tcBorders>
                    <w:tl2br w:val="nil"/>
                    <w:tr2bl w:val="nil"/>
                  </w:tcBorders>
                  <w:shd w:val="clear" w:color="auto" w:fill="auto"/>
                  <w:vAlign w:val="center"/>
                </w:tcPr>
                <w:p w14:paraId="54DA4970">
                  <w:pPr>
                    <w:pStyle w:val="45"/>
                    <w:rPr>
                      <w:rFonts w:hint="default"/>
                      <w:b w:val="0"/>
                      <w:bCs w:val="0"/>
                      <w:highlight w:val="none"/>
                      <w:u w:val="none"/>
                    </w:rPr>
                  </w:pPr>
                  <w:r>
                    <w:rPr>
                      <w:b w:val="0"/>
                      <w:bCs w:val="0"/>
                      <w:highlight w:val="none"/>
                      <w:u w:val="none"/>
                    </w:rPr>
                    <w:t>0.03</w:t>
                  </w:r>
                </w:p>
              </w:tc>
              <w:tc>
                <w:tcPr>
                  <w:tcW w:w="3302" w:type="dxa"/>
                  <w:tcBorders>
                    <w:tl2br w:val="nil"/>
                    <w:tr2bl w:val="nil"/>
                  </w:tcBorders>
                  <w:shd w:val="clear" w:color="auto" w:fill="auto"/>
                  <w:vAlign w:val="center"/>
                </w:tcPr>
                <w:p w14:paraId="55402D25">
                  <w:pPr>
                    <w:pStyle w:val="45"/>
                    <w:rPr>
                      <w:rFonts w:hint="default"/>
                      <w:b w:val="0"/>
                      <w:bCs w:val="0"/>
                      <w:u w:val="none"/>
                    </w:rPr>
                  </w:pPr>
                  <w:r>
                    <w:rPr>
                      <w:b w:val="0"/>
                      <w:bCs w:val="0"/>
                      <w:u w:val="none"/>
                    </w:rPr>
                    <w:t>《无机化学工业污染物排放标准》（GB31573—2015）及其修改单中表5</w:t>
                  </w:r>
                </w:p>
              </w:tc>
            </w:tr>
          </w:tbl>
          <w:p w14:paraId="11BC46AC">
            <w:pPr>
              <w:pStyle w:val="4"/>
              <w:numPr>
                <w:ilvl w:val="1"/>
                <w:numId w:val="9"/>
              </w:numPr>
              <w:tabs>
                <w:tab w:val="left" w:pos="0"/>
              </w:tabs>
              <w:rPr>
                <w:b w:val="0"/>
                <w:bCs w:val="0"/>
                <w:u w:val="none"/>
              </w:rPr>
            </w:pPr>
            <w:r>
              <w:rPr>
                <w:rFonts w:hint="eastAsia"/>
                <w:b w:val="0"/>
                <w:bCs w:val="0"/>
                <w:u w:val="none"/>
              </w:rPr>
              <w:t>水污染物排放标准</w:t>
            </w:r>
          </w:p>
          <w:p w14:paraId="7EEFF871">
            <w:pPr>
              <w:pStyle w:val="44"/>
              <w:numPr>
                <w:ilvl w:val="0"/>
                <w:numId w:val="2"/>
              </w:numPr>
              <w:rPr>
                <w:rFonts w:hint="default"/>
                <w:b w:val="0"/>
                <w:bCs w:val="0"/>
                <w:u w:val="none"/>
              </w:rPr>
            </w:pPr>
            <w:r>
              <w:rPr>
                <w:rFonts w:hint="default"/>
                <w:b w:val="0"/>
                <w:bCs w:val="0"/>
                <w:u w:val="none"/>
              </w:rPr>
              <w:t>项目生活污水排放标准               单位：mg/L</w:t>
            </w:r>
          </w:p>
          <w:tbl>
            <w:tblPr>
              <w:tblStyle w:val="2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2998"/>
              <w:gridCol w:w="2695"/>
            </w:tblGrid>
            <w:tr w14:paraId="6D7C7B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8" w:type="pct"/>
                  <w:tcBorders>
                    <w:tl2br w:val="nil"/>
                    <w:tr2bl w:val="nil"/>
                  </w:tcBorders>
                  <w:vAlign w:val="center"/>
                </w:tcPr>
                <w:p w14:paraId="571AFD96">
                  <w:pPr>
                    <w:pStyle w:val="45"/>
                    <w:rPr>
                      <w:rFonts w:hint="default"/>
                      <w:b w:val="0"/>
                      <w:bCs w:val="0"/>
                      <w:u w:val="none"/>
                    </w:rPr>
                  </w:pPr>
                  <w:r>
                    <w:rPr>
                      <w:rFonts w:hint="default"/>
                      <w:b w:val="0"/>
                      <w:bCs w:val="0"/>
                      <w:u w:val="none"/>
                    </w:rPr>
                    <w:t>污染物</w:t>
                  </w:r>
                </w:p>
              </w:tc>
              <w:tc>
                <w:tcPr>
                  <w:tcW w:w="1854" w:type="pct"/>
                  <w:tcBorders>
                    <w:tl2br w:val="nil"/>
                    <w:tr2bl w:val="nil"/>
                  </w:tcBorders>
                  <w:vAlign w:val="center"/>
                </w:tcPr>
                <w:p w14:paraId="417F4B1E">
                  <w:pPr>
                    <w:pStyle w:val="45"/>
                    <w:rPr>
                      <w:rFonts w:hint="default"/>
                      <w:b w:val="0"/>
                      <w:bCs w:val="0"/>
                      <w:u w:val="none"/>
                    </w:rPr>
                  </w:pPr>
                  <w:r>
                    <w:rPr>
                      <w:b w:val="0"/>
                      <w:bCs w:val="0"/>
                      <w:u w:val="none"/>
                    </w:rPr>
                    <w:t>《无机化学工业污染物排放标准》（GB31573—2015）间接排放标准</w:t>
                  </w:r>
                </w:p>
              </w:tc>
              <w:tc>
                <w:tcPr>
                  <w:tcW w:w="1667" w:type="pct"/>
                  <w:tcBorders>
                    <w:tl2br w:val="nil"/>
                    <w:tr2bl w:val="nil"/>
                  </w:tcBorders>
                  <w:vAlign w:val="center"/>
                </w:tcPr>
                <w:p w14:paraId="4B719FC1">
                  <w:pPr>
                    <w:pStyle w:val="45"/>
                    <w:rPr>
                      <w:rFonts w:hint="default"/>
                      <w:b w:val="0"/>
                      <w:bCs w:val="0"/>
                      <w:u w:val="none"/>
                    </w:rPr>
                  </w:pPr>
                  <w:r>
                    <w:rPr>
                      <w:b w:val="0"/>
                      <w:bCs w:val="0"/>
                      <w:u w:val="none"/>
                    </w:rPr>
                    <w:t>平顶山市第三处理厂</w:t>
                  </w:r>
                </w:p>
                <w:p w14:paraId="610A917E">
                  <w:pPr>
                    <w:pStyle w:val="45"/>
                    <w:rPr>
                      <w:rFonts w:hint="default"/>
                      <w:b w:val="0"/>
                      <w:bCs w:val="0"/>
                      <w:u w:val="none"/>
                    </w:rPr>
                  </w:pPr>
                  <w:r>
                    <w:rPr>
                      <w:b w:val="0"/>
                      <w:bCs w:val="0"/>
                      <w:u w:val="none"/>
                    </w:rPr>
                    <w:t>设计进水指标</w:t>
                  </w:r>
                </w:p>
              </w:tc>
            </w:tr>
            <w:tr w14:paraId="265824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8" w:type="pct"/>
                  <w:tcBorders>
                    <w:tl2br w:val="nil"/>
                    <w:tr2bl w:val="nil"/>
                  </w:tcBorders>
                  <w:vAlign w:val="center"/>
                </w:tcPr>
                <w:p w14:paraId="5B9D5FFC">
                  <w:pPr>
                    <w:pStyle w:val="45"/>
                    <w:rPr>
                      <w:rFonts w:hint="default"/>
                      <w:b w:val="0"/>
                      <w:bCs w:val="0"/>
                      <w:u w:val="none"/>
                    </w:rPr>
                  </w:pPr>
                  <w:r>
                    <w:rPr>
                      <w:rFonts w:hint="default"/>
                      <w:b w:val="0"/>
                      <w:bCs w:val="0"/>
                      <w:u w:val="none"/>
                    </w:rPr>
                    <w:t>pH（无量纲）</w:t>
                  </w:r>
                </w:p>
              </w:tc>
              <w:tc>
                <w:tcPr>
                  <w:tcW w:w="1854" w:type="pct"/>
                  <w:tcBorders>
                    <w:tl2br w:val="nil"/>
                    <w:tr2bl w:val="nil"/>
                  </w:tcBorders>
                  <w:vAlign w:val="center"/>
                </w:tcPr>
                <w:p w14:paraId="3F783F8E">
                  <w:pPr>
                    <w:pStyle w:val="45"/>
                    <w:rPr>
                      <w:rFonts w:hint="default"/>
                      <w:b w:val="0"/>
                      <w:bCs w:val="0"/>
                      <w:u w:val="none"/>
                    </w:rPr>
                  </w:pPr>
                  <w:r>
                    <w:rPr>
                      <w:b w:val="0"/>
                      <w:bCs w:val="0"/>
                      <w:u w:val="none"/>
                    </w:rPr>
                    <w:t>6～9</w:t>
                  </w:r>
                </w:p>
              </w:tc>
              <w:tc>
                <w:tcPr>
                  <w:tcW w:w="1667" w:type="pct"/>
                  <w:tcBorders>
                    <w:tl2br w:val="nil"/>
                    <w:tr2bl w:val="nil"/>
                  </w:tcBorders>
                  <w:vAlign w:val="center"/>
                </w:tcPr>
                <w:p w14:paraId="032B11D7">
                  <w:pPr>
                    <w:pStyle w:val="45"/>
                    <w:rPr>
                      <w:rFonts w:hint="default"/>
                      <w:b w:val="0"/>
                      <w:bCs w:val="0"/>
                      <w:u w:val="none"/>
                    </w:rPr>
                  </w:pPr>
                  <w:r>
                    <w:rPr>
                      <w:rFonts w:hint="default"/>
                      <w:b w:val="0"/>
                      <w:bCs w:val="0"/>
                      <w:u w:val="none"/>
                    </w:rPr>
                    <w:t>6～9</w:t>
                  </w:r>
                </w:p>
              </w:tc>
            </w:tr>
            <w:tr w14:paraId="7076DE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8" w:type="pct"/>
                  <w:tcBorders>
                    <w:tl2br w:val="nil"/>
                    <w:tr2bl w:val="nil"/>
                  </w:tcBorders>
                  <w:vAlign w:val="center"/>
                </w:tcPr>
                <w:p w14:paraId="1E6E89E4">
                  <w:pPr>
                    <w:pStyle w:val="45"/>
                    <w:rPr>
                      <w:rFonts w:hint="default"/>
                      <w:b w:val="0"/>
                      <w:bCs w:val="0"/>
                      <w:u w:val="none"/>
                    </w:rPr>
                  </w:pPr>
                  <w:r>
                    <w:rPr>
                      <w:rFonts w:hint="default"/>
                      <w:b w:val="0"/>
                      <w:bCs w:val="0"/>
                      <w:u w:val="none"/>
                    </w:rPr>
                    <w:t>悬浮物（SS）</w:t>
                  </w:r>
                </w:p>
              </w:tc>
              <w:tc>
                <w:tcPr>
                  <w:tcW w:w="1854" w:type="pct"/>
                  <w:tcBorders>
                    <w:tl2br w:val="nil"/>
                    <w:tr2bl w:val="nil"/>
                  </w:tcBorders>
                  <w:vAlign w:val="center"/>
                </w:tcPr>
                <w:p w14:paraId="11ACA508">
                  <w:pPr>
                    <w:pStyle w:val="45"/>
                    <w:rPr>
                      <w:rFonts w:hint="default"/>
                      <w:b w:val="0"/>
                      <w:bCs w:val="0"/>
                      <w:u w:val="none"/>
                    </w:rPr>
                  </w:pPr>
                  <w:r>
                    <w:rPr>
                      <w:b w:val="0"/>
                      <w:bCs w:val="0"/>
                      <w:u w:val="none"/>
                    </w:rPr>
                    <w:t>100</w:t>
                  </w:r>
                </w:p>
              </w:tc>
              <w:tc>
                <w:tcPr>
                  <w:tcW w:w="1667" w:type="pct"/>
                  <w:tcBorders>
                    <w:tl2br w:val="nil"/>
                    <w:tr2bl w:val="nil"/>
                  </w:tcBorders>
                  <w:vAlign w:val="center"/>
                </w:tcPr>
                <w:p w14:paraId="2743D609">
                  <w:pPr>
                    <w:pStyle w:val="45"/>
                    <w:rPr>
                      <w:rFonts w:hint="default"/>
                      <w:b w:val="0"/>
                      <w:bCs w:val="0"/>
                      <w:u w:val="none"/>
                    </w:rPr>
                  </w:pPr>
                  <w:r>
                    <w:rPr>
                      <w:rFonts w:hint="default"/>
                      <w:b w:val="0"/>
                      <w:bCs w:val="0"/>
                      <w:u w:val="none"/>
                    </w:rPr>
                    <w:t>30</w:t>
                  </w:r>
                  <w:r>
                    <w:rPr>
                      <w:b w:val="0"/>
                      <w:bCs w:val="0"/>
                      <w:u w:val="none"/>
                    </w:rPr>
                    <w:t>0</w:t>
                  </w:r>
                </w:p>
              </w:tc>
            </w:tr>
            <w:tr w14:paraId="270808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8" w:type="pct"/>
                  <w:tcBorders>
                    <w:tl2br w:val="nil"/>
                    <w:tr2bl w:val="nil"/>
                  </w:tcBorders>
                  <w:vAlign w:val="center"/>
                </w:tcPr>
                <w:p w14:paraId="1B4690CA">
                  <w:pPr>
                    <w:pStyle w:val="45"/>
                    <w:rPr>
                      <w:rFonts w:hint="default"/>
                      <w:b w:val="0"/>
                      <w:bCs w:val="0"/>
                      <w:u w:val="none"/>
                    </w:rPr>
                  </w:pPr>
                  <w:r>
                    <w:rPr>
                      <w:rFonts w:hint="default"/>
                      <w:b w:val="0"/>
                      <w:bCs w:val="0"/>
                      <w:u w:val="none"/>
                    </w:rPr>
                    <w:t>化学需氧量（COD）</w:t>
                  </w:r>
                </w:p>
              </w:tc>
              <w:tc>
                <w:tcPr>
                  <w:tcW w:w="1854" w:type="pct"/>
                  <w:tcBorders>
                    <w:tl2br w:val="nil"/>
                    <w:tr2bl w:val="nil"/>
                  </w:tcBorders>
                  <w:vAlign w:val="center"/>
                </w:tcPr>
                <w:p w14:paraId="7D2D5CF0">
                  <w:pPr>
                    <w:pStyle w:val="45"/>
                    <w:rPr>
                      <w:rFonts w:hint="default"/>
                      <w:b w:val="0"/>
                      <w:bCs w:val="0"/>
                      <w:u w:val="none"/>
                    </w:rPr>
                  </w:pPr>
                  <w:r>
                    <w:rPr>
                      <w:b w:val="0"/>
                      <w:bCs w:val="0"/>
                      <w:u w:val="none"/>
                    </w:rPr>
                    <w:t>200</w:t>
                  </w:r>
                </w:p>
              </w:tc>
              <w:tc>
                <w:tcPr>
                  <w:tcW w:w="1667" w:type="pct"/>
                  <w:tcBorders>
                    <w:tl2br w:val="nil"/>
                    <w:tr2bl w:val="nil"/>
                  </w:tcBorders>
                  <w:vAlign w:val="center"/>
                </w:tcPr>
                <w:p w14:paraId="50534EEF">
                  <w:pPr>
                    <w:pStyle w:val="45"/>
                    <w:rPr>
                      <w:rFonts w:hint="default"/>
                      <w:b w:val="0"/>
                      <w:bCs w:val="0"/>
                      <w:u w:val="none"/>
                    </w:rPr>
                  </w:pPr>
                  <w:r>
                    <w:rPr>
                      <w:b w:val="0"/>
                      <w:bCs w:val="0"/>
                      <w:u w:val="none"/>
                    </w:rPr>
                    <w:t>450</w:t>
                  </w:r>
                </w:p>
              </w:tc>
            </w:tr>
            <w:tr w14:paraId="41BB9DB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8" w:type="pct"/>
                  <w:tcBorders>
                    <w:tl2br w:val="nil"/>
                    <w:tr2bl w:val="nil"/>
                  </w:tcBorders>
                  <w:vAlign w:val="center"/>
                </w:tcPr>
                <w:p w14:paraId="7A393DFA">
                  <w:pPr>
                    <w:pStyle w:val="45"/>
                    <w:rPr>
                      <w:rFonts w:hint="default"/>
                      <w:b w:val="0"/>
                      <w:bCs w:val="0"/>
                      <w:u w:val="none"/>
                    </w:rPr>
                  </w:pPr>
                  <w:r>
                    <w:rPr>
                      <w:rFonts w:hint="default"/>
                      <w:b w:val="0"/>
                      <w:bCs w:val="0"/>
                      <w:u w:val="none"/>
                    </w:rPr>
                    <w:t>氨氮</w:t>
                  </w:r>
                </w:p>
              </w:tc>
              <w:tc>
                <w:tcPr>
                  <w:tcW w:w="1854" w:type="pct"/>
                  <w:tcBorders>
                    <w:tl2br w:val="nil"/>
                    <w:tr2bl w:val="nil"/>
                  </w:tcBorders>
                  <w:vAlign w:val="center"/>
                </w:tcPr>
                <w:p w14:paraId="010B98FC">
                  <w:pPr>
                    <w:pStyle w:val="45"/>
                    <w:rPr>
                      <w:rFonts w:hint="default"/>
                      <w:b w:val="0"/>
                      <w:bCs w:val="0"/>
                      <w:u w:val="none"/>
                    </w:rPr>
                  </w:pPr>
                  <w:r>
                    <w:rPr>
                      <w:b w:val="0"/>
                      <w:bCs w:val="0"/>
                      <w:u w:val="none"/>
                    </w:rPr>
                    <w:t>40</w:t>
                  </w:r>
                </w:p>
              </w:tc>
              <w:tc>
                <w:tcPr>
                  <w:tcW w:w="1667" w:type="pct"/>
                  <w:tcBorders>
                    <w:tl2br w:val="nil"/>
                    <w:tr2bl w:val="nil"/>
                  </w:tcBorders>
                  <w:vAlign w:val="center"/>
                </w:tcPr>
                <w:p w14:paraId="34F8A416">
                  <w:pPr>
                    <w:pStyle w:val="45"/>
                    <w:rPr>
                      <w:rFonts w:hint="default"/>
                      <w:b w:val="0"/>
                      <w:bCs w:val="0"/>
                      <w:u w:val="none"/>
                    </w:rPr>
                  </w:pPr>
                  <w:r>
                    <w:rPr>
                      <w:b w:val="0"/>
                      <w:bCs w:val="0"/>
                      <w:u w:val="none"/>
                    </w:rPr>
                    <w:t>35</w:t>
                  </w:r>
                </w:p>
              </w:tc>
            </w:tr>
          </w:tbl>
          <w:p w14:paraId="559F0E0C">
            <w:pPr>
              <w:pStyle w:val="4"/>
              <w:numPr>
                <w:ilvl w:val="1"/>
                <w:numId w:val="9"/>
              </w:numPr>
              <w:tabs>
                <w:tab w:val="left" w:pos="0"/>
              </w:tabs>
              <w:rPr>
                <w:b w:val="0"/>
                <w:bCs w:val="0"/>
                <w:u w:val="none"/>
              </w:rPr>
            </w:pPr>
            <w:r>
              <w:rPr>
                <w:rFonts w:hint="eastAsia"/>
                <w:b w:val="0"/>
                <w:bCs w:val="0"/>
                <w:u w:val="none"/>
              </w:rPr>
              <w:t>噪声排放标准</w:t>
            </w:r>
          </w:p>
          <w:p w14:paraId="51EAD54C">
            <w:pPr>
              <w:pStyle w:val="5"/>
              <w:ind w:firstLine="422"/>
              <w:rPr>
                <w:rFonts w:hint="default"/>
                <w:b w:val="0"/>
                <w:bCs w:val="0"/>
                <w:u w:val="none"/>
              </w:rPr>
            </w:pPr>
            <w:r>
              <w:rPr>
                <w:rFonts w:hint="default"/>
                <w:b w:val="0"/>
                <w:bCs w:val="0"/>
                <w:u w:val="none"/>
              </w:rPr>
              <w:t>施工期噪声执行《建筑施工场界环境噪声排放标准》（GB12523-2011）；运营期厂界噪声执行《工业企业厂界环境噪声排放标准》（GB12348-2008）3类标准要求</w:t>
            </w:r>
            <w:r>
              <w:rPr>
                <w:b w:val="0"/>
                <w:bCs w:val="0"/>
                <w:u w:val="none"/>
              </w:rPr>
              <w:t>。</w:t>
            </w:r>
          </w:p>
          <w:p w14:paraId="3905B6E0">
            <w:pPr>
              <w:pStyle w:val="44"/>
              <w:numPr>
                <w:ilvl w:val="0"/>
                <w:numId w:val="2"/>
              </w:numPr>
              <w:rPr>
                <w:rFonts w:hint="default"/>
                <w:b w:val="0"/>
                <w:bCs w:val="0"/>
                <w:u w:val="none"/>
              </w:rPr>
            </w:pPr>
            <w:r>
              <w:rPr>
                <w:rFonts w:hint="default"/>
                <w:b w:val="0"/>
                <w:bCs w:val="0"/>
                <w:u w:val="none"/>
              </w:rPr>
              <w:t>环境噪声排放标准</w:t>
            </w:r>
          </w:p>
          <w:tbl>
            <w:tblPr>
              <w:tblStyle w:val="27"/>
              <w:tblW w:w="815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653"/>
              <w:gridCol w:w="2095"/>
              <w:gridCol w:w="2410"/>
            </w:tblGrid>
            <w:tr w14:paraId="315D31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53" w:type="dxa"/>
                  <w:tcBorders>
                    <w:tl2br w:val="nil"/>
                    <w:tr2bl w:val="nil"/>
                  </w:tcBorders>
                  <w:vAlign w:val="center"/>
                </w:tcPr>
                <w:p w14:paraId="2B45894A">
                  <w:pPr>
                    <w:pStyle w:val="45"/>
                    <w:rPr>
                      <w:rFonts w:hint="default"/>
                      <w:b w:val="0"/>
                      <w:bCs w:val="0"/>
                      <w:u w:val="none"/>
                    </w:rPr>
                  </w:pPr>
                  <w:r>
                    <w:rPr>
                      <w:rFonts w:hint="default"/>
                      <w:b w:val="0"/>
                      <w:bCs w:val="0"/>
                      <w:u w:val="none"/>
                    </w:rPr>
                    <w:t>标准名称</w:t>
                  </w:r>
                </w:p>
              </w:tc>
              <w:tc>
                <w:tcPr>
                  <w:tcW w:w="2095" w:type="dxa"/>
                  <w:tcBorders>
                    <w:tl2br w:val="nil"/>
                    <w:tr2bl w:val="nil"/>
                  </w:tcBorders>
                  <w:vAlign w:val="center"/>
                </w:tcPr>
                <w:p w14:paraId="25B0B486">
                  <w:pPr>
                    <w:pStyle w:val="45"/>
                    <w:rPr>
                      <w:rFonts w:hint="default"/>
                      <w:b w:val="0"/>
                      <w:bCs w:val="0"/>
                      <w:u w:val="none"/>
                    </w:rPr>
                  </w:pPr>
                  <w:r>
                    <w:rPr>
                      <w:b w:val="0"/>
                      <w:bCs w:val="0"/>
                      <w:u w:val="none"/>
                    </w:rPr>
                    <w:t>时段</w:t>
                  </w:r>
                </w:p>
              </w:tc>
              <w:tc>
                <w:tcPr>
                  <w:tcW w:w="2410" w:type="dxa"/>
                  <w:tcBorders>
                    <w:tl2br w:val="nil"/>
                    <w:tr2bl w:val="nil"/>
                  </w:tcBorders>
                  <w:vAlign w:val="center"/>
                </w:tcPr>
                <w:p w14:paraId="070A4DF4">
                  <w:pPr>
                    <w:pStyle w:val="45"/>
                    <w:rPr>
                      <w:rFonts w:hint="default"/>
                      <w:b w:val="0"/>
                      <w:bCs w:val="0"/>
                      <w:u w:val="none"/>
                    </w:rPr>
                  </w:pPr>
                  <w:r>
                    <w:rPr>
                      <w:b w:val="0"/>
                      <w:bCs w:val="0"/>
                      <w:u w:val="none"/>
                    </w:rPr>
                    <w:t>标准限值</w:t>
                  </w:r>
                </w:p>
              </w:tc>
            </w:tr>
            <w:tr w14:paraId="118C14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653" w:type="dxa"/>
                  <w:vMerge w:val="restart"/>
                  <w:tcBorders>
                    <w:tl2br w:val="nil"/>
                    <w:tr2bl w:val="nil"/>
                  </w:tcBorders>
                  <w:vAlign w:val="center"/>
                </w:tcPr>
                <w:p w14:paraId="5F4F4CF8">
                  <w:pPr>
                    <w:pStyle w:val="45"/>
                    <w:rPr>
                      <w:rFonts w:hint="default"/>
                      <w:b w:val="0"/>
                      <w:bCs w:val="0"/>
                      <w:u w:val="none"/>
                    </w:rPr>
                  </w:pPr>
                  <w:r>
                    <w:rPr>
                      <w:b w:val="0"/>
                      <w:bCs w:val="0"/>
                      <w:u w:val="none"/>
                    </w:rPr>
                    <w:t>《建筑施工场界环境噪声排放标准》（GB12523-2011）</w:t>
                  </w:r>
                </w:p>
              </w:tc>
              <w:tc>
                <w:tcPr>
                  <w:tcW w:w="2095" w:type="dxa"/>
                  <w:tcBorders>
                    <w:tl2br w:val="nil"/>
                    <w:tr2bl w:val="nil"/>
                  </w:tcBorders>
                  <w:vAlign w:val="center"/>
                </w:tcPr>
                <w:p w14:paraId="0048A3D5">
                  <w:pPr>
                    <w:pStyle w:val="45"/>
                    <w:rPr>
                      <w:rFonts w:hint="default"/>
                      <w:b w:val="0"/>
                      <w:bCs w:val="0"/>
                      <w:u w:val="none"/>
                    </w:rPr>
                  </w:pPr>
                  <w:r>
                    <w:rPr>
                      <w:b w:val="0"/>
                      <w:bCs w:val="0"/>
                      <w:u w:val="none"/>
                    </w:rPr>
                    <w:t>昼间</w:t>
                  </w:r>
                </w:p>
              </w:tc>
              <w:tc>
                <w:tcPr>
                  <w:tcW w:w="2410" w:type="dxa"/>
                  <w:tcBorders>
                    <w:tl2br w:val="nil"/>
                    <w:tr2bl w:val="nil"/>
                  </w:tcBorders>
                  <w:vAlign w:val="center"/>
                </w:tcPr>
                <w:p w14:paraId="7DC1DEC5">
                  <w:pPr>
                    <w:pStyle w:val="45"/>
                    <w:rPr>
                      <w:rFonts w:hint="default"/>
                      <w:b w:val="0"/>
                      <w:bCs w:val="0"/>
                      <w:u w:val="none"/>
                    </w:rPr>
                  </w:pPr>
                  <w:r>
                    <w:rPr>
                      <w:b w:val="0"/>
                      <w:bCs w:val="0"/>
                      <w:u w:val="none"/>
                    </w:rPr>
                    <w:t>70dB(A)</w:t>
                  </w:r>
                </w:p>
              </w:tc>
            </w:tr>
            <w:tr w14:paraId="3CC755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653" w:type="dxa"/>
                  <w:vMerge w:val="continue"/>
                  <w:tcBorders>
                    <w:tl2br w:val="nil"/>
                    <w:tr2bl w:val="nil"/>
                  </w:tcBorders>
                  <w:vAlign w:val="center"/>
                </w:tcPr>
                <w:p w14:paraId="46086C46">
                  <w:pPr>
                    <w:pStyle w:val="45"/>
                    <w:rPr>
                      <w:rFonts w:hint="default"/>
                      <w:b w:val="0"/>
                      <w:bCs w:val="0"/>
                      <w:u w:val="none"/>
                    </w:rPr>
                  </w:pPr>
                </w:p>
              </w:tc>
              <w:tc>
                <w:tcPr>
                  <w:tcW w:w="2095" w:type="dxa"/>
                  <w:tcBorders>
                    <w:tl2br w:val="nil"/>
                    <w:tr2bl w:val="nil"/>
                  </w:tcBorders>
                  <w:vAlign w:val="center"/>
                </w:tcPr>
                <w:p w14:paraId="4C2E900C">
                  <w:pPr>
                    <w:pStyle w:val="45"/>
                    <w:rPr>
                      <w:rFonts w:hint="default"/>
                      <w:b w:val="0"/>
                      <w:bCs w:val="0"/>
                      <w:u w:val="none"/>
                    </w:rPr>
                  </w:pPr>
                  <w:r>
                    <w:rPr>
                      <w:b w:val="0"/>
                      <w:bCs w:val="0"/>
                      <w:u w:val="none"/>
                    </w:rPr>
                    <w:t>夜间</w:t>
                  </w:r>
                </w:p>
              </w:tc>
              <w:tc>
                <w:tcPr>
                  <w:tcW w:w="2410" w:type="dxa"/>
                  <w:tcBorders>
                    <w:tl2br w:val="nil"/>
                    <w:tr2bl w:val="nil"/>
                  </w:tcBorders>
                  <w:vAlign w:val="center"/>
                </w:tcPr>
                <w:p w14:paraId="3158F54D">
                  <w:pPr>
                    <w:pStyle w:val="45"/>
                    <w:rPr>
                      <w:rFonts w:hint="default"/>
                      <w:b w:val="0"/>
                      <w:bCs w:val="0"/>
                      <w:u w:val="none"/>
                    </w:rPr>
                  </w:pPr>
                  <w:r>
                    <w:rPr>
                      <w:b w:val="0"/>
                      <w:bCs w:val="0"/>
                      <w:u w:val="none"/>
                    </w:rPr>
                    <w:t>55dB(A)</w:t>
                  </w:r>
                </w:p>
              </w:tc>
            </w:tr>
            <w:tr w14:paraId="466433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653" w:type="dxa"/>
                  <w:vMerge w:val="restart"/>
                  <w:tcBorders>
                    <w:tl2br w:val="nil"/>
                    <w:tr2bl w:val="nil"/>
                  </w:tcBorders>
                  <w:vAlign w:val="center"/>
                </w:tcPr>
                <w:p w14:paraId="46318B3B">
                  <w:pPr>
                    <w:pStyle w:val="45"/>
                    <w:rPr>
                      <w:rFonts w:hint="default"/>
                      <w:b w:val="0"/>
                      <w:bCs w:val="0"/>
                      <w:u w:val="none"/>
                    </w:rPr>
                  </w:pPr>
                  <w:r>
                    <w:rPr>
                      <w:b w:val="0"/>
                      <w:bCs w:val="0"/>
                      <w:u w:val="none"/>
                    </w:rPr>
                    <w:t>《工业企业厂界环境噪声排放标准》（GB12348-2008）3类</w:t>
                  </w:r>
                </w:p>
              </w:tc>
              <w:tc>
                <w:tcPr>
                  <w:tcW w:w="2095" w:type="dxa"/>
                  <w:tcBorders>
                    <w:tl2br w:val="nil"/>
                    <w:tr2bl w:val="nil"/>
                  </w:tcBorders>
                  <w:vAlign w:val="center"/>
                </w:tcPr>
                <w:p w14:paraId="75B72029">
                  <w:pPr>
                    <w:pStyle w:val="45"/>
                    <w:rPr>
                      <w:rFonts w:hint="default"/>
                      <w:b w:val="0"/>
                      <w:bCs w:val="0"/>
                      <w:u w:val="none"/>
                    </w:rPr>
                  </w:pPr>
                  <w:r>
                    <w:rPr>
                      <w:b w:val="0"/>
                      <w:bCs w:val="0"/>
                      <w:u w:val="none"/>
                    </w:rPr>
                    <w:t>昼间</w:t>
                  </w:r>
                </w:p>
              </w:tc>
              <w:tc>
                <w:tcPr>
                  <w:tcW w:w="2410" w:type="dxa"/>
                  <w:tcBorders>
                    <w:tl2br w:val="nil"/>
                    <w:tr2bl w:val="nil"/>
                  </w:tcBorders>
                  <w:vAlign w:val="center"/>
                </w:tcPr>
                <w:p w14:paraId="0D59BAE9">
                  <w:pPr>
                    <w:pStyle w:val="45"/>
                    <w:rPr>
                      <w:rFonts w:hint="default"/>
                      <w:b w:val="0"/>
                      <w:bCs w:val="0"/>
                      <w:u w:val="none"/>
                    </w:rPr>
                  </w:pPr>
                  <w:r>
                    <w:rPr>
                      <w:b w:val="0"/>
                      <w:bCs w:val="0"/>
                      <w:u w:val="none"/>
                    </w:rPr>
                    <w:t>65dB(A)</w:t>
                  </w:r>
                </w:p>
              </w:tc>
            </w:tr>
            <w:tr w14:paraId="068115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653" w:type="dxa"/>
                  <w:vMerge w:val="continue"/>
                  <w:tcBorders>
                    <w:tl2br w:val="nil"/>
                    <w:tr2bl w:val="nil"/>
                  </w:tcBorders>
                  <w:vAlign w:val="center"/>
                </w:tcPr>
                <w:p w14:paraId="0D15613F">
                  <w:pPr>
                    <w:pStyle w:val="45"/>
                    <w:rPr>
                      <w:rFonts w:hint="default"/>
                      <w:b w:val="0"/>
                      <w:bCs w:val="0"/>
                      <w:u w:val="none"/>
                    </w:rPr>
                  </w:pPr>
                </w:p>
              </w:tc>
              <w:tc>
                <w:tcPr>
                  <w:tcW w:w="2095" w:type="dxa"/>
                  <w:tcBorders>
                    <w:tl2br w:val="nil"/>
                    <w:tr2bl w:val="nil"/>
                  </w:tcBorders>
                  <w:vAlign w:val="center"/>
                </w:tcPr>
                <w:p w14:paraId="08406B68">
                  <w:pPr>
                    <w:pStyle w:val="45"/>
                    <w:rPr>
                      <w:rFonts w:hint="default"/>
                      <w:b w:val="0"/>
                      <w:bCs w:val="0"/>
                      <w:u w:val="none"/>
                    </w:rPr>
                  </w:pPr>
                  <w:r>
                    <w:rPr>
                      <w:b w:val="0"/>
                      <w:bCs w:val="0"/>
                      <w:u w:val="none"/>
                    </w:rPr>
                    <w:t>夜间</w:t>
                  </w:r>
                </w:p>
              </w:tc>
              <w:tc>
                <w:tcPr>
                  <w:tcW w:w="2410" w:type="dxa"/>
                  <w:tcBorders>
                    <w:tl2br w:val="nil"/>
                    <w:tr2bl w:val="nil"/>
                  </w:tcBorders>
                  <w:vAlign w:val="center"/>
                </w:tcPr>
                <w:p w14:paraId="2A652D21">
                  <w:pPr>
                    <w:pStyle w:val="45"/>
                    <w:rPr>
                      <w:rFonts w:hint="default"/>
                      <w:b w:val="0"/>
                      <w:bCs w:val="0"/>
                      <w:u w:val="none"/>
                    </w:rPr>
                  </w:pPr>
                  <w:r>
                    <w:rPr>
                      <w:b w:val="0"/>
                      <w:bCs w:val="0"/>
                      <w:u w:val="none"/>
                    </w:rPr>
                    <w:t>55dB(A)</w:t>
                  </w:r>
                </w:p>
              </w:tc>
            </w:tr>
          </w:tbl>
          <w:p w14:paraId="2118C597">
            <w:pPr>
              <w:pStyle w:val="4"/>
              <w:numPr>
                <w:ilvl w:val="1"/>
                <w:numId w:val="9"/>
              </w:numPr>
              <w:tabs>
                <w:tab w:val="left" w:pos="0"/>
              </w:tabs>
              <w:rPr>
                <w:b w:val="0"/>
                <w:bCs w:val="0"/>
                <w:u w:val="none"/>
              </w:rPr>
            </w:pPr>
            <w:r>
              <w:rPr>
                <w:rFonts w:hint="eastAsia"/>
                <w:b w:val="0"/>
                <w:bCs w:val="0"/>
                <w:u w:val="none"/>
              </w:rPr>
              <w:t>固体废物排放标准</w:t>
            </w:r>
          </w:p>
          <w:p w14:paraId="4E60F212">
            <w:pPr>
              <w:pStyle w:val="5"/>
              <w:rPr>
                <w:rFonts w:hint="default"/>
                <w:b w:val="0"/>
                <w:bCs w:val="0"/>
                <w:u w:val="none"/>
              </w:rPr>
            </w:pPr>
            <w:r>
              <w:rPr>
                <w:b w:val="0"/>
                <w:bCs w:val="0"/>
                <w:u w:val="none"/>
              </w:rPr>
              <w:t>本项目一般固废贮存采用库房，不适用《一般工业固体废物贮存和填埋污染控制标准》（GB18599-2020），但其贮存过程应满足相应防渗漏、防雨淋、防扬尘等环境保护要求。</w:t>
            </w:r>
          </w:p>
          <w:p w14:paraId="78336990">
            <w:pPr>
              <w:pStyle w:val="5"/>
              <w:rPr>
                <w:rFonts w:hint="default"/>
                <w:b w:val="0"/>
                <w:bCs w:val="0"/>
                <w:u w:val="none"/>
              </w:rPr>
            </w:pPr>
            <w:r>
              <w:rPr>
                <w:b w:val="0"/>
                <w:bCs w:val="0"/>
                <w:u w:val="none"/>
              </w:rPr>
              <w:t>危险废物暂存应符合《危险废物贮存污染控制标准》（GB18597-2023）的要求。</w:t>
            </w:r>
          </w:p>
        </w:tc>
      </w:tr>
      <w:tr w14:paraId="4FAFA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691" w:type="dxa"/>
            <w:tcBorders>
              <w:top w:val="single" w:color="auto" w:sz="4" w:space="0"/>
              <w:left w:val="single" w:color="auto" w:sz="8" w:space="0"/>
              <w:bottom w:val="single" w:color="auto" w:sz="8" w:space="0"/>
              <w:right w:val="single" w:color="auto" w:sz="4" w:space="0"/>
            </w:tcBorders>
            <w:vAlign w:val="center"/>
          </w:tcPr>
          <w:p w14:paraId="42F860CE">
            <w:pPr>
              <w:rPr>
                <w:b w:val="0"/>
                <w:bCs w:val="0"/>
                <w:u w:val="none"/>
              </w:rPr>
            </w:pPr>
            <w:r>
              <w:rPr>
                <w:rFonts w:hint="eastAsia"/>
                <w:b w:val="0"/>
                <w:bCs w:val="0"/>
                <w:u w:val="none"/>
              </w:rPr>
              <w:t>总量控制指标</w:t>
            </w:r>
          </w:p>
        </w:tc>
        <w:tc>
          <w:tcPr>
            <w:tcW w:w="8299" w:type="dxa"/>
            <w:tcBorders>
              <w:top w:val="single" w:color="auto" w:sz="4" w:space="0"/>
              <w:left w:val="single" w:color="auto" w:sz="4" w:space="0"/>
              <w:bottom w:val="single" w:color="auto" w:sz="8" w:space="0"/>
              <w:right w:val="single" w:color="auto" w:sz="8" w:space="0"/>
            </w:tcBorders>
            <w:vAlign w:val="center"/>
          </w:tcPr>
          <w:p w14:paraId="4DA6A0B1">
            <w:pPr>
              <w:pStyle w:val="5"/>
              <w:rPr>
                <w:rFonts w:hint="default"/>
                <w:b w:val="0"/>
                <w:bCs w:val="0"/>
                <w:highlight w:val="none"/>
                <w:u w:val="none"/>
              </w:rPr>
            </w:pPr>
            <w:r>
              <w:rPr>
                <w:b w:val="0"/>
                <w:bCs w:val="0"/>
                <w:highlight w:val="none"/>
                <w:u w:val="none"/>
              </w:rPr>
              <w:t>根据平顶山市总量控制指标的要求，总量控制指标为COD、NH</w:t>
            </w:r>
            <w:r>
              <w:rPr>
                <w:b w:val="0"/>
                <w:bCs w:val="0"/>
                <w:highlight w:val="none"/>
                <w:u w:val="none"/>
                <w:vertAlign w:val="subscript"/>
              </w:rPr>
              <w:t>3</w:t>
            </w:r>
            <w:r>
              <w:rPr>
                <w:b w:val="0"/>
                <w:bCs w:val="0"/>
                <w:highlight w:val="none"/>
                <w:u w:val="none"/>
              </w:rPr>
              <w:t>-N、SO</w:t>
            </w:r>
            <w:r>
              <w:rPr>
                <w:b w:val="0"/>
                <w:bCs w:val="0"/>
                <w:highlight w:val="none"/>
                <w:u w:val="none"/>
                <w:vertAlign w:val="subscript"/>
              </w:rPr>
              <w:t>2</w:t>
            </w:r>
            <w:r>
              <w:rPr>
                <w:b w:val="0"/>
                <w:bCs w:val="0"/>
                <w:highlight w:val="none"/>
                <w:u w:val="none"/>
              </w:rPr>
              <w:t>、NOx及挥发性有机物。</w:t>
            </w:r>
          </w:p>
          <w:p w14:paraId="0C6F88AF">
            <w:pPr>
              <w:pStyle w:val="5"/>
              <w:rPr>
                <w:rFonts w:hint="default"/>
                <w:b w:val="0"/>
                <w:bCs w:val="0"/>
                <w:highlight w:val="none"/>
                <w:u w:val="none"/>
              </w:rPr>
            </w:pPr>
            <w:r>
              <w:rPr>
                <w:b w:val="0"/>
                <w:bCs w:val="0"/>
                <w:highlight w:val="none"/>
                <w:u w:val="none"/>
              </w:rPr>
              <w:t>本项目运行过程生活污水经化粪池处理后</w:t>
            </w:r>
            <w:r>
              <w:rPr>
                <w:rFonts w:hint="eastAsia"/>
                <w:b w:val="0"/>
                <w:bCs w:val="0"/>
                <w:highlight w:val="none"/>
                <w:u w:val="none"/>
                <w:lang w:eastAsia="zh-CN"/>
              </w:rPr>
              <w:t>经厂区西侧市政管网</w:t>
            </w:r>
            <w:r>
              <w:rPr>
                <w:b w:val="0"/>
                <w:bCs w:val="0"/>
                <w:highlight w:val="none"/>
                <w:u w:val="none"/>
              </w:rPr>
              <w:t>排入</w:t>
            </w:r>
            <w:r>
              <w:rPr>
                <w:b w:val="0"/>
                <w:bCs w:val="0"/>
                <w:highlight w:val="none"/>
                <w:u w:val="none"/>
                <w:lang w:val="zh-CN"/>
              </w:rPr>
              <w:t>平顶山首创水务有限公司（平顶山市第三污水处理厂）处理</w:t>
            </w:r>
            <w:r>
              <w:rPr>
                <w:b w:val="0"/>
                <w:bCs w:val="0"/>
                <w:highlight w:val="none"/>
                <w:u w:val="none"/>
              </w:rPr>
              <w:t>，</w:t>
            </w:r>
            <w:r>
              <w:rPr>
                <w:rFonts w:hint="eastAsia"/>
                <w:b w:val="0"/>
                <w:bCs w:val="0"/>
                <w:highlight w:val="none"/>
                <w:u w:val="none"/>
                <w:lang w:eastAsia="zh-CN"/>
              </w:rPr>
              <w:t>循环冷却水排水经厂区东侧市政管网排入</w:t>
            </w:r>
            <w:r>
              <w:rPr>
                <w:b w:val="0"/>
                <w:bCs w:val="0"/>
                <w:highlight w:val="none"/>
                <w:u w:val="none"/>
                <w:lang w:val="zh-CN"/>
              </w:rPr>
              <w:t>平顶山首创水务有限公司（平顶山市第三污水处理厂）处理</w:t>
            </w:r>
            <w:r>
              <w:rPr>
                <w:rFonts w:hint="eastAsia"/>
                <w:b w:val="0"/>
                <w:bCs w:val="0"/>
                <w:highlight w:val="none"/>
                <w:u w:val="none"/>
                <w:lang w:val="zh-CN"/>
              </w:rPr>
              <w:t>。</w:t>
            </w:r>
            <w:r>
              <w:rPr>
                <w:b w:val="0"/>
                <w:bCs w:val="0"/>
                <w:highlight w:val="none"/>
                <w:u w:val="none"/>
                <w:lang w:val="zh-CN"/>
              </w:rPr>
              <w:t>平顶山首创水务有限公司（平顶山市第三污水处理厂）</w:t>
            </w:r>
            <w:r>
              <w:rPr>
                <w:b w:val="0"/>
                <w:bCs w:val="0"/>
                <w:highlight w:val="none"/>
                <w:u w:val="none"/>
              </w:rPr>
              <w:t>提标改造后设计排水指标为 COD：20mg/L、NH</w:t>
            </w:r>
            <w:r>
              <w:rPr>
                <w:b w:val="0"/>
                <w:bCs w:val="0"/>
                <w:highlight w:val="none"/>
                <w:u w:val="none"/>
                <w:vertAlign w:val="subscript"/>
              </w:rPr>
              <w:t>3</w:t>
            </w:r>
            <w:r>
              <w:rPr>
                <w:b w:val="0"/>
                <w:bCs w:val="0"/>
                <w:highlight w:val="none"/>
                <w:u w:val="none"/>
              </w:rPr>
              <w:t>-N：1mg/L，按平顶山市第三污水处理厂出水水质情况，核算废水总量指标。因此，本项目废水总量为7620t/a，水污染物的总量控制指标为COD：0.1524t/a、NH</w:t>
            </w:r>
            <w:r>
              <w:rPr>
                <w:b w:val="0"/>
                <w:bCs w:val="0"/>
                <w:highlight w:val="none"/>
                <w:u w:val="none"/>
                <w:vertAlign w:val="subscript"/>
              </w:rPr>
              <w:t>3</w:t>
            </w:r>
            <w:r>
              <w:rPr>
                <w:b w:val="0"/>
                <w:bCs w:val="0"/>
                <w:highlight w:val="none"/>
                <w:u w:val="none"/>
              </w:rPr>
              <w:t>-N：0.0076/a。</w:t>
            </w:r>
          </w:p>
          <w:p w14:paraId="2DDB6802">
            <w:pPr>
              <w:pStyle w:val="5"/>
              <w:rPr>
                <w:rFonts w:hint="default"/>
                <w:b w:val="0"/>
                <w:bCs w:val="0"/>
                <w:highlight w:val="none"/>
                <w:u w:val="none"/>
              </w:rPr>
            </w:pPr>
            <w:r>
              <w:rPr>
                <w:rFonts w:hint="default"/>
                <w:b w:val="0"/>
                <w:bCs w:val="0"/>
                <w:highlight w:val="none"/>
                <w:u w:val="none"/>
                <w:lang w:val="zh-CN"/>
              </w:rPr>
              <w:t>本项目</w:t>
            </w:r>
            <w:r>
              <w:rPr>
                <w:rFonts w:hint="default"/>
                <w:b w:val="0"/>
                <w:bCs w:val="0"/>
                <w:highlight w:val="none"/>
                <w:u w:val="none"/>
              </w:rPr>
              <w:t>大气污染物排放主要包括</w:t>
            </w:r>
            <w:r>
              <w:rPr>
                <w:b w:val="0"/>
                <w:bCs w:val="0"/>
                <w:highlight w:val="none"/>
                <w:u w:val="none"/>
              </w:rPr>
              <w:t>VOCs（甲醇）</w:t>
            </w:r>
            <w:r>
              <w:rPr>
                <w:rFonts w:hint="default"/>
                <w:b w:val="0"/>
                <w:bCs w:val="0"/>
                <w:highlight w:val="none"/>
                <w:u w:val="none"/>
              </w:rPr>
              <w:t>、</w:t>
            </w:r>
            <w:r>
              <w:rPr>
                <w:b w:val="0"/>
                <w:bCs w:val="0"/>
                <w:highlight w:val="none"/>
                <w:u w:val="none"/>
              </w:rPr>
              <w:t>硫化氢</w:t>
            </w:r>
            <w:r>
              <w:rPr>
                <w:rFonts w:hint="default"/>
                <w:b w:val="0"/>
                <w:bCs w:val="0"/>
                <w:highlight w:val="none"/>
                <w:u w:val="none"/>
              </w:rPr>
              <w:t>、和氨，根据计算，</w:t>
            </w:r>
            <w:r>
              <w:rPr>
                <w:b w:val="0"/>
                <w:bCs w:val="0"/>
                <w:highlight w:val="none"/>
                <w:u w:val="none"/>
              </w:rPr>
              <w:t>VOCs（甲醇）</w:t>
            </w:r>
            <w:r>
              <w:rPr>
                <w:rFonts w:hint="default"/>
                <w:b w:val="0"/>
                <w:bCs w:val="0"/>
                <w:highlight w:val="none"/>
                <w:u w:val="none"/>
              </w:rPr>
              <w:t>排放量为</w:t>
            </w:r>
            <w:r>
              <w:rPr>
                <w:b w:val="0"/>
                <w:bCs w:val="0"/>
                <w:highlight w:val="none"/>
                <w:u w:val="none"/>
              </w:rPr>
              <w:t>0.36</w:t>
            </w:r>
            <w:r>
              <w:rPr>
                <w:rFonts w:hint="default"/>
                <w:b w:val="0"/>
                <w:bCs w:val="0"/>
                <w:highlight w:val="none"/>
                <w:u w:val="none"/>
              </w:rPr>
              <w:t>t/a；</w:t>
            </w:r>
            <w:r>
              <w:rPr>
                <w:b w:val="0"/>
                <w:bCs w:val="0"/>
                <w:highlight w:val="none"/>
                <w:u w:val="none"/>
              </w:rPr>
              <w:t>硫化氢</w:t>
            </w:r>
            <w:r>
              <w:rPr>
                <w:rFonts w:hint="default"/>
                <w:b w:val="0"/>
                <w:bCs w:val="0"/>
                <w:highlight w:val="none"/>
                <w:u w:val="none"/>
              </w:rPr>
              <w:t>排放量为</w:t>
            </w:r>
            <w:r>
              <w:rPr>
                <w:b w:val="0"/>
                <w:bCs w:val="0"/>
                <w:highlight w:val="none"/>
                <w:u w:val="none"/>
              </w:rPr>
              <w:t>0.19</w:t>
            </w:r>
            <w:r>
              <w:rPr>
                <w:rFonts w:hint="default"/>
                <w:b w:val="0"/>
                <w:bCs w:val="0"/>
                <w:highlight w:val="none"/>
                <w:u w:val="none"/>
              </w:rPr>
              <w:t>t/a，氨排放量</w:t>
            </w:r>
            <w:r>
              <w:rPr>
                <w:rFonts w:hint="eastAsia"/>
                <w:b w:val="0"/>
                <w:bCs w:val="0"/>
                <w:highlight w:val="none"/>
                <w:u w:val="none"/>
                <w:lang w:val="en-US" w:eastAsia="zh-CN"/>
              </w:rPr>
              <w:t>1.677</w:t>
            </w:r>
            <w:r>
              <w:rPr>
                <w:b w:val="0"/>
                <w:bCs w:val="0"/>
                <w:highlight w:val="none"/>
                <w:u w:val="none"/>
              </w:rPr>
              <w:t>t</w:t>
            </w:r>
            <w:r>
              <w:rPr>
                <w:rFonts w:hint="default"/>
                <w:b w:val="0"/>
                <w:bCs w:val="0"/>
                <w:highlight w:val="none"/>
                <w:u w:val="none"/>
              </w:rPr>
              <w:t>/a。</w:t>
            </w:r>
          </w:p>
          <w:p w14:paraId="5531E4AD">
            <w:pPr>
              <w:autoSpaceDE w:val="0"/>
              <w:autoSpaceDN w:val="0"/>
              <w:adjustRightInd w:val="0"/>
              <w:snapToGrid w:val="0"/>
              <w:spacing w:line="400" w:lineRule="exact"/>
              <w:ind w:firstLine="420" w:firstLineChars="200"/>
              <w:rPr>
                <w:b w:val="0"/>
                <w:bCs w:val="0"/>
                <w:highlight w:val="none"/>
                <w:u w:val="none"/>
              </w:rPr>
            </w:pPr>
            <w:r>
              <w:rPr>
                <w:rFonts w:hint="eastAsia"/>
                <w:b w:val="0"/>
                <w:bCs w:val="0"/>
                <w:highlight w:val="none"/>
                <w:u w:val="none"/>
              </w:rPr>
              <w:t>综上所述，本项目总量控制指标为COD0.1524t/a、氨氮0.0076t/a；VOCs（甲醇）0.36t/a。</w:t>
            </w:r>
          </w:p>
          <w:p w14:paraId="761E936A">
            <w:pPr>
              <w:autoSpaceDE w:val="0"/>
              <w:autoSpaceDN w:val="0"/>
              <w:adjustRightInd w:val="0"/>
              <w:snapToGrid w:val="0"/>
              <w:spacing w:line="400" w:lineRule="exact"/>
              <w:ind w:firstLine="420" w:firstLineChars="200"/>
              <w:rPr>
                <w:b w:val="0"/>
                <w:bCs w:val="0"/>
                <w:highlight w:val="none"/>
                <w:u w:val="none"/>
              </w:rPr>
            </w:pPr>
          </w:p>
          <w:p w14:paraId="0E0A5028">
            <w:pPr>
              <w:autoSpaceDE w:val="0"/>
              <w:autoSpaceDN w:val="0"/>
              <w:adjustRightInd w:val="0"/>
              <w:snapToGrid w:val="0"/>
              <w:spacing w:line="400" w:lineRule="exact"/>
              <w:ind w:firstLine="420" w:firstLineChars="200"/>
              <w:rPr>
                <w:b w:val="0"/>
                <w:bCs w:val="0"/>
                <w:highlight w:val="none"/>
                <w:u w:val="none"/>
              </w:rPr>
            </w:pPr>
          </w:p>
          <w:p w14:paraId="3CB1D1BE">
            <w:pPr>
              <w:autoSpaceDE w:val="0"/>
              <w:autoSpaceDN w:val="0"/>
              <w:adjustRightInd w:val="0"/>
              <w:snapToGrid w:val="0"/>
              <w:spacing w:line="400" w:lineRule="exact"/>
              <w:ind w:firstLine="420" w:firstLineChars="200"/>
              <w:rPr>
                <w:b w:val="0"/>
                <w:bCs w:val="0"/>
                <w:highlight w:val="none"/>
                <w:u w:val="none"/>
              </w:rPr>
            </w:pPr>
          </w:p>
          <w:p w14:paraId="0CC83D3E">
            <w:pPr>
              <w:autoSpaceDE w:val="0"/>
              <w:autoSpaceDN w:val="0"/>
              <w:adjustRightInd w:val="0"/>
              <w:snapToGrid w:val="0"/>
              <w:spacing w:line="400" w:lineRule="exact"/>
              <w:ind w:firstLine="420" w:firstLineChars="200"/>
              <w:rPr>
                <w:b w:val="0"/>
                <w:bCs w:val="0"/>
                <w:highlight w:val="none"/>
                <w:u w:val="none"/>
              </w:rPr>
            </w:pPr>
          </w:p>
          <w:p w14:paraId="78E2377B">
            <w:pPr>
              <w:autoSpaceDE w:val="0"/>
              <w:autoSpaceDN w:val="0"/>
              <w:adjustRightInd w:val="0"/>
              <w:snapToGrid w:val="0"/>
              <w:spacing w:line="400" w:lineRule="exact"/>
              <w:ind w:firstLine="420" w:firstLineChars="200"/>
              <w:rPr>
                <w:b w:val="0"/>
                <w:bCs w:val="0"/>
                <w:highlight w:val="none"/>
                <w:u w:val="none"/>
              </w:rPr>
            </w:pPr>
          </w:p>
          <w:p w14:paraId="19776039">
            <w:pPr>
              <w:autoSpaceDE w:val="0"/>
              <w:autoSpaceDN w:val="0"/>
              <w:adjustRightInd w:val="0"/>
              <w:snapToGrid w:val="0"/>
              <w:spacing w:line="400" w:lineRule="exact"/>
              <w:ind w:firstLine="420" w:firstLineChars="200"/>
              <w:rPr>
                <w:b w:val="0"/>
                <w:bCs w:val="0"/>
                <w:highlight w:val="none"/>
                <w:u w:val="none"/>
              </w:rPr>
            </w:pPr>
          </w:p>
          <w:p w14:paraId="13B32BF9">
            <w:pPr>
              <w:autoSpaceDE w:val="0"/>
              <w:autoSpaceDN w:val="0"/>
              <w:adjustRightInd w:val="0"/>
              <w:snapToGrid w:val="0"/>
              <w:spacing w:line="400" w:lineRule="exact"/>
              <w:ind w:firstLine="420" w:firstLineChars="200"/>
              <w:rPr>
                <w:b w:val="0"/>
                <w:bCs w:val="0"/>
                <w:highlight w:val="none"/>
                <w:u w:val="none"/>
              </w:rPr>
            </w:pPr>
          </w:p>
          <w:p w14:paraId="5BAAAAF3">
            <w:pPr>
              <w:autoSpaceDE w:val="0"/>
              <w:autoSpaceDN w:val="0"/>
              <w:adjustRightInd w:val="0"/>
              <w:snapToGrid w:val="0"/>
              <w:spacing w:line="400" w:lineRule="exact"/>
              <w:ind w:firstLine="420" w:firstLineChars="200"/>
              <w:rPr>
                <w:b w:val="0"/>
                <w:bCs w:val="0"/>
                <w:highlight w:val="none"/>
                <w:u w:val="none"/>
              </w:rPr>
            </w:pPr>
          </w:p>
          <w:p w14:paraId="3D6D0EA9">
            <w:pPr>
              <w:autoSpaceDE w:val="0"/>
              <w:autoSpaceDN w:val="0"/>
              <w:adjustRightInd w:val="0"/>
              <w:snapToGrid w:val="0"/>
              <w:spacing w:line="400" w:lineRule="exact"/>
              <w:ind w:firstLine="420" w:firstLineChars="200"/>
              <w:rPr>
                <w:rFonts w:cs="宋体"/>
                <w:b w:val="0"/>
                <w:bCs w:val="0"/>
                <w:kern w:val="0"/>
                <w:highlight w:val="none"/>
                <w:u w:val="none"/>
              </w:rPr>
            </w:pPr>
          </w:p>
          <w:p w14:paraId="1BD82FD4">
            <w:pPr>
              <w:pStyle w:val="5"/>
              <w:rPr>
                <w:rFonts w:hint="default"/>
                <w:b w:val="0"/>
                <w:bCs w:val="0"/>
                <w:highlight w:val="none"/>
                <w:u w:val="none"/>
              </w:rPr>
            </w:pPr>
          </w:p>
        </w:tc>
      </w:tr>
    </w:tbl>
    <w:p w14:paraId="5A3BC0A3">
      <w:pPr>
        <w:rPr>
          <w:b w:val="0"/>
          <w:bCs w:val="0"/>
          <w:u w:val="none"/>
        </w:rPr>
        <w:sectPr>
          <w:pgSz w:w="11906" w:h="16838"/>
          <w:pgMar w:top="1440" w:right="1803" w:bottom="1440" w:left="1803" w:header="851" w:footer="992" w:gutter="0"/>
          <w:cols w:space="0" w:num="1"/>
          <w:docGrid w:type="lines" w:linePitch="332" w:charSpace="0"/>
        </w:sectPr>
      </w:pPr>
    </w:p>
    <w:p w14:paraId="3A2C4742">
      <w:pPr>
        <w:pStyle w:val="3"/>
        <w:rPr>
          <w:b w:val="0"/>
          <w:bCs w:val="0"/>
          <w:u w:val="none"/>
        </w:rPr>
      </w:pPr>
      <w:r>
        <w:rPr>
          <w:rFonts w:hint="eastAsia"/>
          <w:b w:val="0"/>
          <w:bCs w:val="0"/>
          <w:u w:val="none"/>
        </w:rPr>
        <w:t>主要环境影响和保护措施</w:t>
      </w:r>
    </w:p>
    <w:tbl>
      <w:tblPr>
        <w:tblStyle w:val="27"/>
        <w:tblW w:w="8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4"/>
        <w:gridCol w:w="7622"/>
      </w:tblGrid>
      <w:tr w14:paraId="223D1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814" w:type="dxa"/>
            <w:tcBorders>
              <w:top w:val="single" w:color="auto" w:sz="8" w:space="0"/>
              <w:left w:val="single" w:color="auto" w:sz="8" w:space="0"/>
              <w:bottom w:val="single" w:color="auto" w:sz="4" w:space="0"/>
              <w:right w:val="single" w:color="auto" w:sz="4" w:space="0"/>
            </w:tcBorders>
            <w:tcMar>
              <w:top w:w="0" w:type="dxa"/>
              <w:left w:w="28" w:type="dxa"/>
              <w:bottom w:w="0" w:type="dxa"/>
              <w:right w:w="28" w:type="dxa"/>
            </w:tcMar>
            <w:vAlign w:val="center"/>
          </w:tcPr>
          <w:p w14:paraId="4FB6721D">
            <w:pPr>
              <w:rPr>
                <w:b w:val="0"/>
                <w:bCs w:val="0"/>
                <w:u w:val="none"/>
              </w:rPr>
            </w:pPr>
            <w:r>
              <w:rPr>
                <w:rFonts w:hint="eastAsia"/>
                <w:b w:val="0"/>
                <w:bCs w:val="0"/>
                <w:u w:val="none"/>
              </w:rPr>
              <w:t>施工期环境保护措施</w:t>
            </w:r>
          </w:p>
        </w:tc>
        <w:tc>
          <w:tcPr>
            <w:tcW w:w="7622" w:type="dxa"/>
            <w:tcBorders>
              <w:top w:val="single" w:color="auto" w:sz="8" w:space="0"/>
              <w:left w:val="single" w:color="auto" w:sz="4" w:space="0"/>
              <w:bottom w:val="single" w:color="auto" w:sz="4" w:space="0"/>
              <w:right w:val="single" w:color="auto" w:sz="8" w:space="0"/>
            </w:tcBorders>
            <w:vAlign w:val="center"/>
          </w:tcPr>
          <w:p w14:paraId="254492C9">
            <w:pPr>
              <w:pStyle w:val="5"/>
              <w:rPr>
                <w:rFonts w:hint="default"/>
                <w:b w:val="0"/>
                <w:bCs w:val="0"/>
                <w:u w:val="none"/>
              </w:rPr>
            </w:pPr>
            <w:r>
              <w:rPr>
                <w:b w:val="0"/>
                <w:bCs w:val="0"/>
                <w:u w:val="none"/>
              </w:rPr>
              <w:t>施工期施工人数高峰期为30人，本项目施工期的环境影响主要是扬尘、施工废水、生活污水、建筑施工噪声、建筑固废和生活垃圾等，而且这些影响是短期的，随着施工期的结束而消失。</w:t>
            </w:r>
          </w:p>
          <w:p w14:paraId="52BFF11A">
            <w:pPr>
              <w:pStyle w:val="4"/>
              <w:numPr>
                <w:ilvl w:val="1"/>
                <w:numId w:val="10"/>
              </w:numPr>
              <w:tabs>
                <w:tab w:val="left" w:pos="0"/>
              </w:tabs>
              <w:rPr>
                <w:b w:val="0"/>
                <w:bCs w:val="0"/>
                <w:u w:val="none"/>
              </w:rPr>
            </w:pPr>
            <w:r>
              <w:rPr>
                <w:rFonts w:hint="eastAsia"/>
                <w:b w:val="0"/>
                <w:bCs w:val="0"/>
                <w:u w:val="none"/>
              </w:rPr>
              <w:t>废水影响分析</w:t>
            </w:r>
          </w:p>
          <w:p w14:paraId="2891423F">
            <w:pPr>
              <w:pStyle w:val="5"/>
              <w:ind w:firstLine="422"/>
              <w:rPr>
                <w:rFonts w:hint="default"/>
                <w:b/>
                <w:bCs/>
                <w:u w:val="single"/>
              </w:rPr>
            </w:pPr>
            <w:r>
              <w:rPr>
                <w:rFonts w:hint="default"/>
                <w:b/>
                <w:bCs/>
                <w:u w:val="single"/>
              </w:rPr>
              <w:t>本项目施工期产生的废水主要是建筑施工废水和施工人员生活污水。</w:t>
            </w:r>
          </w:p>
          <w:p w14:paraId="67A72F85">
            <w:pPr>
              <w:pStyle w:val="5"/>
              <w:ind w:firstLine="422"/>
              <w:rPr>
                <w:rFonts w:hint="default"/>
                <w:b/>
                <w:bCs/>
                <w:u w:val="single"/>
              </w:rPr>
            </w:pPr>
            <w:r>
              <w:rPr>
                <w:rFonts w:hint="default"/>
                <w:b/>
                <w:bCs/>
                <w:u w:val="single"/>
              </w:rPr>
              <w:t>2.1建筑施工废水影响分析</w:t>
            </w:r>
          </w:p>
          <w:p w14:paraId="13D6E9D8">
            <w:pPr>
              <w:pStyle w:val="5"/>
              <w:ind w:firstLine="422"/>
              <w:rPr>
                <w:rFonts w:hint="default"/>
                <w:b/>
                <w:bCs/>
                <w:u w:val="single"/>
                <w:lang w:val="zh-CN"/>
              </w:rPr>
            </w:pPr>
            <w:r>
              <w:rPr>
                <w:rFonts w:hint="default"/>
                <w:b/>
                <w:bCs/>
                <w:u w:val="single"/>
                <w:lang w:val="zh-CN"/>
              </w:rPr>
              <w:t>本项目建筑施工废水包括施工机械冷却水及洗涤用水、施工现场清洗、建材清洗、混凝土浇筑、养护、冲洗等，这部分废水有一定量的油污和泥沙，主要污染物为SS，水量较少，且一般瞬时排放。建议在施工场地内设置临时集水池和沉砂池，建筑施工废水经集水池和沉砂池收集沉淀后，用于建筑施工场地洒水抑尘，不外排。</w:t>
            </w:r>
          </w:p>
          <w:p w14:paraId="36D5C5DB">
            <w:pPr>
              <w:pStyle w:val="5"/>
              <w:ind w:firstLine="422"/>
              <w:rPr>
                <w:rFonts w:hint="default"/>
                <w:b/>
                <w:bCs/>
                <w:u w:val="single"/>
              </w:rPr>
            </w:pPr>
            <w:r>
              <w:rPr>
                <w:rFonts w:hint="default"/>
                <w:b/>
                <w:bCs/>
                <w:u w:val="single"/>
              </w:rPr>
              <w:t>2.2施工人员生活污水影响分析</w:t>
            </w:r>
          </w:p>
          <w:p w14:paraId="421439DA">
            <w:pPr>
              <w:pStyle w:val="5"/>
              <w:ind w:firstLine="422"/>
              <w:rPr>
                <w:rFonts w:hint="default"/>
                <w:b/>
                <w:bCs/>
                <w:u w:val="single"/>
                <w:lang w:val="zh-CN"/>
              </w:rPr>
            </w:pPr>
            <w:r>
              <w:rPr>
                <w:rFonts w:hint="default"/>
                <w:b/>
                <w:bCs/>
                <w:u w:val="single"/>
              </w:rPr>
              <w:t>本项目施工期较短约为</w:t>
            </w:r>
            <w:r>
              <w:rPr>
                <w:b/>
                <w:bCs/>
                <w:u w:val="single"/>
              </w:rPr>
              <w:t>10</w:t>
            </w:r>
            <w:r>
              <w:rPr>
                <w:rFonts w:hint="default"/>
                <w:b/>
                <w:bCs/>
                <w:u w:val="single"/>
              </w:rPr>
              <w:t>个月，施工人员较少，且不在施工场地内食宿，</w:t>
            </w:r>
            <w:r>
              <w:rPr>
                <w:rFonts w:hint="default"/>
                <w:b/>
                <w:bCs/>
                <w:u w:val="single"/>
                <w:lang w:val="zh-CN"/>
              </w:rPr>
              <w:t>产生的生活污水主要是施工人员洗脸、洗手及厕所产生的污水，主要污染物是COD、BOD5、SS、NH3-N等。由于施工期产生的生活污水量较小，施工人员生活污水依托厂区化粪池处理后，经开发区污水管网进入平顶山首创水务有限公司（平顶山市第三污水处理厂）处理达标后排放。</w:t>
            </w:r>
          </w:p>
          <w:p w14:paraId="1CFC2B20">
            <w:pPr>
              <w:pStyle w:val="5"/>
              <w:ind w:firstLine="422"/>
              <w:rPr>
                <w:rFonts w:hint="default"/>
                <w:b/>
                <w:bCs/>
                <w:u w:val="single"/>
                <w:lang w:val="zh-CN"/>
              </w:rPr>
            </w:pPr>
            <w:r>
              <w:rPr>
                <w:rFonts w:hint="default"/>
                <w:b/>
                <w:bCs/>
                <w:u w:val="single"/>
                <w:lang w:val="zh-CN"/>
              </w:rPr>
              <w:t>综上所述，本项目施工期产生的各类废水均得到合理处置，对地表水环境影响较小。</w:t>
            </w:r>
          </w:p>
          <w:p w14:paraId="110F36AE">
            <w:pPr>
              <w:pStyle w:val="4"/>
              <w:numPr>
                <w:ilvl w:val="1"/>
                <w:numId w:val="3"/>
              </w:numPr>
              <w:tabs>
                <w:tab w:val="left" w:pos="0"/>
              </w:tabs>
              <w:rPr>
                <w:b/>
                <w:bCs/>
                <w:u w:val="single"/>
              </w:rPr>
            </w:pPr>
            <w:r>
              <w:rPr>
                <w:rFonts w:hint="eastAsia"/>
                <w:b/>
                <w:bCs/>
                <w:u w:val="single"/>
              </w:rPr>
              <w:t>大气环境影响分析</w:t>
            </w:r>
          </w:p>
          <w:p w14:paraId="0FB172B4">
            <w:pPr>
              <w:pStyle w:val="5"/>
              <w:ind w:firstLine="422"/>
              <w:rPr>
                <w:rFonts w:hint="default"/>
                <w:b/>
                <w:bCs/>
                <w:u w:val="single"/>
              </w:rPr>
            </w:pPr>
            <w:r>
              <w:rPr>
                <w:rFonts w:hint="default"/>
                <w:b/>
                <w:bCs/>
                <w:u w:val="single"/>
              </w:rPr>
              <w:t>本项目施工废气主要包括施工扬尘和施工机械尾气。</w:t>
            </w:r>
          </w:p>
          <w:p w14:paraId="258A0D6D">
            <w:pPr>
              <w:pStyle w:val="5"/>
              <w:ind w:firstLine="422"/>
              <w:rPr>
                <w:rFonts w:hint="default"/>
                <w:b/>
                <w:bCs/>
                <w:u w:val="single"/>
              </w:rPr>
            </w:pPr>
            <w:r>
              <w:rPr>
                <w:rFonts w:hint="default"/>
                <w:b/>
                <w:bCs/>
                <w:u w:val="single"/>
              </w:rPr>
              <w:t>1.1施工扬尘影响分析</w:t>
            </w:r>
          </w:p>
          <w:p w14:paraId="3C31E49E">
            <w:pPr>
              <w:pStyle w:val="5"/>
              <w:ind w:firstLine="422"/>
              <w:rPr>
                <w:rFonts w:hint="default"/>
                <w:b/>
                <w:bCs/>
                <w:u w:val="single"/>
              </w:rPr>
            </w:pPr>
            <w:r>
              <w:rPr>
                <w:rFonts w:hint="default"/>
                <w:b/>
                <w:bCs/>
                <w:u w:val="single"/>
              </w:rPr>
              <w:t>本项目施工期产生扬尘为厂房装修和厂区防渗措施施工过程中地表开挖产生的扬尘，污染因子为TSP。</w:t>
            </w:r>
          </w:p>
          <w:p w14:paraId="611C48F4">
            <w:pPr>
              <w:pStyle w:val="5"/>
              <w:ind w:firstLine="422"/>
              <w:rPr>
                <w:rFonts w:hint="default"/>
                <w:b/>
                <w:bCs/>
                <w:u w:val="single"/>
              </w:rPr>
            </w:pPr>
            <w:r>
              <w:rPr>
                <w:rFonts w:hint="default"/>
                <w:b/>
                <w:bCs/>
                <w:u w:val="single"/>
              </w:rPr>
              <w:t>为减少施工扬尘对周围环境保护目标的影响，建设单位应严格按照《河南省2023年蓝天保卫战实施方案》及《平顶山市2023年蓝天保卫战实施方案》等文件相关规定，建设单位应采取以下污染防治措施：</w:t>
            </w:r>
          </w:p>
          <w:p w14:paraId="1527A464">
            <w:pPr>
              <w:pStyle w:val="5"/>
              <w:ind w:firstLine="422"/>
              <w:rPr>
                <w:rFonts w:hint="default"/>
                <w:b/>
                <w:bCs/>
                <w:u w:val="single"/>
              </w:rPr>
            </w:pPr>
            <w:r>
              <w:rPr>
                <w:rFonts w:hint="default"/>
                <w:b/>
                <w:bCs/>
                <w:u w:val="single"/>
              </w:rPr>
              <w:t>（1）建设单位要强化工地扬尘污染防治。严格落实施工工地“六个百分之百”（施工现场百分之百围挡，裸露黄土及易起尘物料堆放百分之百覆盖，施工现场主要道路百分之百硬化，进出车辆百分之百冲洗，拆除和土方工程百分之百湿法作业，渣土运输车辆百分之百封闭）等扬尘防治预算管理等制度。</w:t>
            </w:r>
          </w:p>
          <w:p w14:paraId="2CDA4B73">
            <w:pPr>
              <w:pStyle w:val="5"/>
              <w:ind w:firstLine="422"/>
              <w:rPr>
                <w:rFonts w:hint="default"/>
                <w:b/>
                <w:bCs/>
                <w:u w:val="single"/>
              </w:rPr>
            </w:pPr>
            <w:r>
              <w:rPr>
                <w:rFonts w:hint="default"/>
                <w:b/>
                <w:bCs/>
                <w:u w:val="single"/>
              </w:rPr>
              <w:t>（2）避免大风天气作业，项目施工过程中避免在大风天气进行水泥、黄沙等的装卸作业，对水泥类物料尽可能不要露天堆放，即使必须露天堆放，也要注意加盖防雨布，减少大风造成的施工扬尘。</w:t>
            </w:r>
          </w:p>
          <w:p w14:paraId="4D8D3A51">
            <w:pPr>
              <w:pStyle w:val="5"/>
              <w:ind w:firstLine="422"/>
              <w:rPr>
                <w:rFonts w:hint="default"/>
                <w:b/>
                <w:bCs/>
                <w:u w:val="single"/>
              </w:rPr>
            </w:pPr>
            <w:r>
              <w:rPr>
                <w:rFonts w:hint="default"/>
                <w:b/>
                <w:bCs/>
                <w:u w:val="single"/>
              </w:rPr>
              <w:t>（3）持续洒水降尘措施。施工期现场定期喷洒，保证地面湿润不起尘，采取该措施后，可减少2.5%的扬尘排放量。</w:t>
            </w:r>
          </w:p>
          <w:p w14:paraId="3E031077">
            <w:pPr>
              <w:pStyle w:val="5"/>
              <w:ind w:firstLine="422"/>
              <w:rPr>
                <w:rFonts w:hint="default"/>
                <w:b/>
                <w:bCs/>
                <w:u w:val="single"/>
              </w:rPr>
            </w:pPr>
            <w:r>
              <w:rPr>
                <w:rFonts w:hint="default"/>
                <w:b/>
                <w:bCs/>
                <w:u w:val="single"/>
              </w:rPr>
              <w:t>1.2施工机械尾气影响分析</w:t>
            </w:r>
          </w:p>
          <w:p w14:paraId="169B734F">
            <w:pPr>
              <w:pStyle w:val="5"/>
              <w:ind w:firstLine="422"/>
              <w:rPr>
                <w:rFonts w:hint="default"/>
                <w:b/>
                <w:bCs/>
                <w:u w:val="single"/>
                <w:lang w:val="zh-CN"/>
              </w:rPr>
            </w:pPr>
            <w:r>
              <w:rPr>
                <w:rFonts w:hint="default"/>
                <w:b/>
                <w:bCs/>
                <w:u w:val="single"/>
                <w:lang w:val="zh-CN"/>
              </w:rPr>
              <w:t>本项目施工期间，使用机动车运送原材料、设备和建筑机械设备的运转，均会排放一定量的CO、NOx以及未完全燃烧的HC等，其特点是排放量小，且属间断性无组织排放，由于其这一特点，因此不会引起大的大气环境污染。对此，本环评要求在施工期内多加注意施工设备的维护，使其能够正常的运行，从而可以避免施工机械因“病态”而使产生的废气超标的现象发生，随着施工期的结束，本项目对大气环境影响也随之结束。</w:t>
            </w:r>
          </w:p>
          <w:p w14:paraId="64A35B83">
            <w:pPr>
              <w:pStyle w:val="5"/>
              <w:ind w:firstLine="422"/>
              <w:rPr>
                <w:rFonts w:hint="default"/>
                <w:b/>
                <w:bCs/>
                <w:u w:val="single"/>
              </w:rPr>
            </w:pPr>
            <w:r>
              <w:rPr>
                <w:rFonts w:hint="default"/>
                <w:b/>
                <w:bCs/>
                <w:u w:val="single"/>
              </w:rPr>
              <w:t>综上，本项目施工期经采取上述污染防治措施后，扬尘废气不会对周围环境空气产生较大影响，对环境空气产生的短暂影响随着施工期结束而消失。</w:t>
            </w:r>
          </w:p>
          <w:p w14:paraId="69FAAB2C">
            <w:pPr>
              <w:pStyle w:val="4"/>
              <w:numPr>
                <w:ilvl w:val="1"/>
                <w:numId w:val="3"/>
              </w:numPr>
              <w:tabs>
                <w:tab w:val="left" w:pos="0"/>
              </w:tabs>
              <w:rPr>
                <w:b w:val="0"/>
                <w:bCs w:val="0"/>
                <w:u w:val="none"/>
                <w:lang w:val="zh-CN"/>
              </w:rPr>
            </w:pPr>
            <w:r>
              <w:rPr>
                <w:b w:val="0"/>
                <w:bCs w:val="0"/>
                <w:u w:val="none"/>
                <w:lang w:val="zh-CN"/>
              </w:rPr>
              <w:t>声环境影响分析</w:t>
            </w:r>
          </w:p>
          <w:p w14:paraId="5085971E">
            <w:pPr>
              <w:pStyle w:val="5"/>
              <w:rPr>
                <w:rFonts w:hint="default"/>
                <w:b w:val="0"/>
                <w:bCs w:val="0"/>
                <w:u w:val="none"/>
              </w:rPr>
            </w:pPr>
            <w:r>
              <w:rPr>
                <w:b w:val="0"/>
                <w:bCs w:val="0"/>
                <w:u w:val="none"/>
              </w:rPr>
              <w:t>本项目建设期间的噪声源主要为构筑物施工和设备安装过程中产生噪声。施工机械噪声主要来自装载机、建筑材料运输车辆等设备噪声；设备安装噪声主要为电锯、电钻等安装工具产生噪声。施工期噪声有突发性、冲击性、不连续性等特点，其噪声源强为80~100dB（A）。施工期间噪声会对周围环境产生一定的影响。因此，评价要求建设单位在施工期采取以下相应措施：</w:t>
            </w:r>
          </w:p>
          <w:p w14:paraId="30033576">
            <w:pPr>
              <w:pStyle w:val="5"/>
              <w:rPr>
                <w:rFonts w:hint="default"/>
                <w:b w:val="0"/>
                <w:bCs w:val="0"/>
                <w:u w:val="none"/>
              </w:rPr>
            </w:pPr>
            <w:r>
              <w:rPr>
                <w:b w:val="0"/>
                <w:bCs w:val="0"/>
                <w:u w:val="none"/>
              </w:rPr>
              <w:t>（1）施工单位应尽量选用先进的低噪声设备，在高噪声设备周围设置声屏障以减轻噪声对周围环境的影响，并根据周围环境情况合理安排施工时间，控制施工场界噪声不超过《建筑施工场界环境噪声排放标准》（GB12523-2011）的要求；</w:t>
            </w:r>
          </w:p>
          <w:p w14:paraId="0626C85D">
            <w:pPr>
              <w:pStyle w:val="5"/>
              <w:rPr>
                <w:rFonts w:hint="default"/>
                <w:b w:val="0"/>
                <w:bCs w:val="0"/>
                <w:u w:val="none"/>
              </w:rPr>
            </w:pPr>
            <w:r>
              <w:rPr>
                <w:b w:val="0"/>
                <w:bCs w:val="0"/>
                <w:u w:val="none"/>
              </w:rPr>
              <w:t>（2）施工现场合理布局，以避免局部声级过高，施工单位应尽量将施工设备布置在场地中间，以减少对周围环境的影响，尽可能将施工阶段的噪声减至最小；</w:t>
            </w:r>
          </w:p>
          <w:p w14:paraId="18E138C2">
            <w:pPr>
              <w:pStyle w:val="5"/>
              <w:rPr>
                <w:rFonts w:hint="default"/>
                <w:b w:val="0"/>
                <w:bCs w:val="0"/>
                <w:u w:val="none"/>
              </w:rPr>
            </w:pPr>
            <w:r>
              <w:rPr>
                <w:b w:val="0"/>
                <w:bCs w:val="0"/>
                <w:u w:val="none"/>
              </w:rPr>
              <w:t>（3）施工单位采用先进的施工工艺，合理选用施工机械；</w:t>
            </w:r>
          </w:p>
          <w:p w14:paraId="134B1AF5">
            <w:pPr>
              <w:pStyle w:val="5"/>
              <w:rPr>
                <w:rFonts w:hint="default"/>
                <w:b w:val="0"/>
                <w:bCs w:val="0"/>
                <w:u w:val="none"/>
              </w:rPr>
            </w:pPr>
            <w:r>
              <w:rPr>
                <w:b w:val="0"/>
                <w:bCs w:val="0"/>
                <w:u w:val="none"/>
              </w:rPr>
              <w:t>（4）加强施工机械的维修、管理，保证施工机械处于低噪声、高效率的状态；</w:t>
            </w:r>
          </w:p>
          <w:p w14:paraId="4355F07C">
            <w:pPr>
              <w:pStyle w:val="5"/>
              <w:rPr>
                <w:rFonts w:hint="default"/>
                <w:b w:val="0"/>
                <w:bCs w:val="0"/>
                <w:u w:val="none"/>
              </w:rPr>
            </w:pPr>
            <w:r>
              <w:rPr>
                <w:b w:val="0"/>
                <w:bCs w:val="0"/>
                <w:u w:val="none"/>
              </w:rPr>
              <w:t>（5）合理安排施工时间，禁止在午间12时至14时和夜间22时至次日6时；</w:t>
            </w:r>
          </w:p>
          <w:p w14:paraId="52F7A9D3">
            <w:pPr>
              <w:pStyle w:val="5"/>
              <w:rPr>
                <w:rFonts w:hint="default"/>
                <w:b w:val="0"/>
                <w:bCs w:val="0"/>
                <w:u w:val="none"/>
              </w:rPr>
            </w:pPr>
            <w:r>
              <w:rPr>
                <w:b w:val="0"/>
                <w:bCs w:val="0"/>
                <w:u w:val="none"/>
              </w:rPr>
              <w:t>（6）现场施工人员要严加管理，拆卸模板时要防止模板互相撞击噪声扰民，要文明施工。</w:t>
            </w:r>
          </w:p>
          <w:p w14:paraId="023AE942">
            <w:pPr>
              <w:pStyle w:val="5"/>
              <w:rPr>
                <w:rFonts w:hint="default"/>
                <w:b w:val="0"/>
                <w:bCs w:val="0"/>
                <w:u w:val="none"/>
              </w:rPr>
            </w:pPr>
            <w:r>
              <w:rPr>
                <w:b w:val="0"/>
                <w:bCs w:val="0"/>
                <w:u w:val="none"/>
              </w:rPr>
              <w:t>采取上述相应的措施后，施工噪声得到了有效控制，施工期噪声对周围环境影响较小。施工期噪声具有临时性、阶段性和不固定性等特点，随着施工的结束，本项目施工期噪声对周围声环境的影响就会停止。</w:t>
            </w:r>
          </w:p>
          <w:p w14:paraId="29134825">
            <w:pPr>
              <w:pStyle w:val="4"/>
              <w:numPr>
                <w:ilvl w:val="1"/>
                <w:numId w:val="3"/>
              </w:numPr>
              <w:tabs>
                <w:tab w:val="left" w:pos="0"/>
              </w:tabs>
              <w:rPr>
                <w:b w:val="0"/>
                <w:bCs w:val="0"/>
                <w:u w:val="none"/>
                <w:lang w:val="zh-CN"/>
              </w:rPr>
            </w:pPr>
            <w:r>
              <w:rPr>
                <w:b w:val="0"/>
                <w:bCs w:val="0"/>
                <w:u w:val="none"/>
                <w:lang w:val="zh-CN"/>
              </w:rPr>
              <w:t>固体废弃物</w:t>
            </w:r>
          </w:p>
          <w:p w14:paraId="63C36BA3">
            <w:pPr>
              <w:pStyle w:val="5"/>
              <w:rPr>
                <w:rFonts w:hint="default"/>
                <w:b w:val="0"/>
                <w:bCs w:val="0"/>
                <w:u w:val="none"/>
              </w:rPr>
            </w:pPr>
            <w:r>
              <w:rPr>
                <w:b w:val="0"/>
                <w:bCs w:val="0"/>
                <w:u w:val="none"/>
              </w:rPr>
              <w:t>（1）建筑垃圾及土石方</w:t>
            </w:r>
          </w:p>
          <w:p w14:paraId="5B0545E6">
            <w:pPr>
              <w:pStyle w:val="5"/>
              <w:rPr>
                <w:rFonts w:hint="default"/>
                <w:b w:val="0"/>
                <w:bCs w:val="0"/>
                <w:u w:val="none"/>
              </w:rPr>
            </w:pPr>
            <w:r>
              <w:rPr>
                <w:b w:val="0"/>
                <w:bCs w:val="0"/>
                <w:u w:val="none"/>
              </w:rPr>
              <w:t>本项目施工期建筑垃圾主要为厂房、房屋搭建产生的废砖块、废铁丝、废钢材等收集后外售，对周边环境影响很小。本项目挖方量小，挖出的土石方用于场地平整，不外运。</w:t>
            </w:r>
          </w:p>
          <w:p w14:paraId="745761CB">
            <w:pPr>
              <w:pStyle w:val="5"/>
              <w:rPr>
                <w:rFonts w:hint="default"/>
                <w:b w:val="0"/>
                <w:bCs w:val="0"/>
                <w:u w:val="none"/>
              </w:rPr>
            </w:pPr>
            <w:r>
              <w:rPr>
                <w:b w:val="0"/>
                <w:bCs w:val="0"/>
                <w:u w:val="none"/>
              </w:rPr>
              <w:t>（2）施工人员生活垃圾</w:t>
            </w:r>
          </w:p>
          <w:p w14:paraId="574F8F66">
            <w:pPr>
              <w:pStyle w:val="5"/>
              <w:rPr>
                <w:rFonts w:hint="default"/>
                <w:b w:val="0"/>
                <w:bCs w:val="0"/>
                <w:u w:val="none"/>
              </w:rPr>
            </w:pPr>
            <w:r>
              <w:rPr>
                <w:b w:val="0"/>
                <w:bCs w:val="0"/>
                <w:u w:val="none"/>
              </w:rPr>
              <w:t>本项目施工期生活垃圾产生量为9kg/d。生活垃圾集中收集到指定的垃圾箱内，并由环卫部门统一清运，不会对周围环境产生影响。</w:t>
            </w:r>
          </w:p>
        </w:tc>
      </w:tr>
      <w:tr w14:paraId="60CEA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814" w:type="dxa"/>
            <w:tcBorders>
              <w:top w:val="single" w:color="auto" w:sz="4" w:space="0"/>
              <w:left w:val="single" w:color="auto" w:sz="8" w:space="0"/>
              <w:bottom w:val="single" w:color="auto" w:sz="4" w:space="0"/>
              <w:right w:val="single" w:color="auto" w:sz="4" w:space="0"/>
            </w:tcBorders>
            <w:tcMar>
              <w:top w:w="0" w:type="dxa"/>
              <w:left w:w="28" w:type="dxa"/>
              <w:bottom w:w="0" w:type="dxa"/>
              <w:right w:w="28" w:type="dxa"/>
            </w:tcMar>
            <w:vAlign w:val="center"/>
          </w:tcPr>
          <w:p w14:paraId="1BA34DB2">
            <w:pPr>
              <w:rPr>
                <w:b w:val="0"/>
                <w:bCs w:val="0"/>
                <w:u w:val="none"/>
              </w:rPr>
            </w:pPr>
            <w:r>
              <w:rPr>
                <w:rFonts w:hint="eastAsia"/>
                <w:b w:val="0"/>
                <w:bCs w:val="0"/>
                <w:u w:val="none"/>
              </w:rPr>
              <w:t>运营期环境影响和保护措施</w:t>
            </w:r>
          </w:p>
        </w:tc>
        <w:tc>
          <w:tcPr>
            <w:tcW w:w="7622" w:type="dxa"/>
            <w:tcBorders>
              <w:top w:val="single" w:color="auto" w:sz="4" w:space="0"/>
              <w:left w:val="single" w:color="auto" w:sz="4" w:space="0"/>
              <w:bottom w:val="single" w:color="auto" w:sz="4" w:space="0"/>
              <w:right w:val="single" w:color="auto" w:sz="8" w:space="0"/>
            </w:tcBorders>
            <w:vAlign w:val="center"/>
          </w:tcPr>
          <w:p w14:paraId="62E85EFB">
            <w:pPr>
              <w:pStyle w:val="4"/>
              <w:numPr>
                <w:ilvl w:val="1"/>
                <w:numId w:val="11"/>
              </w:numPr>
              <w:tabs>
                <w:tab w:val="left" w:pos="0"/>
              </w:tabs>
              <w:rPr>
                <w:b w:val="0"/>
                <w:bCs w:val="0"/>
                <w:u w:val="none"/>
              </w:rPr>
            </w:pPr>
            <w:r>
              <w:rPr>
                <w:rFonts w:hint="eastAsia"/>
                <w:b w:val="0"/>
                <w:bCs w:val="0"/>
                <w:u w:val="none"/>
              </w:rPr>
              <w:t>废气</w:t>
            </w:r>
          </w:p>
          <w:p w14:paraId="0790C1AB">
            <w:pPr>
              <w:pStyle w:val="5"/>
              <w:rPr>
                <w:rFonts w:hint="default"/>
                <w:b w:val="0"/>
                <w:bCs w:val="0"/>
                <w:u w:val="none"/>
              </w:rPr>
            </w:pPr>
            <w:r>
              <w:rPr>
                <w:b w:val="0"/>
                <w:bCs w:val="0"/>
                <w:u w:val="none"/>
              </w:rPr>
              <w:t>本项目废气主要为二氧化碳回收尾气、液氨提纯废气以及氨水储存和灌装过程的大小呼吸废气。二氧化碳回收尾气的主要污染物为甲醇、一氧化碳、硫化氢、羟基硫。液氨提纯废气、氨水储罐“大小呼吸”废气主要污染物为氨。其中，液氨提纯废气以及氨水储罐“大小呼吸”废气通过制氨水系统吸收后排放。</w:t>
            </w:r>
          </w:p>
          <w:p w14:paraId="5762619C">
            <w:pPr>
              <w:pStyle w:val="6"/>
              <w:numPr>
                <w:ilvl w:val="2"/>
                <w:numId w:val="3"/>
              </w:numPr>
              <w:rPr>
                <w:b w:val="0"/>
                <w:bCs w:val="0"/>
                <w:u w:val="none"/>
              </w:rPr>
            </w:pPr>
            <w:r>
              <w:rPr>
                <w:rFonts w:hint="eastAsia"/>
                <w:b w:val="0"/>
                <w:bCs w:val="0"/>
                <w:u w:val="none"/>
              </w:rPr>
              <w:t>有组织</w:t>
            </w:r>
            <w:r>
              <w:rPr>
                <w:b w:val="0"/>
                <w:bCs w:val="0"/>
                <w:u w:val="none"/>
              </w:rPr>
              <w:t>废气源强核算</w:t>
            </w:r>
          </w:p>
          <w:p w14:paraId="7447891E">
            <w:pPr>
              <w:pStyle w:val="5"/>
              <w:rPr>
                <w:rFonts w:hint="default"/>
                <w:b w:val="0"/>
                <w:bCs w:val="0"/>
                <w:u w:val="none"/>
              </w:rPr>
            </w:pPr>
            <w:r>
              <w:rPr>
                <w:b w:val="0"/>
                <w:bCs w:val="0"/>
                <w:u w:val="none"/>
              </w:rPr>
              <w:t>（1）二氧化碳回收尾气</w:t>
            </w:r>
          </w:p>
          <w:p w14:paraId="77642FDE">
            <w:pPr>
              <w:pStyle w:val="5"/>
              <w:ind w:firstLine="422"/>
              <w:rPr>
                <w:rFonts w:hint="default"/>
                <w:b/>
                <w:bCs/>
                <w:u w:val="single"/>
              </w:rPr>
            </w:pPr>
            <w:r>
              <w:rPr>
                <w:b/>
                <w:bCs/>
                <w:u w:val="single"/>
              </w:rPr>
              <w:t>根据业主提供原料成分分析，</w:t>
            </w:r>
            <w:r>
              <w:rPr>
                <w:rFonts w:hint="default"/>
                <w:b/>
                <w:bCs/>
                <w:u w:val="single"/>
              </w:rPr>
              <w:t>本项目二氧化碳回收尾气</w:t>
            </w:r>
            <w:r>
              <w:rPr>
                <w:b/>
                <w:bCs/>
                <w:u w:val="single"/>
              </w:rPr>
              <w:t>成分主要为CO</w:t>
            </w:r>
            <w:r>
              <w:rPr>
                <w:b/>
                <w:bCs/>
                <w:u w:val="single"/>
                <w:vertAlign w:val="subscript"/>
              </w:rPr>
              <w:t>2</w:t>
            </w:r>
            <w:r>
              <w:rPr>
                <w:rFonts w:hint="default"/>
                <w:b/>
                <w:bCs/>
                <w:u w:val="single"/>
              </w:rPr>
              <w:t>，含有</w:t>
            </w:r>
            <w:r>
              <w:rPr>
                <w:b/>
                <w:bCs/>
                <w:u w:val="single"/>
              </w:rPr>
              <w:t>一部分氧气、氮气、CO，以及</w:t>
            </w:r>
            <w:r>
              <w:rPr>
                <w:rFonts w:hint="default"/>
                <w:b/>
                <w:bCs/>
                <w:u w:val="single"/>
              </w:rPr>
              <w:t>少量的</w:t>
            </w:r>
            <w:r>
              <w:rPr>
                <w:b/>
                <w:bCs/>
                <w:u w:val="single"/>
              </w:rPr>
              <w:t>甲醇、硫化氢和羟基硫，其中CO</w:t>
            </w:r>
            <w:r>
              <w:rPr>
                <w:b/>
                <w:bCs/>
                <w:u w:val="single"/>
                <w:vertAlign w:val="subscript"/>
              </w:rPr>
              <w:t>2</w:t>
            </w:r>
            <w:r>
              <w:rPr>
                <w:b/>
                <w:bCs/>
                <w:u w:val="single"/>
              </w:rPr>
              <w:t>、</w:t>
            </w:r>
            <w:r>
              <w:rPr>
                <w:rStyle w:val="49"/>
                <w:rFonts w:hint="default" w:ascii="Times New Roman" w:hAnsi="Times New Roman" w:cs="Times New Roman"/>
                <w:b/>
                <w:bCs/>
                <w:color w:val="auto"/>
                <w:sz w:val="24"/>
                <w:szCs w:val="24"/>
                <w:u w:val="single"/>
                <w:lang w:bidi="ar"/>
              </w:rPr>
              <w:t>O</w:t>
            </w:r>
            <w:r>
              <w:rPr>
                <w:rStyle w:val="57"/>
                <w:rFonts w:hint="eastAsia"/>
                <w:b/>
                <w:bCs/>
                <w:color w:val="auto"/>
                <w:sz w:val="24"/>
                <w:szCs w:val="24"/>
                <w:u w:val="single"/>
                <w:vertAlign w:val="subscript"/>
                <w:lang w:bidi="ar"/>
              </w:rPr>
              <w:t>2</w:t>
            </w:r>
            <w:r>
              <w:rPr>
                <w:b/>
                <w:bCs/>
                <w:u w:val="single"/>
              </w:rPr>
              <w:t>、</w:t>
            </w:r>
            <w:r>
              <w:rPr>
                <w:rStyle w:val="49"/>
                <w:rFonts w:hint="default" w:ascii="Times New Roman" w:hAnsi="Times New Roman" w:cs="Times New Roman"/>
                <w:b/>
                <w:bCs/>
                <w:color w:val="auto"/>
                <w:sz w:val="24"/>
                <w:szCs w:val="24"/>
                <w:u w:val="single"/>
                <w:lang w:bidi="ar"/>
              </w:rPr>
              <w:t>N</w:t>
            </w:r>
            <w:r>
              <w:rPr>
                <w:rStyle w:val="57"/>
                <w:rFonts w:hint="eastAsia"/>
                <w:b/>
                <w:bCs/>
                <w:color w:val="auto"/>
                <w:sz w:val="24"/>
                <w:szCs w:val="24"/>
                <w:u w:val="single"/>
                <w:vertAlign w:val="subscript"/>
                <w:lang w:bidi="ar"/>
              </w:rPr>
              <w:t>2</w:t>
            </w:r>
            <w:r>
              <w:rPr>
                <w:b/>
                <w:bCs/>
                <w:u w:val="single"/>
              </w:rPr>
              <w:t>、CO为空气的主要成分，外排过程不会对大气环境造成影响，对环境空气影响主要为甲醇、硫化氢和羟基硫。</w:t>
            </w:r>
          </w:p>
          <w:p w14:paraId="598D4E1C">
            <w:pPr>
              <w:pStyle w:val="5"/>
              <w:rPr>
                <w:rFonts w:hint="default"/>
                <w:b w:val="0"/>
                <w:bCs w:val="0"/>
                <w:u w:val="none"/>
              </w:rPr>
            </w:pPr>
            <w:r>
              <w:rPr>
                <w:b w:val="0"/>
                <w:bCs w:val="0"/>
                <w:u w:val="none"/>
              </w:rPr>
              <w:t>考虑最不利因素，本次评价按照原料气中杂质气体全部进入尾气成分计算，其中提纯过程通过粗脱硫剂和精脱硫剂分别对硫化氢和羟基硫进行脱除，脱硫效率按照90%计，根据业主提供原料气成分检测报告，二氧化碳回收尾气各成分见下表。</w:t>
            </w:r>
          </w:p>
          <w:p w14:paraId="1CFA68C2">
            <w:pPr>
              <w:pStyle w:val="44"/>
              <w:numPr>
                <w:ilvl w:val="0"/>
                <w:numId w:val="2"/>
              </w:numPr>
              <w:rPr>
                <w:rFonts w:hint="default"/>
                <w:b w:val="0"/>
                <w:bCs w:val="0"/>
                <w:highlight w:val="none"/>
                <w:u w:val="none"/>
              </w:rPr>
            </w:pPr>
            <w:r>
              <w:rPr>
                <w:rFonts w:hint="default"/>
                <w:b w:val="0"/>
                <w:bCs w:val="0"/>
                <w:highlight w:val="none"/>
                <w:u w:val="none"/>
              </w:rPr>
              <w:t>本项目二氧化碳回收尾气成分计算一览表</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45"/>
              <w:gridCol w:w="1345"/>
              <w:gridCol w:w="2010"/>
              <w:gridCol w:w="1049"/>
              <w:gridCol w:w="1557"/>
            </w:tblGrid>
            <w:tr w14:paraId="04C3987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75" w:type="pct"/>
                  <w:tcBorders>
                    <w:tl2br w:val="nil"/>
                    <w:tr2bl w:val="nil"/>
                  </w:tcBorders>
                  <w:shd w:val="clear" w:color="auto" w:fill="auto"/>
                  <w:noWrap/>
                  <w:vAlign w:val="center"/>
                </w:tcPr>
                <w:p w14:paraId="4D91931F">
                  <w:pPr>
                    <w:jc w:val="center"/>
                    <w:textAlignment w:val="center"/>
                    <w:rPr>
                      <w:b w:val="0"/>
                      <w:bCs w:val="0"/>
                      <w:highlight w:val="none"/>
                      <w:u w:val="none"/>
                    </w:rPr>
                  </w:pPr>
                  <w:r>
                    <w:rPr>
                      <w:rStyle w:val="56"/>
                      <w:rFonts w:hint="default" w:ascii="Times New Roman" w:hAnsi="Times New Roman" w:cs="Times New Roman"/>
                      <w:b w:val="0"/>
                      <w:bCs w:val="0"/>
                      <w:color w:val="auto"/>
                      <w:highlight w:val="none"/>
                      <w:u w:val="none"/>
                      <w:lang w:bidi="ar"/>
                    </w:rPr>
                    <w:t>组分</w:t>
                  </w:r>
                </w:p>
              </w:tc>
              <w:tc>
                <w:tcPr>
                  <w:tcW w:w="908" w:type="pct"/>
                  <w:tcBorders>
                    <w:tl2br w:val="nil"/>
                    <w:tr2bl w:val="nil"/>
                  </w:tcBorders>
                  <w:shd w:val="clear" w:color="auto" w:fill="auto"/>
                  <w:noWrap/>
                  <w:vAlign w:val="center"/>
                </w:tcPr>
                <w:p w14:paraId="64C5F263">
                  <w:pPr>
                    <w:jc w:val="center"/>
                    <w:textAlignment w:val="center"/>
                    <w:rPr>
                      <w:b w:val="0"/>
                      <w:bCs w:val="0"/>
                      <w:sz w:val="18"/>
                      <w:highlight w:val="none"/>
                      <w:u w:val="none"/>
                    </w:rPr>
                  </w:pPr>
                  <w:r>
                    <w:rPr>
                      <w:rStyle w:val="56"/>
                      <w:rFonts w:hint="default" w:ascii="Times New Roman" w:hAnsi="Times New Roman" w:cs="Times New Roman"/>
                      <w:b w:val="0"/>
                      <w:bCs w:val="0"/>
                      <w:color w:val="auto"/>
                      <w:highlight w:val="none"/>
                      <w:u w:val="none"/>
                      <w:lang w:bidi="ar"/>
                    </w:rPr>
                    <w:t>体积</w:t>
                  </w:r>
                  <w:r>
                    <w:rPr>
                      <w:rStyle w:val="49"/>
                      <w:rFonts w:ascii="Times New Roman" w:hAnsi="Times New Roman" w:cs="Times New Roman"/>
                      <w:b w:val="0"/>
                      <w:bCs w:val="0"/>
                      <w:color w:val="auto"/>
                      <w:highlight w:val="none"/>
                      <w:u w:val="none"/>
                      <w:lang w:bidi="ar"/>
                    </w:rPr>
                    <w:t>Nm</w:t>
                  </w:r>
                  <w:r>
                    <w:rPr>
                      <w:rStyle w:val="50"/>
                      <w:rFonts w:hint="default" w:ascii="Times New Roman" w:hAnsi="Times New Roman" w:cs="Times New Roman"/>
                      <w:b w:val="0"/>
                      <w:bCs w:val="0"/>
                      <w:color w:val="auto"/>
                      <w:highlight w:val="none"/>
                      <w:u w:val="none"/>
                      <w:vertAlign w:val="superscript"/>
                      <w:lang w:bidi="ar"/>
                    </w:rPr>
                    <w:t>3</w:t>
                  </w:r>
                  <w:r>
                    <w:rPr>
                      <w:rStyle w:val="49"/>
                      <w:rFonts w:ascii="Times New Roman" w:hAnsi="Times New Roman" w:cs="Times New Roman"/>
                      <w:b w:val="0"/>
                      <w:bCs w:val="0"/>
                      <w:color w:val="auto"/>
                      <w:highlight w:val="none"/>
                      <w:u w:val="none"/>
                      <w:lang w:bidi="ar"/>
                    </w:rPr>
                    <w:t>/a</w:t>
                  </w:r>
                </w:p>
              </w:tc>
              <w:tc>
                <w:tcPr>
                  <w:tcW w:w="1356" w:type="pct"/>
                  <w:tcBorders>
                    <w:tl2br w:val="nil"/>
                    <w:tr2bl w:val="nil"/>
                  </w:tcBorders>
                  <w:shd w:val="clear" w:color="auto" w:fill="auto"/>
                  <w:noWrap/>
                  <w:vAlign w:val="center"/>
                </w:tcPr>
                <w:p w14:paraId="18F0AFE9">
                  <w:pPr>
                    <w:jc w:val="center"/>
                    <w:textAlignment w:val="center"/>
                    <w:rPr>
                      <w:b w:val="0"/>
                      <w:bCs w:val="0"/>
                      <w:highlight w:val="none"/>
                      <w:u w:val="none"/>
                    </w:rPr>
                  </w:pPr>
                  <w:r>
                    <w:rPr>
                      <w:b w:val="0"/>
                      <w:bCs w:val="0"/>
                      <w:kern w:val="0"/>
                      <w:sz w:val="18"/>
                      <w:szCs w:val="18"/>
                      <w:highlight w:val="none"/>
                      <w:u w:val="none"/>
                      <w:lang w:bidi="ar"/>
                    </w:rPr>
                    <w:t>原料气（</w:t>
                  </w:r>
                  <w:r>
                    <w:rPr>
                      <w:rStyle w:val="49"/>
                      <w:rFonts w:ascii="Times New Roman" w:hAnsi="Times New Roman" w:cs="Times New Roman"/>
                      <w:b w:val="0"/>
                      <w:bCs w:val="0"/>
                      <w:color w:val="auto"/>
                      <w:highlight w:val="none"/>
                      <w:u w:val="none"/>
                      <w:lang w:bidi="ar"/>
                    </w:rPr>
                    <w:t>CO</w:t>
                  </w:r>
                  <w:r>
                    <w:rPr>
                      <w:rStyle w:val="57"/>
                      <w:b w:val="0"/>
                      <w:bCs w:val="0"/>
                      <w:color w:val="auto"/>
                      <w:highlight w:val="none"/>
                      <w:u w:val="none"/>
                      <w:vertAlign w:val="subscript"/>
                      <w:lang w:bidi="ar"/>
                    </w:rPr>
                    <w:t>2</w:t>
                  </w:r>
                  <w:r>
                    <w:rPr>
                      <w:rStyle w:val="56"/>
                      <w:rFonts w:hint="default" w:ascii="Times New Roman" w:hAnsi="Times New Roman" w:cs="Times New Roman"/>
                      <w:b w:val="0"/>
                      <w:bCs w:val="0"/>
                      <w:color w:val="auto"/>
                      <w:highlight w:val="none"/>
                      <w:u w:val="none"/>
                      <w:lang w:bidi="ar"/>
                    </w:rPr>
                    <w:t>）体积分数</w:t>
                  </w:r>
                  <w:r>
                    <w:rPr>
                      <w:rStyle w:val="56"/>
                      <w:rFonts w:hint="default" w:cs="Times New Roman"/>
                      <w:b w:val="0"/>
                      <w:bCs w:val="0"/>
                      <w:color w:val="auto"/>
                      <w:highlight w:val="none"/>
                      <w:u w:val="none"/>
                      <w:lang w:bidi="ar"/>
                    </w:rPr>
                    <w:t>（%）</w:t>
                  </w:r>
                </w:p>
              </w:tc>
              <w:tc>
                <w:tcPr>
                  <w:tcW w:w="708" w:type="pct"/>
                  <w:tcBorders>
                    <w:tl2br w:val="nil"/>
                    <w:tr2bl w:val="nil"/>
                  </w:tcBorders>
                  <w:shd w:val="clear" w:color="auto" w:fill="auto"/>
                  <w:noWrap/>
                  <w:vAlign w:val="center"/>
                </w:tcPr>
                <w:p w14:paraId="64993F5B">
                  <w:pPr>
                    <w:jc w:val="center"/>
                    <w:textAlignment w:val="center"/>
                    <w:rPr>
                      <w:b w:val="0"/>
                      <w:bCs w:val="0"/>
                      <w:highlight w:val="none"/>
                      <w:u w:val="none"/>
                    </w:rPr>
                  </w:pPr>
                  <w:r>
                    <w:rPr>
                      <w:b w:val="0"/>
                      <w:bCs w:val="0"/>
                      <w:kern w:val="0"/>
                      <w:sz w:val="18"/>
                      <w:szCs w:val="18"/>
                      <w:highlight w:val="none"/>
                      <w:u w:val="none"/>
                      <w:lang w:bidi="ar"/>
                    </w:rPr>
                    <w:t>各组分密度</w:t>
                  </w:r>
                </w:p>
              </w:tc>
              <w:tc>
                <w:tcPr>
                  <w:tcW w:w="1051" w:type="pct"/>
                  <w:tcBorders>
                    <w:tl2br w:val="nil"/>
                    <w:tr2bl w:val="nil"/>
                  </w:tcBorders>
                  <w:shd w:val="clear" w:color="auto" w:fill="auto"/>
                  <w:noWrap/>
                  <w:vAlign w:val="center"/>
                </w:tcPr>
                <w:p w14:paraId="66206B5C">
                  <w:pPr>
                    <w:jc w:val="center"/>
                    <w:textAlignment w:val="center"/>
                    <w:rPr>
                      <w:b w:val="0"/>
                      <w:bCs w:val="0"/>
                      <w:highlight w:val="none"/>
                      <w:u w:val="none"/>
                    </w:rPr>
                  </w:pPr>
                  <w:r>
                    <w:rPr>
                      <w:b w:val="0"/>
                      <w:bCs w:val="0"/>
                      <w:kern w:val="0"/>
                      <w:sz w:val="18"/>
                      <w:szCs w:val="18"/>
                      <w:highlight w:val="none"/>
                      <w:u w:val="none"/>
                      <w:lang w:bidi="ar"/>
                    </w:rPr>
                    <w:t>各组分质量</w:t>
                  </w:r>
                  <w:r>
                    <w:rPr>
                      <w:rFonts w:hint="eastAsia"/>
                      <w:b w:val="0"/>
                      <w:bCs w:val="0"/>
                      <w:kern w:val="0"/>
                      <w:sz w:val="18"/>
                      <w:szCs w:val="18"/>
                      <w:highlight w:val="none"/>
                      <w:u w:val="none"/>
                      <w:lang w:bidi="ar"/>
                    </w:rPr>
                    <w:t>（t/a）</w:t>
                  </w:r>
                </w:p>
              </w:tc>
            </w:tr>
            <w:tr w14:paraId="5D913E6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75" w:type="pct"/>
                  <w:tcBorders>
                    <w:tl2br w:val="nil"/>
                    <w:tr2bl w:val="nil"/>
                  </w:tcBorders>
                  <w:shd w:val="clear" w:color="auto" w:fill="auto"/>
                  <w:noWrap/>
                  <w:vAlign w:val="center"/>
                </w:tcPr>
                <w:p w14:paraId="5EBBEFBB">
                  <w:pPr>
                    <w:jc w:val="center"/>
                    <w:textAlignment w:val="center"/>
                    <w:rPr>
                      <w:b w:val="0"/>
                      <w:bCs w:val="0"/>
                      <w:highlight w:val="none"/>
                      <w:u w:val="none"/>
                    </w:rPr>
                  </w:pPr>
                  <w:r>
                    <w:rPr>
                      <w:rStyle w:val="49"/>
                      <w:rFonts w:ascii="Times New Roman" w:hAnsi="Times New Roman" w:cs="Times New Roman"/>
                      <w:b w:val="0"/>
                      <w:bCs w:val="0"/>
                      <w:color w:val="auto"/>
                      <w:highlight w:val="none"/>
                      <w:u w:val="none"/>
                      <w:lang w:bidi="ar"/>
                    </w:rPr>
                    <w:t>CO</w:t>
                  </w:r>
                  <w:r>
                    <w:rPr>
                      <w:rStyle w:val="57"/>
                      <w:b w:val="0"/>
                      <w:bCs w:val="0"/>
                      <w:color w:val="auto"/>
                      <w:highlight w:val="none"/>
                      <w:u w:val="none"/>
                      <w:vertAlign w:val="subscript"/>
                      <w:lang w:bidi="ar"/>
                    </w:rPr>
                    <w:t>2</w:t>
                  </w:r>
                </w:p>
              </w:tc>
              <w:tc>
                <w:tcPr>
                  <w:tcW w:w="908" w:type="pct"/>
                  <w:tcBorders>
                    <w:tl2br w:val="nil"/>
                    <w:tr2bl w:val="nil"/>
                  </w:tcBorders>
                  <w:shd w:val="clear" w:color="auto" w:fill="auto"/>
                  <w:noWrap/>
                  <w:vAlign w:val="center"/>
                </w:tcPr>
                <w:p w14:paraId="6AE8BA1D">
                  <w:pPr>
                    <w:jc w:val="center"/>
                    <w:textAlignment w:val="center"/>
                    <w:rPr>
                      <w:b w:val="0"/>
                      <w:bCs w:val="0"/>
                      <w:sz w:val="18"/>
                      <w:highlight w:val="none"/>
                      <w:u w:val="none"/>
                    </w:rPr>
                  </w:pPr>
                  <w:r>
                    <w:rPr>
                      <w:rFonts w:hint="eastAsia"/>
                      <w:b w:val="0"/>
                      <w:bCs w:val="0"/>
                      <w:kern w:val="0"/>
                      <w:sz w:val="18"/>
                      <w:szCs w:val="18"/>
                      <w:highlight w:val="none"/>
                      <w:u w:val="none"/>
                      <w:lang w:bidi="ar"/>
                    </w:rPr>
                    <w:t>24063759.04</w:t>
                  </w:r>
                </w:p>
              </w:tc>
              <w:tc>
                <w:tcPr>
                  <w:tcW w:w="1356" w:type="pct"/>
                  <w:tcBorders>
                    <w:tl2br w:val="nil"/>
                    <w:tr2bl w:val="nil"/>
                  </w:tcBorders>
                  <w:shd w:val="clear" w:color="auto" w:fill="auto"/>
                  <w:noWrap/>
                  <w:vAlign w:val="center"/>
                </w:tcPr>
                <w:p w14:paraId="7D38DAED">
                  <w:pPr>
                    <w:jc w:val="center"/>
                    <w:textAlignment w:val="center"/>
                    <w:rPr>
                      <w:b w:val="0"/>
                      <w:bCs w:val="0"/>
                      <w:highlight w:val="none"/>
                      <w:u w:val="none"/>
                    </w:rPr>
                  </w:pPr>
                  <w:r>
                    <w:rPr>
                      <w:b w:val="0"/>
                      <w:bCs w:val="0"/>
                      <w:color w:val="000000"/>
                      <w:kern w:val="0"/>
                      <w:sz w:val="18"/>
                      <w:szCs w:val="18"/>
                      <w:highlight w:val="none"/>
                      <w:u w:val="none"/>
                      <w:lang w:bidi="ar"/>
                    </w:rPr>
                    <w:t xml:space="preserve">90.9290 </w:t>
                  </w:r>
                </w:p>
              </w:tc>
              <w:tc>
                <w:tcPr>
                  <w:tcW w:w="708" w:type="pct"/>
                  <w:tcBorders>
                    <w:tl2br w:val="nil"/>
                    <w:tr2bl w:val="nil"/>
                  </w:tcBorders>
                  <w:shd w:val="clear" w:color="auto" w:fill="auto"/>
                  <w:noWrap/>
                  <w:vAlign w:val="center"/>
                </w:tcPr>
                <w:p w14:paraId="0933A1A0">
                  <w:pPr>
                    <w:jc w:val="center"/>
                    <w:textAlignment w:val="center"/>
                    <w:rPr>
                      <w:b w:val="0"/>
                      <w:bCs w:val="0"/>
                      <w:highlight w:val="none"/>
                      <w:u w:val="none"/>
                    </w:rPr>
                  </w:pPr>
                  <w:r>
                    <w:rPr>
                      <w:b w:val="0"/>
                      <w:bCs w:val="0"/>
                      <w:kern w:val="0"/>
                      <w:sz w:val="18"/>
                      <w:szCs w:val="18"/>
                      <w:highlight w:val="none"/>
                      <w:u w:val="none"/>
                      <w:lang w:bidi="ar"/>
                    </w:rPr>
                    <w:t>1.997</w:t>
                  </w:r>
                </w:p>
              </w:tc>
              <w:tc>
                <w:tcPr>
                  <w:tcW w:w="1051" w:type="pct"/>
                  <w:tcBorders>
                    <w:tl2br w:val="nil"/>
                    <w:tr2bl w:val="nil"/>
                  </w:tcBorders>
                  <w:shd w:val="clear" w:color="auto" w:fill="auto"/>
                  <w:noWrap/>
                  <w:vAlign w:val="center"/>
                </w:tcPr>
                <w:p w14:paraId="1CCC1D6A">
                  <w:pPr>
                    <w:jc w:val="center"/>
                    <w:textAlignment w:val="center"/>
                    <w:rPr>
                      <w:b w:val="0"/>
                      <w:bCs w:val="0"/>
                      <w:highlight w:val="none"/>
                      <w:u w:val="none"/>
                    </w:rPr>
                  </w:pPr>
                  <w:r>
                    <w:rPr>
                      <w:b w:val="0"/>
                      <w:bCs w:val="0"/>
                      <w:color w:val="000000"/>
                      <w:kern w:val="0"/>
                      <w:sz w:val="18"/>
                      <w:szCs w:val="18"/>
                      <w:highlight w:val="none"/>
                      <w:u w:val="none"/>
                      <w:lang w:bidi="ar"/>
                    </w:rPr>
                    <w:t xml:space="preserve">48055.33 </w:t>
                  </w:r>
                </w:p>
              </w:tc>
            </w:tr>
            <w:tr w14:paraId="0254B97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75" w:type="pct"/>
                  <w:tcBorders>
                    <w:tl2br w:val="nil"/>
                    <w:tr2bl w:val="nil"/>
                  </w:tcBorders>
                  <w:shd w:val="clear" w:color="auto" w:fill="auto"/>
                  <w:noWrap/>
                  <w:vAlign w:val="center"/>
                </w:tcPr>
                <w:p w14:paraId="2812E508">
                  <w:pPr>
                    <w:jc w:val="center"/>
                    <w:textAlignment w:val="center"/>
                    <w:rPr>
                      <w:b w:val="0"/>
                      <w:bCs w:val="0"/>
                      <w:highlight w:val="none"/>
                      <w:u w:val="none"/>
                    </w:rPr>
                  </w:pPr>
                  <w:r>
                    <w:rPr>
                      <w:rStyle w:val="49"/>
                      <w:rFonts w:ascii="Times New Roman" w:hAnsi="Times New Roman" w:cs="Times New Roman"/>
                      <w:b w:val="0"/>
                      <w:bCs w:val="0"/>
                      <w:color w:val="auto"/>
                      <w:highlight w:val="none"/>
                      <w:u w:val="none"/>
                      <w:lang w:bidi="ar"/>
                    </w:rPr>
                    <w:t>O</w:t>
                  </w:r>
                  <w:r>
                    <w:rPr>
                      <w:rStyle w:val="57"/>
                      <w:b w:val="0"/>
                      <w:bCs w:val="0"/>
                      <w:color w:val="auto"/>
                      <w:highlight w:val="none"/>
                      <w:u w:val="none"/>
                      <w:vertAlign w:val="subscript"/>
                      <w:lang w:bidi="ar"/>
                    </w:rPr>
                    <w:t>2</w:t>
                  </w:r>
                </w:p>
              </w:tc>
              <w:tc>
                <w:tcPr>
                  <w:tcW w:w="908" w:type="pct"/>
                  <w:tcBorders>
                    <w:tl2br w:val="nil"/>
                    <w:tr2bl w:val="nil"/>
                  </w:tcBorders>
                  <w:shd w:val="clear" w:color="auto" w:fill="auto"/>
                  <w:noWrap/>
                  <w:vAlign w:val="center"/>
                </w:tcPr>
                <w:p w14:paraId="77E93CEB">
                  <w:pPr>
                    <w:jc w:val="center"/>
                    <w:textAlignment w:val="center"/>
                    <w:rPr>
                      <w:b w:val="0"/>
                      <w:bCs w:val="0"/>
                      <w:sz w:val="18"/>
                      <w:highlight w:val="none"/>
                      <w:u w:val="none"/>
                    </w:rPr>
                  </w:pPr>
                  <w:r>
                    <w:rPr>
                      <w:rFonts w:hint="eastAsia"/>
                      <w:b w:val="0"/>
                      <w:bCs w:val="0"/>
                      <w:sz w:val="18"/>
                      <w:highlight w:val="none"/>
                      <w:u w:val="none"/>
                    </w:rPr>
                    <w:t>208000</w:t>
                  </w:r>
                </w:p>
              </w:tc>
              <w:tc>
                <w:tcPr>
                  <w:tcW w:w="1356" w:type="pct"/>
                  <w:tcBorders>
                    <w:tl2br w:val="nil"/>
                    <w:tr2bl w:val="nil"/>
                  </w:tcBorders>
                  <w:shd w:val="clear" w:color="auto" w:fill="auto"/>
                  <w:noWrap/>
                  <w:vAlign w:val="center"/>
                </w:tcPr>
                <w:p w14:paraId="49D2FB7B">
                  <w:pPr>
                    <w:jc w:val="center"/>
                    <w:textAlignment w:val="center"/>
                    <w:rPr>
                      <w:b w:val="0"/>
                      <w:bCs w:val="0"/>
                      <w:highlight w:val="none"/>
                      <w:u w:val="none"/>
                    </w:rPr>
                  </w:pPr>
                  <w:r>
                    <w:rPr>
                      <w:b w:val="0"/>
                      <w:bCs w:val="0"/>
                      <w:color w:val="000000"/>
                      <w:kern w:val="0"/>
                      <w:sz w:val="18"/>
                      <w:szCs w:val="18"/>
                      <w:highlight w:val="none"/>
                      <w:u w:val="none"/>
                      <w:lang w:bidi="ar"/>
                    </w:rPr>
                    <w:t xml:space="preserve">0.7860 </w:t>
                  </w:r>
                </w:p>
              </w:tc>
              <w:tc>
                <w:tcPr>
                  <w:tcW w:w="708" w:type="pct"/>
                  <w:tcBorders>
                    <w:tl2br w:val="nil"/>
                    <w:tr2bl w:val="nil"/>
                  </w:tcBorders>
                  <w:shd w:val="clear" w:color="auto" w:fill="auto"/>
                  <w:noWrap/>
                  <w:vAlign w:val="center"/>
                </w:tcPr>
                <w:p w14:paraId="3E067E1E">
                  <w:pPr>
                    <w:jc w:val="center"/>
                    <w:textAlignment w:val="center"/>
                    <w:rPr>
                      <w:b w:val="0"/>
                      <w:bCs w:val="0"/>
                      <w:highlight w:val="none"/>
                      <w:u w:val="none"/>
                    </w:rPr>
                  </w:pPr>
                  <w:r>
                    <w:rPr>
                      <w:b w:val="0"/>
                      <w:bCs w:val="0"/>
                      <w:kern w:val="0"/>
                      <w:sz w:val="18"/>
                      <w:szCs w:val="18"/>
                      <w:highlight w:val="none"/>
                      <w:u w:val="none"/>
                      <w:lang w:bidi="ar"/>
                    </w:rPr>
                    <w:t>1.43</w:t>
                  </w:r>
                </w:p>
              </w:tc>
              <w:tc>
                <w:tcPr>
                  <w:tcW w:w="1051" w:type="pct"/>
                  <w:tcBorders>
                    <w:tl2br w:val="nil"/>
                    <w:tr2bl w:val="nil"/>
                  </w:tcBorders>
                  <w:shd w:val="clear" w:color="auto" w:fill="auto"/>
                  <w:noWrap/>
                  <w:vAlign w:val="center"/>
                </w:tcPr>
                <w:p w14:paraId="1A2115F9">
                  <w:pPr>
                    <w:jc w:val="center"/>
                    <w:textAlignment w:val="center"/>
                    <w:rPr>
                      <w:b w:val="0"/>
                      <w:bCs w:val="0"/>
                      <w:highlight w:val="none"/>
                      <w:u w:val="none"/>
                    </w:rPr>
                  </w:pPr>
                  <w:r>
                    <w:rPr>
                      <w:b w:val="0"/>
                      <w:bCs w:val="0"/>
                      <w:color w:val="000000"/>
                      <w:kern w:val="0"/>
                      <w:sz w:val="18"/>
                      <w:szCs w:val="18"/>
                      <w:highlight w:val="none"/>
                      <w:u w:val="none"/>
                      <w:lang w:bidi="ar"/>
                    </w:rPr>
                    <w:t xml:space="preserve">297.44 </w:t>
                  </w:r>
                </w:p>
              </w:tc>
            </w:tr>
            <w:tr w14:paraId="073A3A6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75" w:type="pct"/>
                  <w:tcBorders>
                    <w:tl2br w:val="nil"/>
                    <w:tr2bl w:val="nil"/>
                  </w:tcBorders>
                  <w:shd w:val="clear" w:color="auto" w:fill="auto"/>
                  <w:noWrap/>
                  <w:vAlign w:val="center"/>
                </w:tcPr>
                <w:p w14:paraId="075BD311">
                  <w:pPr>
                    <w:jc w:val="center"/>
                    <w:textAlignment w:val="center"/>
                    <w:rPr>
                      <w:b w:val="0"/>
                      <w:bCs w:val="0"/>
                      <w:highlight w:val="none"/>
                      <w:u w:val="none"/>
                    </w:rPr>
                  </w:pPr>
                  <w:r>
                    <w:rPr>
                      <w:rStyle w:val="49"/>
                      <w:rFonts w:ascii="Times New Roman" w:hAnsi="Times New Roman" w:cs="Times New Roman"/>
                      <w:b w:val="0"/>
                      <w:bCs w:val="0"/>
                      <w:color w:val="auto"/>
                      <w:highlight w:val="none"/>
                      <w:u w:val="none"/>
                      <w:lang w:bidi="ar"/>
                    </w:rPr>
                    <w:t>N</w:t>
                  </w:r>
                  <w:r>
                    <w:rPr>
                      <w:rStyle w:val="57"/>
                      <w:b w:val="0"/>
                      <w:bCs w:val="0"/>
                      <w:color w:val="auto"/>
                      <w:highlight w:val="none"/>
                      <w:u w:val="none"/>
                      <w:vertAlign w:val="subscript"/>
                      <w:lang w:bidi="ar"/>
                    </w:rPr>
                    <w:t>2</w:t>
                  </w:r>
                </w:p>
              </w:tc>
              <w:tc>
                <w:tcPr>
                  <w:tcW w:w="908" w:type="pct"/>
                  <w:tcBorders>
                    <w:tl2br w:val="nil"/>
                    <w:tr2bl w:val="nil"/>
                  </w:tcBorders>
                  <w:shd w:val="clear" w:color="auto" w:fill="auto"/>
                  <w:noWrap/>
                  <w:vAlign w:val="center"/>
                </w:tcPr>
                <w:p w14:paraId="68BCD591">
                  <w:pPr>
                    <w:jc w:val="center"/>
                    <w:textAlignment w:val="center"/>
                    <w:rPr>
                      <w:b w:val="0"/>
                      <w:bCs w:val="0"/>
                      <w:sz w:val="18"/>
                      <w:highlight w:val="none"/>
                      <w:u w:val="none"/>
                    </w:rPr>
                  </w:pPr>
                  <w:r>
                    <w:rPr>
                      <w:rFonts w:hint="eastAsia"/>
                      <w:b w:val="0"/>
                      <w:bCs w:val="0"/>
                      <w:sz w:val="18"/>
                      <w:highlight w:val="none"/>
                      <w:u w:val="none"/>
                    </w:rPr>
                    <w:t>2176000</w:t>
                  </w:r>
                </w:p>
              </w:tc>
              <w:tc>
                <w:tcPr>
                  <w:tcW w:w="1356" w:type="pct"/>
                  <w:tcBorders>
                    <w:tl2br w:val="nil"/>
                    <w:tr2bl w:val="nil"/>
                  </w:tcBorders>
                  <w:shd w:val="clear" w:color="auto" w:fill="auto"/>
                  <w:noWrap/>
                  <w:vAlign w:val="center"/>
                </w:tcPr>
                <w:p w14:paraId="2F5A1AD2">
                  <w:pPr>
                    <w:jc w:val="center"/>
                    <w:textAlignment w:val="center"/>
                    <w:rPr>
                      <w:b w:val="0"/>
                      <w:bCs w:val="0"/>
                      <w:highlight w:val="none"/>
                      <w:u w:val="none"/>
                    </w:rPr>
                  </w:pPr>
                  <w:r>
                    <w:rPr>
                      <w:b w:val="0"/>
                      <w:bCs w:val="0"/>
                      <w:color w:val="000000"/>
                      <w:kern w:val="0"/>
                      <w:sz w:val="18"/>
                      <w:szCs w:val="18"/>
                      <w:highlight w:val="none"/>
                      <w:u w:val="none"/>
                      <w:lang w:bidi="ar"/>
                    </w:rPr>
                    <w:t xml:space="preserve">8.2224 </w:t>
                  </w:r>
                </w:p>
              </w:tc>
              <w:tc>
                <w:tcPr>
                  <w:tcW w:w="708" w:type="pct"/>
                  <w:tcBorders>
                    <w:tl2br w:val="nil"/>
                    <w:tr2bl w:val="nil"/>
                  </w:tcBorders>
                  <w:shd w:val="clear" w:color="auto" w:fill="auto"/>
                  <w:noWrap/>
                  <w:vAlign w:val="center"/>
                </w:tcPr>
                <w:p w14:paraId="2EC3BE36">
                  <w:pPr>
                    <w:jc w:val="center"/>
                    <w:textAlignment w:val="center"/>
                    <w:rPr>
                      <w:b w:val="0"/>
                      <w:bCs w:val="0"/>
                      <w:highlight w:val="none"/>
                      <w:u w:val="none"/>
                    </w:rPr>
                  </w:pPr>
                  <w:r>
                    <w:rPr>
                      <w:b w:val="0"/>
                      <w:bCs w:val="0"/>
                      <w:kern w:val="0"/>
                      <w:sz w:val="18"/>
                      <w:szCs w:val="18"/>
                      <w:highlight w:val="none"/>
                      <w:u w:val="none"/>
                      <w:lang w:bidi="ar"/>
                    </w:rPr>
                    <w:t>1.25</w:t>
                  </w:r>
                </w:p>
              </w:tc>
              <w:tc>
                <w:tcPr>
                  <w:tcW w:w="1051" w:type="pct"/>
                  <w:tcBorders>
                    <w:tl2br w:val="nil"/>
                    <w:tr2bl w:val="nil"/>
                  </w:tcBorders>
                  <w:shd w:val="clear" w:color="auto" w:fill="auto"/>
                  <w:noWrap/>
                  <w:vAlign w:val="center"/>
                </w:tcPr>
                <w:p w14:paraId="2664E1E1">
                  <w:pPr>
                    <w:jc w:val="center"/>
                    <w:textAlignment w:val="center"/>
                    <w:rPr>
                      <w:b w:val="0"/>
                      <w:bCs w:val="0"/>
                      <w:highlight w:val="none"/>
                      <w:u w:val="none"/>
                    </w:rPr>
                  </w:pPr>
                  <w:r>
                    <w:rPr>
                      <w:b w:val="0"/>
                      <w:bCs w:val="0"/>
                      <w:color w:val="000000"/>
                      <w:kern w:val="0"/>
                      <w:sz w:val="18"/>
                      <w:szCs w:val="18"/>
                      <w:highlight w:val="none"/>
                      <w:u w:val="none"/>
                      <w:lang w:bidi="ar"/>
                    </w:rPr>
                    <w:t xml:space="preserve">2720.00 </w:t>
                  </w:r>
                </w:p>
              </w:tc>
            </w:tr>
            <w:tr w14:paraId="2E730B2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75" w:type="pct"/>
                  <w:tcBorders>
                    <w:tl2br w:val="nil"/>
                    <w:tr2bl w:val="nil"/>
                  </w:tcBorders>
                  <w:shd w:val="clear" w:color="auto" w:fill="auto"/>
                  <w:noWrap/>
                  <w:vAlign w:val="center"/>
                </w:tcPr>
                <w:p w14:paraId="5FE01839">
                  <w:pPr>
                    <w:jc w:val="center"/>
                    <w:textAlignment w:val="center"/>
                    <w:rPr>
                      <w:b w:val="0"/>
                      <w:bCs w:val="0"/>
                      <w:highlight w:val="none"/>
                      <w:u w:val="none"/>
                    </w:rPr>
                  </w:pPr>
                  <w:r>
                    <w:rPr>
                      <w:rStyle w:val="49"/>
                      <w:rFonts w:ascii="Times New Roman" w:hAnsi="Times New Roman" w:cs="Times New Roman"/>
                      <w:b w:val="0"/>
                      <w:bCs w:val="0"/>
                      <w:color w:val="auto"/>
                      <w:highlight w:val="none"/>
                      <w:u w:val="none"/>
                      <w:lang w:bidi="ar"/>
                    </w:rPr>
                    <w:t>CH</w:t>
                  </w:r>
                  <w:r>
                    <w:rPr>
                      <w:rStyle w:val="57"/>
                      <w:b w:val="0"/>
                      <w:bCs w:val="0"/>
                      <w:color w:val="auto"/>
                      <w:highlight w:val="none"/>
                      <w:u w:val="none"/>
                      <w:vertAlign w:val="subscript"/>
                      <w:lang w:bidi="ar"/>
                    </w:rPr>
                    <w:t>3</w:t>
                  </w:r>
                  <w:r>
                    <w:rPr>
                      <w:rStyle w:val="49"/>
                      <w:rFonts w:ascii="Times New Roman" w:hAnsi="Times New Roman" w:cs="Times New Roman"/>
                      <w:b w:val="0"/>
                      <w:bCs w:val="0"/>
                      <w:color w:val="auto"/>
                      <w:highlight w:val="none"/>
                      <w:u w:val="none"/>
                      <w:lang w:bidi="ar"/>
                    </w:rPr>
                    <w:t>OH</w:t>
                  </w:r>
                </w:p>
              </w:tc>
              <w:tc>
                <w:tcPr>
                  <w:tcW w:w="908" w:type="pct"/>
                  <w:tcBorders>
                    <w:tl2br w:val="nil"/>
                    <w:tr2bl w:val="nil"/>
                  </w:tcBorders>
                  <w:shd w:val="clear" w:color="auto" w:fill="auto"/>
                  <w:noWrap/>
                  <w:vAlign w:val="center"/>
                </w:tcPr>
                <w:p w14:paraId="330E3E7D">
                  <w:pPr>
                    <w:jc w:val="center"/>
                    <w:textAlignment w:val="center"/>
                    <w:rPr>
                      <w:b w:val="0"/>
                      <w:bCs w:val="0"/>
                      <w:sz w:val="18"/>
                      <w:highlight w:val="none"/>
                      <w:u w:val="none"/>
                    </w:rPr>
                  </w:pPr>
                  <w:r>
                    <w:rPr>
                      <w:rFonts w:hint="eastAsia"/>
                      <w:b w:val="0"/>
                      <w:bCs w:val="0"/>
                      <w:sz w:val="18"/>
                      <w:highlight w:val="none"/>
                      <w:u w:val="none"/>
                    </w:rPr>
                    <w:t>451.2</w:t>
                  </w:r>
                </w:p>
              </w:tc>
              <w:tc>
                <w:tcPr>
                  <w:tcW w:w="1356" w:type="pct"/>
                  <w:tcBorders>
                    <w:tl2br w:val="nil"/>
                    <w:tr2bl w:val="nil"/>
                  </w:tcBorders>
                  <w:shd w:val="clear" w:color="auto" w:fill="auto"/>
                  <w:noWrap/>
                  <w:vAlign w:val="center"/>
                </w:tcPr>
                <w:p w14:paraId="44801DF2">
                  <w:pPr>
                    <w:jc w:val="center"/>
                    <w:textAlignment w:val="center"/>
                    <w:rPr>
                      <w:b w:val="0"/>
                      <w:bCs w:val="0"/>
                      <w:highlight w:val="none"/>
                      <w:u w:val="none"/>
                    </w:rPr>
                  </w:pPr>
                  <w:r>
                    <w:rPr>
                      <w:b w:val="0"/>
                      <w:bCs w:val="0"/>
                      <w:color w:val="000000"/>
                      <w:kern w:val="0"/>
                      <w:sz w:val="18"/>
                      <w:szCs w:val="18"/>
                      <w:highlight w:val="none"/>
                      <w:u w:val="none"/>
                      <w:lang w:bidi="ar"/>
                    </w:rPr>
                    <w:t xml:space="preserve">0.0017 </w:t>
                  </w:r>
                </w:p>
              </w:tc>
              <w:tc>
                <w:tcPr>
                  <w:tcW w:w="708" w:type="pct"/>
                  <w:tcBorders>
                    <w:tl2br w:val="nil"/>
                    <w:tr2bl w:val="nil"/>
                  </w:tcBorders>
                  <w:shd w:val="clear" w:color="auto" w:fill="auto"/>
                  <w:noWrap/>
                  <w:vAlign w:val="center"/>
                </w:tcPr>
                <w:p w14:paraId="0209B345">
                  <w:pPr>
                    <w:jc w:val="center"/>
                    <w:textAlignment w:val="center"/>
                    <w:rPr>
                      <w:b w:val="0"/>
                      <w:bCs w:val="0"/>
                      <w:highlight w:val="none"/>
                      <w:u w:val="none"/>
                    </w:rPr>
                  </w:pPr>
                  <w:r>
                    <w:rPr>
                      <w:b w:val="0"/>
                      <w:bCs w:val="0"/>
                      <w:kern w:val="0"/>
                      <w:sz w:val="18"/>
                      <w:szCs w:val="18"/>
                      <w:highlight w:val="none"/>
                      <w:u w:val="none"/>
                      <w:lang w:bidi="ar"/>
                    </w:rPr>
                    <w:t>0.791</w:t>
                  </w:r>
                </w:p>
              </w:tc>
              <w:tc>
                <w:tcPr>
                  <w:tcW w:w="1051" w:type="pct"/>
                  <w:tcBorders>
                    <w:tl2br w:val="nil"/>
                    <w:tr2bl w:val="nil"/>
                  </w:tcBorders>
                  <w:shd w:val="clear" w:color="auto" w:fill="auto"/>
                  <w:noWrap/>
                  <w:vAlign w:val="center"/>
                </w:tcPr>
                <w:p w14:paraId="492F1630">
                  <w:pPr>
                    <w:jc w:val="center"/>
                    <w:textAlignment w:val="center"/>
                    <w:rPr>
                      <w:b w:val="0"/>
                      <w:bCs w:val="0"/>
                      <w:highlight w:val="none"/>
                      <w:u w:val="none"/>
                    </w:rPr>
                  </w:pPr>
                  <w:r>
                    <w:rPr>
                      <w:b w:val="0"/>
                      <w:bCs w:val="0"/>
                      <w:color w:val="000000"/>
                      <w:kern w:val="0"/>
                      <w:sz w:val="18"/>
                      <w:szCs w:val="18"/>
                      <w:highlight w:val="none"/>
                      <w:u w:val="none"/>
                      <w:lang w:bidi="ar"/>
                    </w:rPr>
                    <w:t xml:space="preserve">0.36 </w:t>
                  </w:r>
                </w:p>
              </w:tc>
            </w:tr>
            <w:tr w14:paraId="6A24A05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75" w:type="pct"/>
                  <w:tcBorders>
                    <w:tl2br w:val="nil"/>
                    <w:tr2bl w:val="nil"/>
                  </w:tcBorders>
                  <w:shd w:val="clear" w:color="auto" w:fill="auto"/>
                  <w:noWrap/>
                  <w:vAlign w:val="center"/>
                </w:tcPr>
                <w:p w14:paraId="0E7FAE3D">
                  <w:pPr>
                    <w:jc w:val="center"/>
                    <w:textAlignment w:val="center"/>
                    <w:rPr>
                      <w:b w:val="0"/>
                      <w:bCs w:val="0"/>
                      <w:highlight w:val="none"/>
                      <w:u w:val="none"/>
                    </w:rPr>
                  </w:pPr>
                  <w:r>
                    <w:rPr>
                      <w:rStyle w:val="49"/>
                      <w:rFonts w:ascii="Times New Roman" w:hAnsi="Times New Roman" w:cs="Times New Roman"/>
                      <w:b w:val="0"/>
                      <w:bCs w:val="0"/>
                      <w:color w:val="auto"/>
                      <w:highlight w:val="none"/>
                      <w:u w:val="none"/>
                      <w:lang w:bidi="ar"/>
                    </w:rPr>
                    <w:t>CO</w:t>
                  </w:r>
                </w:p>
              </w:tc>
              <w:tc>
                <w:tcPr>
                  <w:tcW w:w="908" w:type="pct"/>
                  <w:tcBorders>
                    <w:tl2br w:val="nil"/>
                    <w:tr2bl w:val="nil"/>
                  </w:tcBorders>
                  <w:shd w:val="clear" w:color="auto" w:fill="auto"/>
                  <w:noWrap/>
                  <w:vAlign w:val="center"/>
                </w:tcPr>
                <w:p w14:paraId="534C102F">
                  <w:pPr>
                    <w:jc w:val="center"/>
                    <w:textAlignment w:val="center"/>
                    <w:rPr>
                      <w:b w:val="0"/>
                      <w:bCs w:val="0"/>
                      <w:sz w:val="18"/>
                      <w:highlight w:val="none"/>
                      <w:u w:val="none"/>
                    </w:rPr>
                  </w:pPr>
                  <w:r>
                    <w:rPr>
                      <w:rFonts w:hint="eastAsia"/>
                      <w:b w:val="0"/>
                      <w:bCs w:val="0"/>
                      <w:sz w:val="18"/>
                      <w:highlight w:val="none"/>
                      <w:u w:val="none"/>
                    </w:rPr>
                    <w:t>16000</w:t>
                  </w:r>
                </w:p>
              </w:tc>
              <w:tc>
                <w:tcPr>
                  <w:tcW w:w="1356" w:type="pct"/>
                  <w:tcBorders>
                    <w:tl2br w:val="nil"/>
                    <w:tr2bl w:val="nil"/>
                  </w:tcBorders>
                  <w:shd w:val="clear" w:color="auto" w:fill="auto"/>
                  <w:noWrap/>
                  <w:vAlign w:val="center"/>
                </w:tcPr>
                <w:p w14:paraId="2815B37E">
                  <w:pPr>
                    <w:jc w:val="center"/>
                    <w:textAlignment w:val="center"/>
                    <w:rPr>
                      <w:b w:val="0"/>
                      <w:bCs w:val="0"/>
                      <w:highlight w:val="none"/>
                      <w:u w:val="none"/>
                    </w:rPr>
                  </w:pPr>
                  <w:r>
                    <w:rPr>
                      <w:b w:val="0"/>
                      <w:bCs w:val="0"/>
                      <w:color w:val="000000"/>
                      <w:kern w:val="0"/>
                      <w:sz w:val="18"/>
                      <w:szCs w:val="18"/>
                      <w:highlight w:val="none"/>
                      <w:u w:val="none"/>
                      <w:lang w:bidi="ar"/>
                    </w:rPr>
                    <w:t xml:space="preserve">0.0605 </w:t>
                  </w:r>
                </w:p>
              </w:tc>
              <w:tc>
                <w:tcPr>
                  <w:tcW w:w="708" w:type="pct"/>
                  <w:tcBorders>
                    <w:tl2br w:val="nil"/>
                    <w:tr2bl w:val="nil"/>
                  </w:tcBorders>
                  <w:shd w:val="clear" w:color="auto" w:fill="auto"/>
                  <w:noWrap/>
                  <w:vAlign w:val="center"/>
                </w:tcPr>
                <w:p w14:paraId="6393A923">
                  <w:pPr>
                    <w:jc w:val="center"/>
                    <w:textAlignment w:val="center"/>
                    <w:rPr>
                      <w:b w:val="0"/>
                      <w:bCs w:val="0"/>
                      <w:highlight w:val="none"/>
                      <w:u w:val="none"/>
                    </w:rPr>
                  </w:pPr>
                  <w:r>
                    <w:rPr>
                      <w:b w:val="0"/>
                      <w:bCs w:val="0"/>
                      <w:kern w:val="0"/>
                      <w:sz w:val="18"/>
                      <w:szCs w:val="18"/>
                      <w:highlight w:val="none"/>
                      <w:u w:val="none"/>
                      <w:lang w:bidi="ar"/>
                    </w:rPr>
                    <w:t>1.25</w:t>
                  </w:r>
                </w:p>
              </w:tc>
              <w:tc>
                <w:tcPr>
                  <w:tcW w:w="1051" w:type="pct"/>
                  <w:tcBorders>
                    <w:tl2br w:val="nil"/>
                    <w:tr2bl w:val="nil"/>
                  </w:tcBorders>
                  <w:shd w:val="clear" w:color="auto" w:fill="auto"/>
                  <w:noWrap/>
                  <w:vAlign w:val="center"/>
                </w:tcPr>
                <w:p w14:paraId="32CC7EAE">
                  <w:pPr>
                    <w:jc w:val="center"/>
                    <w:textAlignment w:val="center"/>
                    <w:rPr>
                      <w:b w:val="0"/>
                      <w:bCs w:val="0"/>
                      <w:highlight w:val="none"/>
                      <w:u w:val="none"/>
                    </w:rPr>
                  </w:pPr>
                  <w:r>
                    <w:rPr>
                      <w:b w:val="0"/>
                      <w:bCs w:val="0"/>
                      <w:color w:val="000000"/>
                      <w:kern w:val="0"/>
                      <w:sz w:val="18"/>
                      <w:szCs w:val="18"/>
                      <w:highlight w:val="none"/>
                      <w:u w:val="none"/>
                      <w:lang w:bidi="ar"/>
                    </w:rPr>
                    <w:t xml:space="preserve">20.00 </w:t>
                  </w:r>
                </w:p>
              </w:tc>
            </w:tr>
            <w:tr w14:paraId="66ED41A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75" w:type="pct"/>
                  <w:tcBorders>
                    <w:tl2br w:val="nil"/>
                    <w:tr2bl w:val="nil"/>
                  </w:tcBorders>
                  <w:shd w:val="clear" w:color="auto" w:fill="auto"/>
                  <w:noWrap/>
                  <w:vAlign w:val="center"/>
                </w:tcPr>
                <w:p w14:paraId="1A272BBB">
                  <w:pPr>
                    <w:jc w:val="center"/>
                    <w:textAlignment w:val="center"/>
                    <w:rPr>
                      <w:b w:val="0"/>
                      <w:bCs w:val="0"/>
                      <w:highlight w:val="none"/>
                      <w:u w:val="none"/>
                    </w:rPr>
                  </w:pPr>
                  <w:r>
                    <w:rPr>
                      <w:rStyle w:val="49"/>
                      <w:rFonts w:ascii="Times New Roman" w:hAnsi="Times New Roman" w:cs="Times New Roman"/>
                      <w:b w:val="0"/>
                      <w:bCs w:val="0"/>
                      <w:color w:val="auto"/>
                      <w:highlight w:val="none"/>
                      <w:u w:val="none"/>
                      <w:lang w:bidi="ar"/>
                    </w:rPr>
                    <w:t>H</w:t>
                  </w:r>
                  <w:r>
                    <w:rPr>
                      <w:rStyle w:val="57"/>
                      <w:b w:val="0"/>
                      <w:bCs w:val="0"/>
                      <w:color w:val="auto"/>
                      <w:highlight w:val="none"/>
                      <w:u w:val="none"/>
                      <w:vertAlign w:val="subscript"/>
                      <w:lang w:bidi="ar"/>
                    </w:rPr>
                    <w:t>2</w:t>
                  </w:r>
                  <w:r>
                    <w:rPr>
                      <w:rStyle w:val="49"/>
                      <w:rFonts w:ascii="Times New Roman" w:hAnsi="Times New Roman" w:cs="Times New Roman"/>
                      <w:b w:val="0"/>
                      <w:bCs w:val="0"/>
                      <w:color w:val="auto"/>
                      <w:highlight w:val="none"/>
                      <w:u w:val="none"/>
                      <w:lang w:bidi="ar"/>
                    </w:rPr>
                    <w:t>S</w:t>
                  </w:r>
                </w:p>
              </w:tc>
              <w:tc>
                <w:tcPr>
                  <w:tcW w:w="908" w:type="pct"/>
                  <w:tcBorders>
                    <w:tl2br w:val="nil"/>
                    <w:tr2bl w:val="nil"/>
                  </w:tcBorders>
                  <w:shd w:val="clear" w:color="auto" w:fill="auto"/>
                  <w:noWrap/>
                  <w:vAlign w:val="center"/>
                </w:tcPr>
                <w:p w14:paraId="6BC5526A">
                  <w:pPr>
                    <w:jc w:val="center"/>
                    <w:textAlignment w:val="center"/>
                    <w:rPr>
                      <w:b w:val="0"/>
                      <w:bCs w:val="0"/>
                      <w:sz w:val="18"/>
                      <w:highlight w:val="none"/>
                      <w:u w:val="none"/>
                    </w:rPr>
                  </w:pPr>
                  <w:r>
                    <w:rPr>
                      <w:rFonts w:hint="eastAsia"/>
                      <w:b w:val="0"/>
                      <w:bCs w:val="0"/>
                      <w:sz w:val="18"/>
                      <w:highlight w:val="none"/>
                      <w:u w:val="none"/>
                    </w:rPr>
                    <w:t>62.24</w:t>
                  </w:r>
                </w:p>
              </w:tc>
              <w:tc>
                <w:tcPr>
                  <w:tcW w:w="1356" w:type="pct"/>
                  <w:tcBorders>
                    <w:tl2br w:val="nil"/>
                    <w:tr2bl w:val="nil"/>
                  </w:tcBorders>
                  <w:shd w:val="clear" w:color="auto" w:fill="auto"/>
                  <w:noWrap/>
                  <w:vAlign w:val="center"/>
                </w:tcPr>
                <w:p w14:paraId="0BF7902A">
                  <w:pPr>
                    <w:jc w:val="center"/>
                    <w:textAlignment w:val="center"/>
                    <w:rPr>
                      <w:b w:val="0"/>
                      <w:bCs w:val="0"/>
                      <w:highlight w:val="none"/>
                      <w:u w:val="none"/>
                    </w:rPr>
                  </w:pPr>
                  <w:r>
                    <w:rPr>
                      <w:b w:val="0"/>
                      <w:bCs w:val="0"/>
                      <w:color w:val="000000"/>
                      <w:kern w:val="0"/>
                      <w:sz w:val="18"/>
                      <w:szCs w:val="18"/>
                      <w:highlight w:val="none"/>
                      <w:u w:val="none"/>
                      <w:lang w:bidi="ar"/>
                    </w:rPr>
                    <w:t xml:space="preserve">0.0002 </w:t>
                  </w:r>
                </w:p>
              </w:tc>
              <w:tc>
                <w:tcPr>
                  <w:tcW w:w="708" w:type="pct"/>
                  <w:tcBorders>
                    <w:tl2br w:val="nil"/>
                    <w:tr2bl w:val="nil"/>
                  </w:tcBorders>
                  <w:shd w:val="clear" w:color="auto" w:fill="auto"/>
                  <w:noWrap/>
                  <w:vAlign w:val="center"/>
                </w:tcPr>
                <w:p w14:paraId="33626537">
                  <w:pPr>
                    <w:jc w:val="center"/>
                    <w:textAlignment w:val="center"/>
                    <w:rPr>
                      <w:b w:val="0"/>
                      <w:bCs w:val="0"/>
                      <w:highlight w:val="none"/>
                      <w:u w:val="none"/>
                    </w:rPr>
                  </w:pPr>
                  <w:r>
                    <w:rPr>
                      <w:b w:val="0"/>
                      <w:bCs w:val="0"/>
                      <w:kern w:val="0"/>
                      <w:sz w:val="18"/>
                      <w:szCs w:val="18"/>
                      <w:highlight w:val="none"/>
                      <w:u w:val="none"/>
                      <w:lang w:bidi="ar"/>
                    </w:rPr>
                    <w:t>1.363</w:t>
                  </w:r>
                </w:p>
              </w:tc>
              <w:tc>
                <w:tcPr>
                  <w:tcW w:w="1051" w:type="pct"/>
                  <w:tcBorders>
                    <w:tl2br w:val="nil"/>
                    <w:tr2bl w:val="nil"/>
                  </w:tcBorders>
                  <w:shd w:val="clear" w:color="auto" w:fill="auto"/>
                  <w:noWrap/>
                  <w:vAlign w:val="center"/>
                </w:tcPr>
                <w:p w14:paraId="60D1AD2B">
                  <w:pPr>
                    <w:jc w:val="center"/>
                    <w:textAlignment w:val="center"/>
                    <w:rPr>
                      <w:b w:val="0"/>
                      <w:bCs w:val="0"/>
                      <w:highlight w:val="none"/>
                      <w:u w:val="none"/>
                    </w:rPr>
                  </w:pPr>
                  <w:r>
                    <w:rPr>
                      <w:b w:val="0"/>
                      <w:bCs w:val="0"/>
                      <w:color w:val="000000"/>
                      <w:kern w:val="0"/>
                      <w:sz w:val="18"/>
                      <w:szCs w:val="18"/>
                      <w:highlight w:val="none"/>
                      <w:u w:val="none"/>
                      <w:lang w:bidi="ar"/>
                    </w:rPr>
                    <w:t xml:space="preserve">0.08 </w:t>
                  </w:r>
                </w:p>
              </w:tc>
            </w:tr>
            <w:tr w14:paraId="6186340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75" w:type="pct"/>
                  <w:tcBorders>
                    <w:tl2br w:val="nil"/>
                    <w:tr2bl w:val="nil"/>
                  </w:tcBorders>
                  <w:shd w:val="clear" w:color="auto" w:fill="auto"/>
                  <w:noWrap/>
                  <w:vAlign w:val="center"/>
                </w:tcPr>
                <w:p w14:paraId="36FDA21A">
                  <w:pPr>
                    <w:jc w:val="center"/>
                    <w:textAlignment w:val="center"/>
                    <w:rPr>
                      <w:b w:val="0"/>
                      <w:bCs w:val="0"/>
                      <w:highlight w:val="none"/>
                      <w:u w:val="none"/>
                    </w:rPr>
                  </w:pPr>
                  <w:r>
                    <w:rPr>
                      <w:b w:val="0"/>
                      <w:bCs w:val="0"/>
                      <w:kern w:val="0"/>
                      <w:sz w:val="18"/>
                      <w:szCs w:val="18"/>
                      <w:highlight w:val="none"/>
                      <w:u w:val="none"/>
                      <w:lang w:bidi="ar"/>
                    </w:rPr>
                    <w:t>羟基硫（</w:t>
                  </w:r>
                  <w:r>
                    <w:rPr>
                      <w:rStyle w:val="49"/>
                      <w:rFonts w:ascii="Times New Roman" w:hAnsi="Times New Roman" w:cs="Times New Roman"/>
                      <w:b w:val="0"/>
                      <w:bCs w:val="0"/>
                      <w:color w:val="auto"/>
                      <w:highlight w:val="none"/>
                      <w:u w:val="none"/>
                      <w:lang w:bidi="ar"/>
                    </w:rPr>
                    <w:t>COS</w:t>
                  </w:r>
                  <w:r>
                    <w:rPr>
                      <w:rStyle w:val="56"/>
                      <w:rFonts w:hint="default" w:ascii="Times New Roman" w:hAnsi="Times New Roman" w:cs="Times New Roman"/>
                      <w:b w:val="0"/>
                      <w:bCs w:val="0"/>
                      <w:color w:val="auto"/>
                      <w:highlight w:val="none"/>
                      <w:u w:val="none"/>
                      <w:lang w:bidi="ar"/>
                    </w:rPr>
                    <w:t>）</w:t>
                  </w:r>
                </w:p>
              </w:tc>
              <w:tc>
                <w:tcPr>
                  <w:tcW w:w="908" w:type="pct"/>
                  <w:tcBorders>
                    <w:tl2br w:val="nil"/>
                    <w:tr2bl w:val="nil"/>
                  </w:tcBorders>
                  <w:shd w:val="clear" w:color="auto" w:fill="auto"/>
                  <w:noWrap/>
                  <w:vAlign w:val="center"/>
                </w:tcPr>
                <w:p w14:paraId="3B409CE2">
                  <w:pPr>
                    <w:jc w:val="center"/>
                    <w:textAlignment w:val="center"/>
                    <w:rPr>
                      <w:b w:val="0"/>
                      <w:bCs w:val="0"/>
                      <w:sz w:val="18"/>
                      <w:highlight w:val="none"/>
                      <w:u w:val="none"/>
                    </w:rPr>
                  </w:pPr>
                  <w:r>
                    <w:rPr>
                      <w:rFonts w:hint="eastAsia"/>
                      <w:b w:val="0"/>
                      <w:bCs w:val="0"/>
                      <w:sz w:val="18"/>
                      <w:highlight w:val="none"/>
                      <w:u w:val="none"/>
                    </w:rPr>
                    <w:t>67.52</w:t>
                  </w:r>
                </w:p>
              </w:tc>
              <w:tc>
                <w:tcPr>
                  <w:tcW w:w="1356" w:type="pct"/>
                  <w:tcBorders>
                    <w:tl2br w:val="nil"/>
                    <w:tr2bl w:val="nil"/>
                  </w:tcBorders>
                  <w:shd w:val="clear" w:color="auto" w:fill="auto"/>
                  <w:noWrap/>
                  <w:vAlign w:val="center"/>
                </w:tcPr>
                <w:p w14:paraId="38CF50FC">
                  <w:pPr>
                    <w:jc w:val="center"/>
                    <w:textAlignment w:val="center"/>
                    <w:rPr>
                      <w:b w:val="0"/>
                      <w:bCs w:val="0"/>
                      <w:highlight w:val="none"/>
                      <w:u w:val="none"/>
                    </w:rPr>
                  </w:pPr>
                  <w:r>
                    <w:rPr>
                      <w:b w:val="0"/>
                      <w:bCs w:val="0"/>
                      <w:color w:val="000000"/>
                      <w:kern w:val="0"/>
                      <w:sz w:val="18"/>
                      <w:szCs w:val="18"/>
                      <w:highlight w:val="none"/>
                      <w:u w:val="none"/>
                      <w:lang w:bidi="ar"/>
                    </w:rPr>
                    <w:t xml:space="preserve">0.0003 </w:t>
                  </w:r>
                </w:p>
              </w:tc>
              <w:tc>
                <w:tcPr>
                  <w:tcW w:w="708" w:type="pct"/>
                  <w:tcBorders>
                    <w:tl2br w:val="nil"/>
                    <w:tr2bl w:val="nil"/>
                  </w:tcBorders>
                  <w:shd w:val="clear" w:color="auto" w:fill="auto"/>
                  <w:noWrap/>
                  <w:vAlign w:val="center"/>
                </w:tcPr>
                <w:p w14:paraId="0462A6F2">
                  <w:pPr>
                    <w:jc w:val="center"/>
                    <w:textAlignment w:val="center"/>
                    <w:rPr>
                      <w:b w:val="0"/>
                      <w:bCs w:val="0"/>
                      <w:highlight w:val="none"/>
                      <w:u w:val="none"/>
                    </w:rPr>
                  </w:pPr>
                  <w:r>
                    <w:rPr>
                      <w:b w:val="0"/>
                      <w:bCs w:val="0"/>
                      <w:kern w:val="0"/>
                      <w:sz w:val="18"/>
                      <w:szCs w:val="18"/>
                      <w:highlight w:val="none"/>
                      <w:u w:val="none"/>
                      <w:lang w:bidi="ar"/>
                    </w:rPr>
                    <w:t>1.6</w:t>
                  </w:r>
                </w:p>
              </w:tc>
              <w:tc>
                <w:tcPr>
                  <w:tcW w:w="1051" w:type="pct"/>
                  <w:tcBorders>
                    <w:tl2br w:val="nil"/>
                    <w:tr2bl w:val="nil"/>
                  </w:tcBorders>
                  <w:shd w:val="clear" w:color="auto" w:fill="auto"/>
                  <w:noWrap/>
                  <w:vAlign w:val="center"/>
                </w:tcPr>
                <w:p w14:paraId="57AB4BC2">
                  <w:pPr>
                    <w:jc w:val="center"/>
                    <w:textAlignment w:val="center"/>
                    <w:rPr>
                      <w:b w:val="0"/>
                      <w:bCs w:val="0"/>
                      <w:highlight w:val="none"/>
                      <w:u w:val="none"/>
                    </w:rPr>
                  </w:pPr>
                  <w:r>
                    <w:rPr>
                      <w:b w:val="0"/>
                      <w:bCs w:val="0"/>
                      <w:color w:val="000000"/>
                      <w:kern w:val="0"/>
                      <w:sz w:val="18"/>
                      <w:szCs w:val="18"/>
                      <w:highlight w:val="none"/>
                      <w:u w:val="none"/>
                      <w:lang w:bidi="ar"/>
                    </w:rPr>
                    <w:t xml:space="preserve">0.11 </w:t>
                  </w:r>
                </w:p>
              </w:tc>
            </w:tr>
            <w:tr w14:paraId="0AE7754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75" w:type="pct"/>
                  <w:tcBorders>
                    <w:tl2br w:val="nil"/>
                    <w:tr2bl w:val="nil"/>
                  </w:tcBorders>
                  <w:shd w:val="clear" w:color="auto" w:fill="auto"/>
                  <w:noWrap/>
                  <w:vAlign w:val="center"/>
                </w:tcPr>
                <w:p w14:paraId="74860518">
                  <w:pPr>
                    <w:jc w:val="center"/>
                    <w:textAlignment w:val="center"/>
                    <w:rPr>
                      <w:b w:val="0"/>
                      <w:bCs w:val="0"/>
                      <w:highlight w:val="none"/>
                      <w:u w:val="none"/>
                    </w:rPr>
                  </w:pPr>
                  <w:r>
                    <w:rPr>
                      <w:rStyle w:val="56"/>
                      <w:rFonts w:hint="default" w:ascii="Times New Roman" w:hAnsi="Times New Roman" w:cs="Times New Roman"/>
                      <w:b w:val="0"/>
                      <w:bCs w:val="0"/>
                      <w:color w:val="auto"/>
                      <w:highlight w:val="none"/>
                      <w:u w:val="none"/>
                      <w:lang w:bidi="ar"/>
                    </w:rPr>
                    <w:t>合计</w:t>
                  </w:r>
                </w:p>
              </w:tc>
              <w:tc>
                <w:tcPr>
                  <w:tcW w:w="908" w:type="pct"/>
                  <w:tcBorders>
                    <w:tl2br w:val="nil"/>
                    <w:tr2bl w:val="nil"/>
                  </w:tcBorders>
                  <w:shd w:val="clear" w:color="auto" w:fill="auto"/>
                  <w:noWrap/>
                  <w:vAlign w:val="center"/>
                </w:tcPr>
                <w:p w14:paraId="547E57CA">
                  <w:pPr>
                    <w:jc w:val="center"/>
                    <w:textAlignment w:val="center"/>
                    <w:rPr>
                      <w:b w:val="0"/>
                      <w:bCs w:val="0"/>
                      <w:sz w:val="18"/>
                      <w:highlight w:val="none"/>
                      <w:u w:val="none"/>
                    </w:rPr>
                  </w:pPr>
                  <w:r>
                    <w:rPr>
                      <w:rFonts w:hint="eastAsia"/>
                      <w:b w:val="0"/>
                      <w:bCs w:val="0"/>
                      <w:kern w:val="0"/>
                      <w:sz w:val="18"/>
                      <w:szCs w:val="18"/>
                      <w:highlight w:val="none"/>
                      <w:u w:val="none"/>
                      <w:lang w:bidi="ar"/>
                    </w:rPr>
                    <w:t>26464340</w:t>
                  </w:r>
                </w:p>
              </w:tc>
              <w:tc>
                <w:tcPr>
                  <w:tcW w:w="1356" w:type="pct"/>
                  <w:tcBorders>
                    <w:tl2br w:val="nil"/>
                    <w:tr2bl w:val="nil"/>
                  </w:tcBorders>
                  <w:shd w:val="clear" w:color="auto" w:fill="auto"/>
                  <w:noWrap/>
                  <w:vAlign w:val="center"/>
                </w:tcPr>
                <w:p w14:paraId="0DFAB3C8">
                  <w:pPr>
                    <w:jc w:val="center"/>
                    <w:textAlignment w:val="center"/>
                    <w:rPr>
                      <w:b w:val="0"/>
                      <w:bCs w:val="0"/>
                      <w:highlight w:val="none"/>
                      <w:u w:val="none"/>
                    </w:rPr>
                  </w:pPr>
                  <w:r>
                    <w:rPr>
                      <w:b w:val="0"/>
                      <w:bCs w:val="0"/>
                      <w:kern w:val="0"/>
                      <w:sz w:val="18"/>
                      <w:szCs w:val="18"/>
                      <w:highlight w:val="none"/>
                      <w:u w:val="none"/>
                      <w:lang w:bidi="ar"/>
                    </w:rPr>
                    <w:t>1.000016553</w:t>
                  </w:r>
                </w:p>
              </w:tc>
              <w:tc>
                <w:tcPr>
                  <w:tcW w:w="708" w:type="pct"/>
                  <w:tcBorders>
                    <w:tl2br w:val="nil"/>
                    <w:tr2bl w:val="nil"/>
                  </w:tcBorders>
                  <w:shd w:val="clear" w:color="auto" w:fill="auto"/>
                  <w:noWrap/>
                  <w:vAlign w:val="center"/>
                </w:tcPr>
                <w:p w14:paraId="65CFB980">
                  <w:pPr>
                    <w:jc w:val="center"/>
                    <w:rPr>
                      <w:b w:val="0"/>
                      <w:bCs w:val="0"/>
                      <w:highlight w:val="none"/>
                      <w:u w:val="none"/>
                    </w:rPr>
                  </w:pPr>
                  <w:r>
                    <w:rPr>
                      <w:rFonts w:hint="eastAsia"/>
                      <w:b w:val="0"/>
                      <w:bCs w:val="0"/>
                      <w:highlight w:val="none"/>
                      <w:u w:val="none"/>
                    </w:rPr>
                    <w:t>/</w:t>
                  </w:r>
                </w:p>
              </w:tc>
              <w:tc>
                <w:tcPr>
                  <w:tcW w:w="1051" w:type="pct"/>
                  <w:tcBorders>
                    <w:tl2br w:val="nil"/>
                    <w:tr2bl w:val="nil"/>
                  </w:tcBorders>
                  <w:shd w:val="clear" w:color="auto" w:fill="auto"/>
                  <w:noWrap/>
                  <w:vAlign w:val="center"/>
                </w:tcPr>
                <w:p w14:paraId="6D0C4607">
                  <w:pPr>
                    <w:jc w:val="center"/>
                    <w:textAlignment w:val="center"/>
                    <w:rPr>
                      <w:b w:val="0"/>
                      <w:bCs w:val="0"/>
                      <w:color w:val="000000"/>
                      <w:sz w:val="18"/>
                      <w:szCs w:val="18"/>
                      <w:highlight w:val="none"/>
                      <w:u w:val="none"/>
                    </w:rPr>
                  </w:pPr>
                  <w:r>
                    <w:rPr>
                      <w:b w:val="0"/>
                      <w:bCs w:val="0"/>
                      <w:color w:val="000000"/>
                      <w:kern w:val="0"/>
                      <w:sz w:val="18"/>
                      <w:szCs w:val="18"/>
                      <w:highlight w:val="none"/>
                      <w:u w:val="none"/>
                      <w:lang w:bidi="ar"/>
                    </w:rPr>
                    <w:t xml:space="preserve">51093.32 </w:t>
                  </w:r>
                </w:p>
              </w:tc>
            </w:tr>
          </w:tbl>
          <w:p w14:paraId="6C8AECA6">
            <w:pPr>
              <w:pStyle w:val="5"/>
              <w:ind w:firstLine="422"/>
              <w:rPr>
                <w:rFonts w:hint="default"/>
                <w:b w:val="0"/>
                <w:bCs w:val="0"/>
                <w:highlight w:val="none"/>
                <w:u w:val="none"/>
              </w:rPr>
            </w:pPr>
            <w:r>
              <w:rPr>
                <w:rFonts w:hint="default"/>
                <w:b/>
                <w:bCs/>
                <w:highlight w:val="none"/>
                <w:u w:val="single"/>
              </w:rPr>
              <w:t>由上表可知，</w:t>
            </w:r>
            <w:r>
              <w:rPr>
                <w:b/>
                <w:bCs/>
                <w:highlight w:val="none"/>
                <w:u w:val="single"/>
              </w:rPr>
              <w:t>尾气产生量为26464340m</w:t>
            </w:r>
            <w:r>
              <w:rPr>
                <w:b/>
                <w:bCs/>
                <w:highlight w:val="none"/>
                <w:u w:val="single"/>
                <w:vertAlign w:val="superscript"/>
              </w:rPr>
              <w:t>3</w:t>
            </w:r>
            <w:r>
              <w:rPr>
                <w:b/>
                <w:bCs/>
                <w:highlight w:val="none"/>
                <w:u w:val="single"/>
              </w:rPr>
              <w:t>/a（3675.6m</w:t>
            </w:r>
            <w:r>
              <w:rPr>
                <w:b/>
                <w:bCs/>
                <w:highlight w:val="none"/>
                <w:u w:val="single"/>
                <w:vertAlign w:val="superscript"/>
              </w:rPr>
              <w:t>3</w:t>
            </w:r>
            <w:r>
              <w:rPr>
                <w:b/>
                <w:bCs/>
                <w:highlight w:val="none"/>
                <w:u w:val="single"/>
              </w:rPr>
              <w:t>/h），其中二氧化碳、氧气、氮气等为空气的主要组分，不作为污染物进行计算，本次评价仅将甲醇和硫化物进行计算。经计算尾气中甲醇浓度及产生量为13.6mg/m</w:t>
            </w:r>
            <w:r>
              <w:rPr>
                <w:b/>
                <w:bCs/>
                <w:highlight w:val="none"/>
                <w:u w:val="single"/>
                <w:vertAlign w:val="superscript"/>
              </w:rPr>
              <w:t>3</w:t>
            </w:r>
            <w:r>
              <w:rPr>
                <w:b/>
                <w:bCs/>
                <w:highlight w:val="none"/>
                <w:u w:val="single"/>
              </w:rPr>
              <w:t>、0.05kg/h（0.36t/a）；硫化氢（含羟基硫）排放浓度及排放量为7.07mg/m</w:t>
            </w:r>
            <w:r>
              <w:rPr>
                <w:b/>
                <w:bCs/>
                <w:highlight w:val="none"/>
                <w:u w:val="single"/>
                <w:vertAlign w:val="superscript"/>
              </w:rPr>
              <w:t>3</w:t>
            </w:r>
            <w:r>
              <w:rPr>
                <w:b/>
                <w:bCs/>
                <w:highlight w:val="none"/>
                <w:u w:val="single"/>
              </w:rPr>
              <w:t>、0.026kg/h（0.19t/a）。</w:t>
            </w:r>
          </w:p>
          <w:p w14:paraId="28A57D90">
            <w:pPr>
              <w:pStyle w:val="5"/>
              <w:rPr>
                <w:rFonts w:hint="default"/>
                <w:b/>
                <w:bCs/>
                <w:u w:val="single"/>
              </w:rPr>
            </w:pPr>
            <w:r>
              <w:rPr>
                <w:b/>
                <w:bCs/>
                <w:highlight w:val="none"/>
                <w:u w:val="single"/>
              </w:rPr>
              <w:t>根据计算，甲醇排放浓度（13.6</w:t>
            </w:r>
            <w:r>
              <w:rPr>
                <w:rFonts w:hint="default"/>
                <w:b/>
                <w:bCs/>
                <w:highlight w:val="none"/>
                <w:u w:val="single"/>
              </w:rPr>
              <w:t>mg/m</w:t>
            </w:r>
            <w:r>
              <w:rPr>
                <w:rFonts w:hint="default"/>
                <w:b/>
                <w:bCs/>
                <w:highlight w:val="none"/>
                <w:u w:val="single"/>
                <w:vertAlign w:val="superscript"/>
              </w:rPr>
              <w:t>3</w:t>
            </w:r>
            <w:r>
              <w:rPr>
                <w:b/>
                <w:bCs/>
                <w:highlight w:val="none"/>
                <w:u w:val="single"/>
              </w:rPr>
              <w:t>）和排放速率（0.05</w:t>
            </w:r>
            <w:r>
              <w:rPr>
                <w:rFonts w:hint="default"/>
                <w:b/>
                <w:bCs/>
                <w:highlight w:val="none"/>
                <w:u w:val="single"/>
              </w:rPr>
              <w:t>kg/h</w:t>
            </w:r>
            <w:r>
              <w:rPr>
                <w:b/>
                <w:bCs/>
                <w:highlight w:val="none"/>
                <w:u w:val="single"/>
              </w:rPr>
              <w:t>）满足《大气污染物综合排放标准》（GB16297-1996）中“甲醇最高允许排放浓度为190mg/m</w:t>
            </w:r>
            <w:r>
              <w:rPr>
                <w:b/>
                <w:bCs/>
                <w:highlight w:val="none"/>
                <w:u w:val="single"/>
                <w:vertAlign w:val="superscript"/>
              </w:rPr>
              <w:t>3</w:t>
            </w:r>
            <w:r>
              <w:rPr>
                <w:b/>
                <w:bCs/>
                <w:highlight w:val="none"/>
                <w:u w:val="single"/>
              </w:rPr>
              <w:t>，30m高度排放速率29kg/h”的要求。H</w:t>
            </w:r>
            <w:r>
              <w:rPr>
                <w:b/>
                <w:bCs/>
                <w:highlight w:val="none"/>
                <w:u w:val="single"/>
                <w:vertAlign w:val="subscript"/>
              </w:rPr>
              <w:t>2</w:t>
            </w:r>
            <w:r>
              <w:rPr>
                <w:b/>
                <w:bCs/>
                <w:highlight w:val="none"/>
                <w:u w:val="single"/>
              </w:rPr>
              <w:t>S排放浓度（7.07</w:t>
            </w:r>
            <w:r>
              <w:rPr>
                <w:rFonts w:hint="default"/>
                <w:b/>
                <w:bCs/>
                <w:highlight w:val="none"/>
                <w:u w:val="single"/>
              </w:rPr>
              <w:t>mg/m</w:t>
            </w:r>
            <w:r>
              <w:rPr>
                <w:rFonts w:hint="default"/>
                <w:b/>
                <w:bCs/>
                <w:highlight w:val="none"/>
                <w:u w:val="single"/>
                <w:vertAlign w:val="superscript"/>
              </w:rPr>
              <w:t>3</w:t>
            </w:r>
            <w:r>
              <w:rPr>
                <w:b/>
                <w:bCs/>
                <w:highlight w:val="none"/>
                <w:u w:val="single"/>
              </w:rPr>
              <w:t>）满足《无机化学工业污染物排放标准》（GB31573—2015）及其修改单中表4中“H</w:t>
            </w:r>
            <w:r>
              <w:rPr>
                <w:b/>
                <w:bCs/>
                <w:highlight w:val="none"/>
                <w:u w:val="single"/>
                <w:vertAlign w:val="subscript"/>
              </w:rPr>
              <w:t>2</w:t>
            </w:r>
            <w:r>
              <w:rPr>
                <w:b/>
                <w:bCs/>
                <w:highlight w:val="none"/>
                <w:u w:val="single"/>
              </w:rPr>
              <w:t>S排放浓度限值为10mg/m</w:t>
            </w:r>
            <w:r>
              <w:rPr>
                <w:b/>
                <w:bCs/>
                <w:highlight w:val="none"/>
                <w:u w:val="single"/>
                <w:vertAlign w:val="superscript"/>
              </w:rPr>
              <w:t>3</w:t>
            </w:r>
            <w:r>
              <w:rPr>
                <w:b/>
                <w:bCs/>
                <w:highlight w:val="none"/>
                <w:u w:val="single"/>
              </w:rPr>
              <w:t>”的要求。</w:t>
            </w:r>
          </w:p>
          <w:p w14:paraId="6FCECE75">
            <w:pPr>
              <w:pStyle w:val="5"/>
              <w:ind w:firstLine="422"/>
              <w:rPr>
                <w:rFonts w:hint="default"/>
                <w:b/>
                <w:bCs/>
                <w:u w:val="single"/>
              </w:rPr>
            </w:pPr>
            <w:r>
              <w:rPr>
                <w:b/>
                <w:bCs/>
                <w:u w:val="single"/>
              </w:rPr>
              <w:t>（2）氨水储罐“大小呼吸”废气</w:t>
            </w:r>
          </w:p>
          <w:p w14:paraId="6BD353D7">
            <w:pPr>
              <w:pStyle w:val="5"/>
              <w:ind w:firstLine="422"/>
              <w:rPr>
                <w:rFonts w:hint="default"/>
                <w:b/>
                <w:bCs/>
                <w:u w:val="single"/>
              </w:rPr>
            </w:pPr>
            <w:r>
              <w:rPr>
                <w:rFonts w:hint="default"/>
                <w:b/>
                <w:bCs/>
                <w:u w:val="single"/>
              </w:rPr>
              <w:t>本项目液氨储罐为密闭储罐，不产生呼吸废气。</w:t>
            </w:r>
          </w:p>
          <w:p w14:paraId="25444A54">
            <w:pPr>
              <w:pStyle w:val="5"/>
              <w:ind w:firstLine="422"/>
              <w:rPr>
                <w:rFonts w:hint="default"/>
                <w:b/>
                <w:bCs/>
                <w:u w:val="single"/>
              </w:rPr>
            </w:pPr>
            <w:r>
              <w:rPr>
                <w:rFonts w:hint="default"/>
                <w:b/>
                <w:bCs/>
                <w:u w:val="single"/>
              </w:rPr>
              <w:t>氨水储罐为固定顶罐，氨水储罐因</w:t>
            </w:r>
            <w:r>
              <w:rPr>
                <w:b/>
                <w:bCs/>
                <w:u w:val="single"/>
              </w:rPr>
              <w:t>“大小呼吸”</w:t>
            </w:r>
            <w:r>
              <w:rPr>
                <w:rFonts w:hint="default"/>
                <w:b/>
                <w:bCs/>
                <w:u w:val="single"/>
              </w:rPr>
              <w:t xml:space="preserve">损失而产生的氨气量参考美国《工业污染源调查与研究》第二辑计算公式计算，其计算公式如下： </w:t>
            </w:r>
          </w:p>
          <w:p w14:paraId="47E44FA8">
            <w:pPr>
              <w:pStyle w:val="5"/>
              <w:ind w:firstLine="422"/>
              <w:rPr>
                <w:rFonts w:hint="default"/>
                <w:b/>
                <w:bCs/>
                <w:u w:val="single"/>
              </w:rPr>
            </w:pPr>
            <w:r>
              <w:rPr>
                <w:b/>
                <w:bCs/>
                <w:u w:val="single"/>
              </w:rPr>
              <w:t>1）小呼吸</w:t>
            </w:r>
            <w:r>
              <w:rPr>
                <w:rFonts w:hint="default"/>
                <w:b/>
                <w:bCs/>
                <w:u w:val="single"/>
              </w:rPr>
              <w:t>废气产生量：</w:t>
            </w:r>
          </w:p>
          <w:p w14:paraId="1CD0C363">
            <w:pPr>
              <w:pStyle w:val="5"/>
              <w:ind w:firstLine="0" w:firstLineChars="0"/>
              <w:jc w:val="center"/>
              <w:rPr>
                <w:rFonts w:hint="default"/>
                <w:b/>
                <w:bCs/>
                <w:u w:val="single"/>
              </w:rPr>
            </w:pPr>
            <w:r>
              <w:rPr>
                <w:rFonts w:hint="default"/>
                <w:b/>
                <w:bCs/>
                <w:u w:val="single"/>
              </w:rPr>
              <w:drawing>
                <wp:inline distT="0" distB="0" distL="114300" distR="114300">
                  <wp:extent cx="3876675" cy="304800"/>
                  <wp:effectExtent l="0" t="0" r="952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3876675" cy="304800"/>
                          </a:xfrm>
                          <a:prstGeom prst="rect">
                            <a:avLst/>
                          </a:prstGeom>
                          <a:noFill/>
                          <a:ln>
                            <a:noFill/>
                          </a:ln>
                        </pic:spPr>
                      </pic:pic>
                    </a:graphicData>
                  </a:graphic>
                </wp:inline>
              </w:drawing>
            </w:r>
          </w:p>
          <w:p w14:paraId="0FE48143">
            <w:pPr>
              <w:pStyle w:val="5"/>
              <w:ind w:firstLine="422"/>
              <w:rPr>
                <w:rFonts w:hint="default"/>
                <w:b/>
                <w:bCs/>
                <w:u w:val="single"/>
              </w:rPr>
            </w:pPr>
            <w:r>
              <w:rPr>
                <w:rFonts w:hint="default"/>
                <w:b/>
                <w:bCs/>
                <w:u w:val="single"/>
              </w:rPr>
              <w:t>式中：L</w:t>
            </w:r>
            <w:r>
              <w:rPr>
                <w:rFonts w:hint="default"/>
                <w:b/>
                <w:bCs/>
                <w:u w:val="single"/>
                <w:vertAlign w:val="subscript"/>
              </w:rPr>
              <w:t>B</w:t>
            </w:r>
            <w:r>
              <w:rPr>
                <w:rFonts w:hint="default"/>
                <w:b/>
                <w:bCs/>
                <w:u w:val="single"/>
              </w:rPr>
              <w:t>—固定顶罐的呼吸排放量（kg/a）；</w:t>
            </w:r>
          </w:p>
          <w:p w14:paraId="4C3FA814">
            <w:pPr>
              <w:pStyle w:val="5"/>
              <w:ind w:firstLine="422"/>
              <w:rPr>
                <w:rFonts w:hint="default"/>
                <w:b/>
                <w:bCs/>
                <w:u w:val="single"/>
              </w:rPr>
            </w:pPr>
            <w:r>
              <w:rPr>
                <w:rFonts w:hint="default"/>
                <w:b/>
                <w:bCs/>
                <w:u w:val="single"/>
              </w:rPr>
              <w:t>M—储罐内蒸气的分子量；</w:t>
            </w:r>
          </w:p>
          <w:p w14:paraId="411FDEB5">
            <w:pPr>
              <w:pStyle w:val="5"/>
              <w:ind w:firstLine="422"/>
              <w:rPr>
                <w:rFonts w:hint="default"/>
                <w:b/>
                <w:bCs/>
                <w:u w:val="single"/>
              </w:rPr>
            </w:pPr>
            <w:r>
              <w:rPr>
                <w:rFonts w:hint="default"/>
                <w:b/>
                <w:bCs/>
                <w:u w:val="single"/>
              </w:rPr>
              <w:t>P—在大量液体状态下，真实的蒸气压力（Pa）；</w:t>
            </w:r>
          </w:p>
          <w:p w14:paraId="7EAF9E9E">
            <w:pPr>
              <w:pStyle w:val="5"/>
              <w:ind w:firstLine="422"/>
              <w:rPr>
                <w:rFonts w:hint="default"/>
                <w:b/>
                <w:bCs/>
                <w:u w:val="single"/>
              </w:rPr>
            </w:pPr>
            <w:r>
              <w:rPr>
                <w:rFonts w:hint="default"/>
                <w:b/>
                <w:bCs/>
                <w:u w:val="single"/>
              </w:rPr>
              <w:t>D—罐的直径（m）；</w:t>
            </w:r>
          </w:p>
          <w:p w14:paraId="3264FD93">
            <w:pPr>
              <w:pStyle w:val="5"/>
              <w:ind w:firstLine="422"/>
              <w:rPr>
                <w:rFonts w:hint="default"/>
                <w:b/>
                <w:bCs/>
                <w:u w:val="single"/>
              </w:rPr>
            </w:pPr>
            <w:r>
              <w:rPr>
                <w:rFonts w:hint="default"/>
                <w:b/>
                <w:bCs/>
                <w:u w:val="single"/>
              </w:rPr>
              <w:t>H—平均蒸气空间高度（m）；</w:t>
            </w:r>
          </w:p>
          <w:p w14:paraId="6760B2B6">
            <w:pPr>
              <w:pStyle w:val="5"/>
              <w:ind w:firstLine="422"/>
              <w:rPr>
                <w:rFonts w:hint="default"/>
                <w:b/>
                <w:bCs/>
                <w:u w:val="single"/>
              </w:rPr>
            </w:pPr>
            <w:r>
              <w:rPr>
                <w:rFonts w:hint="default"/>
                <w:b/>
                <w:bCs/>
                <w:u w:val="single"/>
              </w:rPr>
              <w:t>△T—一天之内的平均温度差（℃），年平均昼夜温差为12℃；</w:t>
            </w:r>
          </w:p>
          <w:p w14:paraId="03B4E6CF">
            <w:pPr>
              <w:pStyle w:val="5"/>
              <w:ind w:firstLine="422"/>
              <w:rPr>
                <w:rFonts w:hint="default"/>
                <w:b/>
                <w:bCs/>
                <w:u w:val="single"/>
              </w:rPr>
            </w:pPr>
            <w:r>
              <w:rPr>
                <w:rFonts w:hint="default"/>
                <w:b/>
                <w:bCs/>
                <w:u w:val="single"/>
              </w:rPr>
              <w:t>F</w:t>
            </w:r>
            <w:r>
              <w:rPr>
                <w:rFonts w:hint="default"/>
                <w:b/>
                <w:bCs/>
                <w:u w:val="single"/>
                <w:vertAlign w:val="subscript"/>
              </w:rPr>
              <w:t>P</w:t>
            </w:r>
            <w:r>
              <w:rPr>
                <w:rFonts w:hint="default"/>
                <w:b/>
                <w:bCs/>
                <w:u w:val="single"/>
              </w:rPr>
              <w:t>—涂层因子，根据油漆状况取值，储罐的颜色为浅灰色，取值为1.33。</w:t>
            </w:r>
          </w:p>
          <w:p w14:paraId="4E073BE2">
            <w:pPr>
              <w:pStyle w:val="5"/>
              <w:ind w:firstLine="422"/>
              <w:rPr>
                <w:rFonts w:hint="default"/>
                <w:b/>
                <w:bCs/>
                <w:u w:val="single"/>
              </w:rPr>
            </w:pPr>
            <w:r>
              <w:rPr>
                <w:rFonts w:hint="default"/>
                <w:b/>
                <w:bCs/>
                <w:u w:val="single"/>
              </w:rPr>
              <w:t>C—用于小直径罐的调节因子（无量纲）；直径在0～9m之间的罐体，C=</w:t>
            </w:r>
            <w:r>
              <w:rPr>
                <w:b/>
                <w:bCs/>
                <w:u w:val="single"/>
              </w:rPr>
              <w:t>1-</w:t>
            </w:r>
            <w:r>
              <w:rPr>
                <w:rFonts w:hint="default"/>
                <w:b/>
                <w:bCs/>
                <w:u w:val="single"/>
              </w:rPr>
              <w:t>0.0123(</w:t>
            </w:r>
            <w:r>
              <w:rPr>
                <w:b/>
                <w:bCs/>
                <w:u w:val="single"/>
              </w:rPr>
              <w:t>D-</w:t>
            </w:r>
            <w:r>
              <w:rPr>
                <w:rFonts w:hint="default"/>
                <w:b/>
                <w:bCs/>
                <w:u w:val="single"/>
              </w:rPr>
              <w:t>9)</w:t>
            </w:r>
            <w:r>
              <w:rPr>
                <w:rFonts w:hint="default"/>
                <w:b/>
                <w:bCs/>
                <w:u w:val="single"/>
                <w:vertAlign w:val="superscript"/>
              </w:rPr>
              <w:t>2</w:t>
            </w:r>
            <w:r>
              <w:rPr>
                <w:rFonts w:hint="default"/>
                <w:b/>
                <w:bCs/>
                <w:u w:val="single"/>
              </w:rPr>
              <w:t>，罐径大于9m的C=1；</w:t>
            </w:r>
          </w:p>
          <w:p w14:paraId="06913F25">
            <w:pPr>
              <w:pStyle w:val="5"/>
              <w:ind w:firstLine="422"/>
              <w:rPr>
                <w:rFonts w:hint="default"/>
                <w:b/>
                <w:bCs/>
                <w:u w:val="single"/>
              </w:rPr>
            </w:pPr>
            <w:r>
              <w:rPr>
                <w:rFonts w:hint="default"/>
                <w:b/>
                <w:bCs/>
                <w:u w:val="single"/>
              </w:rPr>
              <w:t>K</w:t>
            </w:r>
            <w:r>
              <w:rPr>
                <w:rFonts w:hint="default"/>
                <w:b/>
                <w:bCs/>
                <w:u w:val="single"/>
                <w:vertAlign w:val="subscript"/>
              </w:rPr>
              <w:t>C</w:t>
            </w:r>
            <w:r>
              <w:rPr>
                <w:rFonts w:hint="default"/>
                <w:b/>
                <w:bCs/>
                <w:u w:val="single"/>
              </w:rPr>
              <w:t>—产品因子（石油原有Kc取0.65，其他有机液体1.0）。</w:t>
            </w:r>
          </w:p>
          <w:p w14:paraId="0D303374">
            <w:pPr>
              <w:pStyle w:val="44"/>
              <w:rPr>
                <w:rFonts w:hint="default"/>
                <w:b/>
                <w:bCs/>
                <w:u w:val="single"/>
              </w:rPr>
            </w:pPr>
            <w:r>
              <w:rPr>
                <w:b/>
                <w:bCs/>
                <w:u w:val="single"/>
              </w:rPr>
              <w:t xml:space="preserve">表4-2  </w:t>
            </w:r>
            <w:r>
              <w:rPr>
                <w:rFonts w:hint="default"/>
                <w:b/>
                <w:bCs/>
                <w:u w:val="single"/>
              </w:rPr>
              <w:t>本项目储罐小呼吸计算取值一览表</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672"/>
              <w:gridCol w:w="672"/>
              <w:gridCol w:w="672"/>
              <w:gridCol w:w="674"/>
              <w:gridCol w:w="674"/>
              <w:gridCol w:w="674"/>
              <w:gridCol w:w="674"/>
              <w:gridCol w:w="674"/>
              <w:gridCol w:w="674"/>
              <w:gridCol w:w="674"/>
            </w:tblGrid>
            <w:tr w14:paraId="172CB00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3" w:type="pct"/>
                  <w:tcBorders>
                    <w:tl2br w:val="nil"/>
                    <w:tr2bl w:val="nil"/>
                  </w:tcBorders>
                  <w:shd w:val="clear" w:color="auto" w:fill="auto"/>
                  <w:noWrap/>
                  <w:vAlign w:val="center"/>
                </w:tcPr>
                <w:p w14:paraId="0D32A7C9">
                  <w:pPr>
                    <w:pStyle w:val="45"/>
                    <w:rPr>
                      <w:rFonts w:hint="default"/>
                      <w:b/>
                      <w:bCs/>
                      <w:u w:val="single"/>
                    </w:rPr>
                  </w:pPr>
                  <w:r>
                    <w:rPr>
                      <w:b/>
                      <w:bCs/>
                      <w:u w:val="single"/>
                    </w:rPr>
                    <w:t>储罐类型</w:t>
                  </w:r>
                </w:p>
              </w:tc>
              <w:tc>
                <w:tcPr>
                  <w:tcW w:w="453" w:type="pct"/>
                  <w:tcBorders>
                    <w:tl2br w:val="nil"/>
                    <w:tr2bl w:val="nil"/>
                  </w:tcBorders>
                  <w:shd w:val="clear" w:color="auto" w:fill="auto"/>
                  <w:noWrap/>
                  <w:vAlign w:val="center"/>
                </w:tcPr>
                <w:p w14:paraId="6B5B77CC">
                  <w:pPr>
                    <w:pStyle w:val="45"/>
                    <w:rPr>
                      <w:rFonts w:hint="default"/>
                      <w:b/>
                      <w:bCs/>
                      <w:u w:val="single"/>
                    </w:rPr>
                  </w:pPr>
                  <w:r>
                    <w:rPr>
                      <w:b/>
                      <w:bCs/>
                      <w:u w:val="single"/>
                    </w:rPr>
                    <w:t>规格</w:t>
                  </w:r>
                </w:p>
              </w:tc>
              <w:tc>
                <w:tcPr>
                  <w:tcW w:w="453" w:type="pct"/>
                  <w:tcBorders>
                    <w:tl2br w:val="nil"/>
                    <w:tr2bl w:val="nil"/>
                  </w:tcBorders>
                  <w:shd w:val="clear" w:color="auto" w:fill="auto"/>
                  <w:noWrap/>
                  <w:vAlign w:val="center"/>
                </w:tcPr>
                <w:p w14:paraId="2F0FCCA4">
                  <w:pPr>
                    <w:pStyle w:val="45"/>
                    <w:rPr>
                      <w:rFonts w:hint="default"/>
                      <w:b/>
                      <w:bCs/>
                      <w:u w:val="single"/>
                    </w:rPr>
                  </w:pPr>
                  <w:r>
                    <w:rPr>
                      <w:b/>
                      <w:bCs/>
                      <w:u w:val="single"/>
                    </w:rPr>
                    <w:t>数量</w:t>
                  </w:r>
                </w:p>
              </w:tc>
              <w:tc>
                <w:tcPr>
                  <w:tcW w:w="453" w:type="pct"/>
                  <w:tcBorders>
                    <w:tl2br w:val="nil"/>
                    <w:tr2bl w:val="nil"/>
                  </w:tcBorders>
                  <w:shd w:val="clear" w:color="auto" w:fill="auto"/>
                  <w:noWrap/>
                  <w:vAlign w:val="center"/>
                </w:tcPr>
                <w:p w14:paraId="0C2A690D">
                  <w:pPr>
                    <w:pStyle w:val="45"/>
                    <w:rPr>
                      <w:rFonts w:hint="default"/>
                      <w:b/>
                      <w:bCs/>
                      <w:u w:val="single"/>
                    </w:rPr>
                  </w:pPr>
                  <w:r>
                    <w:rPr>
                      <w:b/>
                      <w:bCs/>
                      <w:u w:val="single"/>
                    </w:rPr>
                    <w:t>M</w:t>
                  </w:r>
                </w:p>
              </w:tc>
              <w:tc>
                <w:tcPr>
                  <w:tcW w:w="455" w:type="pct"/>
                  <w:tcBorders>
                    <w:tl2br w:val="nil"/>
                    <w:tr2bl w:val="nil"/>
                  </w:tcBorders>
                  <w:shd w:val="clear" w:color="auto" w:fill="auto"/>
                  <w:noWrap/>
                  <w:vAlign w:val="center"/>
                </w:tcPr>
                <w:p w14:paraId="520CD769">
                  <w:pPr>
                    <w:pStyle w:val="45"/>
                    <w:rPr>
                      <w:rFonts w:hint="default"/>
                      <w:b/>
                      <w:bCs/>
                      <w:u w:val="single"/>
                    </w:rPr>
                  </w:pPr>
                  <w:r>
                    <w:rPr>
                      <w:b/>
                      <w:bCs/>
                      <w:u w:val="single"/>
                    </w:rPr>
                    <w:t>P</w:t>
                  </w:r>
                </w:p>
              </w:tc>
              <w:tc>
                <w:tcPr>
                  <w:tcW w:w="455" w:type="pct"/>
                  <w:tcBorders>
                    <w:tl2br w:val="nil"/>
                    <w:tr2bl w:val="nil"/>
                  </w:tcBorders>
                  <w:shd w:val="clear" w:color="auto" w:fill="auto"/>
                  <w:noWrap/>
                  <w:vAlign w:val="center"/>
                </w:tcPr>
                <w:p w14:paraId="51B0C01E">
                  <w:pPr>
                    <w:pStyle w:val="45"/>
                    <w:rPr>
                      <w:rFonts w:hint="default"/>
                      <w:b/>
                      <w:bCs/>
                      <w:u w:val="single"/>
                    </w:rPr>
                  </w:pPr>
                  <w:r>
                    <w:rPr>
                      <w:b/>
                      <w:bCs/>
                      <w:u w:val="single"/>
                    </w:rPr>
                    <w:t>D</w:t>
                  </w:r>
                </w:p>
              </w:tc>
              <w:tc>
                <w:tcPr>
                  <w:tcW w:w="455" w:type="pct"/>
                  <w:tcBorders>
                    <w:tl2br w:val="nil"/>
                    <w:tr2bl w:val="nil"/>
                  </w:tcBorders>
                  <w:shd w:val="clear" w:color="auto" w:fill="auto"/>
                  <w:noWrap/>
                  <w:vAlign w:val="center"/>
                </w:tcPr>
                <w:p w14:paraId="04C72B19">
                  <w:pPr>
                    <w:pStyle w:val="45"/>
                    <w:rPr>
                      <w:rFonts w:hint="default"/>
                      <w:b/>
                      <w:bCs/>
                      <w:u w:val="single"/>
                    </w:rPr>
                  </w:pPr>
                  <w:r>
                    <w:rPr>
                      <w:b/>
                      <w:bCs/>
                      <w:u w:val="single"/>
                    </w:rPr>
                    <w:t>H</w:t>
                  </w:r>
                </w:p>
              </w:tc>
              <w:tc>
                <w:tcPr>
                  <w:tcW w:w="455" w:type="pct"/>
                  <w:tcBorders>
                    <w:tl2br w:val="nil"/>
                    <w:tr2bl w:val="nil"/>
                  </w:tcBorders>
                  <w:shd w:val="clear" w:color="auto" w:fill="auto"/>
                  <w:noWrap/>
                  <w:vAlign w:val="center"/>
                </w:tcPr>
                <w:p w14:paraId="67CD1CA5">
                  <w:pPr>
                    <w:pStyle w:val="45"/>
                    <w:rPr>
                      <w:rFonts w:hint="default"/>
                      <w:b/>
                      <w:bCs/>
                      <w:u w:val="single"/>
                    </w:rPr>
                  </w:pPr>
                  <w:r>
                    <w:rPr>
                      <w:b/>
                      <w:bCs/>
                      <w:u w:val="single"/>
                    </w:rPr>
                    <w:t>△T</w:t>
                  </w:r>
                </w:p>
              </w:tc>
              <w:tc>
                <w:tcPr>
                  <w:tcW w:w="455" w:type="pct"/>
                  <w:tcBorders>
                    <w:tl2br w:val="nil"/>
                    <w:tr2bl w:val="nil"/>
                  </w:tcBorders>
                  <w:shd w:val="clear" w:color="auto" w:fill="auto"/>
                  <w:noWrap/>
                  <w:vAlign w:val="center"/>
                </w:tcPr>
                <w:p w14:paraId="42D0D97B">
                  <w:pPr>
                    <w:pStyle w:val="45"/>
                    <w:rPr>
                      <w:rFonts w:hint="default"/>
                      <w:b/>
                      <w:bCs/>
                      <w:u w:val="single"/>
                    </w:rPr>
                  </w:pPr>
                  <w:r>
                    <w:rPr>
                      <w:b/>
                      <w:bCs/>
                      <w:u w:val="single"/>
                    </w:rPr>
                    <w:t>F</w:t>
                  </w:r>
                  <w:r>
                    <w:rPr>
                      <w:b/>
                      <w:bCs/>
                      <w:u w:val="single"/>
                      <w:vertAlign w:val="subscript"/>
                    </w:rPr>
                    <w:t>P</w:t>
                  </w:r>
                </w:p>
              </w:tc>
              <w:tc>
                <w:tcPr>
                  <w:tcW w:w="455" w:type="pct"/>
                  <w:tcBorders>
                    <w:tl2br w:val="nil"/>
                    <w:tr2bl w:val="nil"/>
                  </w:tcBorders>
                  <w:shd w:val="clear" w:color="auto" w:fill="auto"/>
                  <w:noWrap/>
                  <w:vAlign w:val="center"/>
                </w:tcPr>
                <w:p w14:paraId="613420F8">
                  <w:pPr>
                    <w:pStyle w:val="45"/>
                    <w:rPr>
                      <w:rFonts w:hint="default"/>
                      <w:b/>
                      <w:bCs/>
                      <w:u w:val="single"/>
                    </w:rPr>
                  </w:pPr>
                  <w:r>
                    <w:rPr>
                      <w:b/>
                      <w:bCs/>
                      <w:u w:val="single"/>
                    </w:rPr>
                    <w:t>C</w:t>
                  </w:r>
                </w:p>
              </w:tc>
              <w:tc>
                <w:tcPr>
                  <w:tcW w:w="455" w:type="pct"/>
                  <w:tcBorders>
                    <w:tl2br w:val="nil"/>
                    <w:tr2bl w:val="nil"/>
                  </w:tcBorders>
                  <w:shd w:val="clear" w:color="auto" w:fill="auto"/>
                  <w:noWrap/>
                  <w:vAlign w:val="center"/>
                </w:tcPr>
                <w:p w14:paraId="27E1A968">
                  <w:pPr>
                    <w:pStyle w:val="45"/>
                    <w:rPr>
                      <w:rFonts w:hint="default"/>
                      <w:b/>
                      <w:bCs/>
                      <w:u w:val="single"/>
                    </w:rPr>
                  </w:pPr>
                  <w:r>
                    <w:rPr>
                      <w:b/>
                      <w:bCs/>
                      <w:u w:val="single"/>
                    </w:rPr>
                    <w:t>K</w:t>
                  </w:r>
                  <w:r>
                    <w:rPr>
                      <w:b/>
                      <w:bCs/>
                      <w:u w:val="single"/>
                      <w:vertAlign w:val="subscript"/>
                    </w:rPr>
                    <w:t>C</w:t>
                  </w:r>
                </w:p>
              </w:tc>
            </w:tr>
            <w:tr w14:paraId="0349F96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53" w:type="pct"/>
                  <w:tcBorders>
                    <w:tl2br w:val="nil"/>
                    <w:tr2bl w:val="nil"/>
                  </w:tcBorders>
                  <w:shd w:val="clear" w:color="auto" w:fill="auto"/>
                  <w:noWrap/>
                  <w:vAlign w:val="center"/>
                </w:tcPr>
                <w:p w14:paraId="286AE88C">
                  <w:pPr>
                    <w:pStyle w:val="45"/>
                    <w:rPr>
                      <w:rFonts w:hint="default"/>
                      <w:b/>
                      <w:bCs/>
                      <w:u w:val="single"/>
                    </w:rPr>
                  </w:pPr>
                  <w:r>
                    <w:rPr>
                      <w:b/>
                      <w:bCs/>
                      <w:u w:val="single"/>
                    </w:rPr>
                    <w:t>氨水储罐</w:t>
                  </w:r>
                </w:p>
              </w:tc>
              <w:tc>
                <w:tcPr>
                  <w:tcW w:w="453" w:type="pct"/>
                  <w:tcBorders>
                    <w:tl2br w:val="nil"/>
                    <w:tr2bl w:val="nil"/>
                  </w:tcBorders>
                  <w:shd w:val="clear" w:color="auto" w:fill="auto"/>
                  <w:noWrap/>
                  <w:vAlign w:val="center"/>
                </w:tcPr>
                <w:p w14:paraId="28680612">
                  <w:pPr>
                    <w:pStyle w:val="45"/>
                    <w:rPr>
                      <w:rFonts w:hint="default"/>
                      <w:b/>
                      <w:bCs/>
                      <w:u w:val="single"/>
                    </w:rPr>
                  </w:pPr>
                  <w:r>
                    <w:rPr>
                      <w:b/>
                      <w:bCs/>
                      <w:u w:val="single"/>
                    </w:rPr>
                    <w:t>直径4.4m、高度10m</w:t>
                  </w:r>
                </w:p>
              </w:tc>
              <w:tc>
                <w:tcPr>
                  <w:tcW w:w="453" w:type="pct"/>
                  <w:tcBorders>
                    <w:tl2br w:val="nil"/>
                    <w:tr2bl w:val="nil"/>
                  </w:tcBorders>
                  <w:shd w:val="clear" w:color="auto" w:fill="auto"/>
                  <w:noWrap/>
                  <w:vAlign w:val="center"/>
                </w:tcPr>
                <w:p w14:paraId="39BDB7C2">
                  <w:pPr>
                    <w:pStyle w:val="45"/>
                    <w:rPr>
                      <w:rFonts w:hint="default"/>
                      <w:b/>
                      <w:bCs/>
                      <w:u w:val="single"/>
                    </w:rPr>
                  </w:pPr>
                  <w:r>
                    <w:rPr>
                      <w:b/>
                      <w:bCs/>
                      <w:u w:val="single"/>
                    </w:rPr>
                    <w:t>2</w:t>
                  </w:r>
                </w:p>
              </w:tc>
              <w:tc>
                <w:tcPr>
                  <w:tcW w:w="453" w:type="pct"/>
                  <w:tcBorders>
                    <w:tl2br w:val="nil"/>
                    <w:tr2bl w:val="nil"/>
                  </w:tcBorders>
                  <w:shd w:val="clear" w:color="auto" w:fill="auto"/>
                  <w:noWrap/>
                  <w:vAlign w:val="center"/>
                </w:tcPr>
                <w:p w14:paraId="3E3F5170">
                  <w:pPr>
                    <w:pStyle w:val="45"/>
                    <w:rPr>
                      <w:rFonts w:hint="default"/>
                      <w:b/>
                      <w:bCs/>
                      <w:u w:val="single"/>
                    </w:rPr>
                  </w:pPr>
                  <w:r>
                    <w:rPr>
                      <w:b/>
                      <w:bCs/>
                      <w:u w:val="single"/>
                    </w:rPr>
                    <w:t>17</w:t>
                  </w:r>
                </w:p>
              </w:tc>
              <w:tc>
                <w:tcPr>
                  <w:tcW w:w="455" w:type="pct"/>
                  <w:tcBorders>
                    <w:tl2br w:val="nil"/>
                    <w:tr2bl w:val="nil"/>
                  </w:tcBorders>
                  <w:shd w:val="clear" w:color="auto" w:fill="auto"/>
                  <w:noWrap/>
                  <w:vAlign w:val="center"/>
                </w:tcPr>
                <w:p w14:paraId="1E2405DD">
                  <w:pPr>
                    <w:pStyle w:val="45"/>
                    <w:rPr>
                      <w:rFonts w:hint="default"/>
                      <w:b/>
                      <w:bCs/>
                      <w:u w:val="single"/>
                    </w:rPr>
                  </w:pPr>
                  <w:r>
                    <w:rPr>
                      <w:b/>
                      <w:bCs/>
                      <w:u w:val="single"/>
                    </w:rPr>
                    <w:t>1590</w:t>
                  </w:r>
                </w:p>
              </w:tc>
              <w:tc>
                <w:tcPr>
                  <w:tcW w:w="455" w:type="pct"/>
                  <w:tcBorders>
                    <w:tl2br w:val="nil"/>
                    <w:tr2bl w:val="nil"/>
                  </w:tcBorders>
                  <w:shd w:val="clear" w:color="auto" w:fill="auto"/>
                  <w:noWrap/>
                  <w:vAlign w:val="center"/>
                </w:tcPr>
                <w:p w14:paraId="6701B065">
                  <w:pPr>
                    <w:pStyle w:val="45"/>
                    <w:rPr>
                      <w:rFonts w:hint="default"/>
                      <w:b/>
                      <w:bCs/>
                      <w:u w:val="single"/>
                    </w:rPr>
                  </w:pPr>
                  <w:r>
                    <w:rPr>
                      <w:b/>
                      <w:bCs/>
                      <w:u w:val="single"/>
                    </w:rPr>
                    <w:t>4.4</w:t>
                  </w:r>
                </w:p>
              </w:tc>
              <w:tc>
                <w:tcPr>
                  <w:tcW w:w="455" w:type="pct"/>
                  <w:tcBorders>
                    <w:tl2br w:val="nil"/>
                    <w:tr2bl w:val="nil"/>
                  </w:tcBorders>
                  <w:shd w:val="clear" w:color="auto" w:fill="auto"/>
                  <w:noWrap/>
                  <w:vAlign w:val="center"/>
                </w:tcPr>
                <w:p w14:paraId="46D90CF9">
                  <w:pPr>
                    <w:pStyle w:val="45"/>
                    <w:rPr>
                      <w:rFonts w:hint="default"/>
                      <w:b/>
                      <w:bCs/>
                      <w:u w:val="single"/>
                    </w:rPr>
                  </w:pPr>
                  <w:r>
                    <w:rPr>
                      <w:b/>
                      <w:bCs/>
                      <w:u w:val="single"/>
                    </w:rPr>
                    <w:t>2</w:t>
                  </w:r>
                </w:p>
              </w:tc>
              <w:tc>
                <w:tcPr>
                  <w:tcW w:w="455" w:type="pct"/>
                  <w:tcBorders>
                    <w:tl2br w:val="nil"/>
                    <w:tr2bl w:val="nil"/>
                  </w:tcBorders>
                  <w:shd w:val="clear" w:color="auto" w:fill="auto"/>
                  <w:noWrap/>
                  <w:vAlign w:val="center"/>
                </w:tcPr>
                <w:p w14:paraId="0FD39715">
                  <w:pPr>
                    <w:pStyle w:val="45"/>
                    <w:rPr>
                      <w:rFonts w:hint="default"/>
                      <w:b/>
                      <w:bCs/>
                      <w:u w:val="single"/>
                    </w:rPr>
                  </w:pPr>
                  <w:r>
                    <w:rPr>
                      <w:b/>
                      <w:bCs/>
                      <w:u w:val="single"/>
                    </w:rPr>
                    <w:t>10</w:t>
                  </w:r>
                </w:p>
              </w:tc>
              <w:tc>
                <w:tcPr>
                  <w:tcW w:w="455" w:type="pct"/>
                  <w:tcBorders>
                    <w:tl2br w:val="nil"/>
                    <w:tr2bl w:val="nil"/>
                  </w:tcBorders>
                  <w:shd w:val="clear" w:color="auto" w:fill="auto"/>
                  <w:noWrap/>
                  <w:vAlign w:val="center"/>
                </w:tcPr>
                <w:p w14:paraId="4357C650">
                  <w:pPr>
                    <w:pStyle w:val="45"/>
                    <w:rPr>
                      <w:rFonts w:hint="default"/>
                      <w:b/>
                      <w:bCs/>
                      <w:u w:val="single"/>
                    </w:rPr>
                  </w:pPr>
                  <w:r>
                    <w:rPr>
                      <w:b/>
                      <w:bCs/>
                      <w:u w:val="single"/>
                    </w:rPr>
                    <w:t>1.3</w:t>
                  </w:r>
                </w:p>
              </w:tc>
              <w:tc>
                <w:tcPr>
                  <w:tcW w:w="455" w:type="pct"/>
                  <w:tcBorders>
                    <w:tl2br w:val="nil"/>
                    <w:tr2bl w:val="nil"/>
                  </w:tcBorders>
                  <w:shd w:val="clear" w:color="auto" w:fill="auto"/>
                  <w:noWrap/>
                  <w:vAlign w:val="center"/>
                </w:tcPr>
                <w:p w14:paraId="195FC20F">
                  <w:pPr>
                    <w:pStyle w:val="45"/>
                    <w:rPr>
                      <w:rFonts w:hint="default"/>
                      <w:b/>
                      <w:bCs/>
                      <w:u w:val="single"/>
                    </w:rPr>
                  </w:pPr>
                  <w:r>
                    <w:rPr>
                      <w:b/>
                      <w:bCs/>
                      <w:u w:val="single"/>
                    </w:rPr>
                    <w:t>0.96</w:t>
                  </w:r>
                </w:p>
              </w:tc>
              <w:tc>
                <w:tcPr>
                  <w:tcW w:w="455" w:type="pct"/>
                  <w:tcBorders>
                    <w:tl2br w:val="nil"/>
                    <w:tr2bl w:val="nil"/>
                  </w:tcBorders>
                  <w:shd w:val="clear" w:color="auto" w:fill="auto"/>
                  <w:noWrap/>
                  <w:vAlign w:val="center"/>
                </w:tcPr>
                <w:p w14:paraId="09A46882">
                  <w:pPr>
                    <w:pStyle w:val="45"/>
                    <w:rPr>
                      <w:rFonts w:hint="default"/>
                      <w:b/>
                      <w:bCs/>
                      <w:u w:val="single"/>
                    </w:rPr>
                  </w:pPr>
                  <w:r>
                    <w:rPr>
                      <w:b/>
                      <w:bCs/>
                      <w:u w:val="single"/>
                    </w:rPr>
                    <w:t>1</w:t>
                  </w:r>
                </w:p>
              </w:tc>
            </w:tr>
          </w:tbl>
          <w:p w14:paraId="47F1A468">
            <w:pPr>
              <w:pStyle w:val="5"/>
              <w:ind w:firstLine="422"/>
              <w:rPr>
                <w:rFonts w:hint="default"/>
                <w:b/>
                <w:bCs/>
                <w:u w:val="single"/>
              </w:rPr>
            </w:pPr>
            <w:r>
              <w:rPr>
                <w:rFonts w:hint="default"/>
                <w:b/>
                <w:bCs/>
                <w:u w:val="single"/>
              </w:rPr>
              <w:t>根据上述数据进行计算，本项目单个氨水储罐小呼吸废气氨产生量为</w:t>
            </w:r>
            <w:r>
              <w:rPr>
                <w:b/>
                <w:bCs/>
                <w:u w:val="single"/>
              </w:rPr>
              <w:t>20.5</w:t>
            </w:r>
            <w:r>
              <w:rPr>
                <w:rFonts w:hint="default"/>
                <w:b/>
                <w:bCs/>
                <w:u w:val="single"/>
              </w:rPr>
              <w:t>kg/a，本项目共设置</w:t>
            </w:r>
            <w:r>
              <w:rPr>
                <w:b/>
                <w:bCs/>
                <w:u w:val="single"/>
              </w:rPr>
              <w:t>2</w:t>
            </w:r>
            <w:r>
              <w:rPr>
                <w:rFonts w:hint="default"/>
                <w:b/>
                <w:bCs/>
                <w:u w:val="single"/>
              </w:rPr>
              <w:t>座氨水储罐，故氨水罐区小呼吸废气氨产生量为</w:t>
            </w:r>
            <w:r>
              <w:rPr>
                <w:b/>
                <w:bCs/>
                <w:u w:val="single"/>
              </w:rPr>
              <w:t>41</w:t>
            </w:r>
            <w:r>
              <w:rPr>
                <w:rFonts w:hint="default"/>
                <w:b/>
                <w:bCs/>
                <w:u w:val="single"/>
              </w:rPr>
              <w:t>kg/a。</w:t>
            </w:r>
          </w:p>
          <w:p w14:paraId="1C3D0845">
            <w:pPr>
              <w:pStyle w:val="5"/>
              <w:ind w:firstLine="422"/>
              <w:rPr>
                <w:rFonts w:hint="default"/>
                <w:b/>
                <w:bCs/>
                <w:u w:val="single"/>
              </w:rPr>
            </w:pPr>
            <w:r>
              <w:rPr>
                <w:b/>
                <w:bCs/>
                <w:u w:val="single"/>
              </w:rPr>
              <w:t>2）大呼吸废气产生量</w:t>
            </w:r>
          </w:p>
          <w:p w14:paraId="6C730B6A">
            <w:pPr>
              <w:pStyle w:val="5"/>
              <w:ind w:firstLine="0" w:firstLineChars="0"/>
              <w:jc w:val="center"/>
              <w:rPr>
                <w:rFonts w:hint="default"/>
                <w:b/>
                <w:bCs/>
                <w:u w:val="single"/>
              </w:rPr>
            </w:pPr>
            <w:r>
              <w:rPr>
                <w:b/>
                <w:bCs/>
                <w:u w:val="single"/>
              </w:rPr>
              <w:drawing>
                <wp:inline distT="0" distB="0" distL="114300" distR="114300">
                  <wp:extent cx="2505075" cy="381000"/>
                  <wp:effectExtent l="0" t="0" r="9525"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4"/>
                          <a:stretch>
                            <a:fillRect/>
                          </a:stretch>
                        </pic:blipFill>
                        <pic:spPr>
                          <a:xfrm>
                            <a:off x="0" y="0"/>
                            <a:ext cx="2505075" cy="381000"/>
                          </a:xfrm>
                          <a:prstGeom prst="rect">
                            <a:avLst/>
                          </a:prstGeom>
                          <a:noFill/>
                          <a:ln>
                            <a:noFill/>
                          </a:ln>
                        </pic:spPr>
                      </pic:pic>
                    </a:graphicData>
                  </a:graphic>
                </wp:inline>
              </w:drawing>
            </w:r>
          </w:p>
          <w:p w14:paraId="1489E53C">
            <w:pPr>
              <w:pStyle w:val="5"/>
              <w:ind w:firstLine="422"/>
              <w:rPr>
                <w:rFonts w:hint="default"/>
                <w:b/>
                <w:bCs/>
                <w:u w:val="single"/>
              </w:rPr>
            </w:pPr>
            <w:r>
              <w:rPr>
                <w:rFonts w:hint="default"/>
                <w:b/>
                <w:bCs/>
                <w:u w:val="single"/>
              </w:rPr>
              <w:t>L</w:t>
            </w:r>
            <w:r>
              <w:rPr>
                <w:rFonts w:hint="default"/>
                <w:b/>
                <w:bCs/>
                <w:u w:val="single"/>
                <w:vertAlign w:val="subscript"/>
              </w:rPr>
              <w:t>W</w:t>
            </w:r>
            <w:r>
              <w:rPr>
                <w:rFonts w:hint="default"/>
                <w:b/>
                <w:bCs/>
                <w:u w:val="single"/>
              </w:rPr>
              <w:t>—</w:t>
            </w:r>
            <w:r>
              <w:rPr>
                <w:b/>
                <w:bCs/>
                <w:u w:val="single"/>
              </w:rPr>
              <w:t>固定顶罐的工作损失（kg/a）</w:t>
            </w:r>
            <w:r>
              <w:rPr>
                <w:rFonts w:hint="default"/>
                <w:b/>
                <w:bCs/>
                <w:u w:val="single"/>
              </w:rPr>
              <w:t>；</w:t>
            </w:r>
          </w:p>
          <w:p w14:paraId="092BEEDD">
            <w:pPr>
              <w:pStyle w:val="5"/>
              <w:ind w:firstLine="422"/>
              <w:rPr>
                <w:rFonts w:hint="default"/>
                <w:b/>
                <w:bCs/>
                <w:u w:val="single"/>
              </w:rPr>
            </w:pPr>
            <w:r>
              <w:rPr>
                <w:b/>
                <w:bCs/>
                <w:u w:val="single"/>
              </w:rPr>
              <w:t>Q—储罐年周转量（m</w:t>
            </w:r>
            <w:r>
              <w:rPr>
                <w:b/>
                <w:bCs/>
                <w:u w:val="single"/>
                <w:vertAlign w:val="superscript"/>
              </w:rPr>
              <w:t>3</w:t>
            </w:r>
            <w:r>
              <w:rPr>
                <w:b/>
                <w:bCs/>
                <w:u w:val="single"/>
              </w:rPr>
              <w:t>/a）</w:t>
            </w:r>
          </w:p>
          <w:p w14:paraId="7577535F">
            <w:pPr>
              <w:pStyle w:val="5"/>
              <w:ind w:firstLine="422"/>
              <w:rPr>
                <w:rFonts w:hint="default"/>
                <w:b/>
                <w:bCs/>
                <w:u w:val="single"/>
              </w:rPr>
            </w:pPr>
            <w:r>
              <w:rPr>
                <w:rFonts w:hint="default"/>
                <w:b/>
                <w:bCs/>
                <w:u w:val="single"/>
              </w:rPr>
              <w:t xml:space="preserve">M—储罐内蒸气的分子量； </w:t>
            </w:r>
          </w:p>
          <w:p w14:paraId="7DC66176">
            <w:pPr>
              <w:pStyle w:val="5"/>
              <w:ind w:firstLine="422"/>
              <w:rPr>
                <w:rFonts w:hint="default"/>
                <w:b/>
                <w:bCs/>
                <w:u w:val="single"/>
              </w:rPr>
            </w:pPr>
            <w:r>
              <w:rPr>
                <w:rFonts w:hint="default"/>
                <w:b/>
                <w:bCs/>
                <w:u w:val="single"/>
              </w:rPr>
              <w:t xml:space="preserve">P—在大量液体状态下，真实的蒸气压力（Pa）； </w:t>
            </w:r>
          </w:p>
          <w:p w14:paraId="3E95F91C">
            <w:pPr>
              <w:pStyle w:val="5"/>
              <w:ind w:firstLine="422"/>
              <w:rPr>
                <w:rFonts w:hint="default"/>
                <w:b/>
                <w:bCs/>
                <w:u w:val="single"/>
              </w:rPr>
            </w:pPr>
            <w:r>
              <w:rPr>
                <w:rFonts w:hint="default"/>
                <w:b/>
                <w:bCs/>
                <w:u w:val="single"/>
              </w:rPr>
              <w:t>K</w:t>
            </w:r>
            <w:r>
              <w:rPr>
                <w:rFonts w:hint="default"/>
                <w:b/>
                <w:bCs/>
                <w:u w:val="single"/>
                <w:vertAlign w:val="subscript"/>
              </w:rPr>
              <w:t>N</w:t>
            </w:r>
            <w:r>
              <w:rPr>
                <w:rFonts w:hint="default"/>
                <w:b/>
                <w:bCs/>
                <w:u w:val="single"/>
              </w:rPr>
              <w:t>—周转因子（无量纲），取值按年周转次数（K）确定。K≤36，K</w:t>
            </w:r>
            <w:r>
              <w:rPr>
                <w:rFonts w:hint="default"/>
                <w:b/>
                <w:bCs/>
                <w:u w:val="single"/>
                <w:vertAlign w:val="subscript"/>
              </w:rPr>
              <w:t>N</w:t>
            </w:r>
            <w:r>
              <w:rPr>
                <w:rFonts w:hint="default"/>
                <w:b/>
                <w:bCs/>
                <w:u w:val="single"/>
              </w:rPr>
              <w:t>=1；</w:t>
            </w:r>
            <w:r>
              <w:rPr>
                <w:b/>
                <w:bCs/>
                <w:u w:val="single"/>
              </w:rPr>
              <w:t>36＜K≤220，K</w:t>
            </w:r>
            <w:r>
              <w:rPr>
                <w:b/>
                <w:bCs/>
                <w:u w:val="single"/>
                <w:vertAlign w:val="subscript"/>
              </w:rPr>
              <w:t>N</w:t>
            </w:r>
            <w:r>
              <w:rPr>
                <w:b/>
                <w:bCs/>
                <w:u w:val="single"/>
              </w:rPr>
              <w:t>=11.467×K</w:t>
            </w:r>
            <w:r>
              <w:rPr>
                <w:b/>
                <w:bCs/>
                <w:u w:val="single"/>
                <w:vertAlign w:val="superscript"/>
              </w:rPr>
              <w:t>-0.7026</w:t>
            </w:r>
            <w:r>
              <w:rPr>
                <w:b/>
                <w:bCs/>
                <w:u w:val="single"/>
              </w:rPr>
              <w:t>；K＞220，K</w:t>
            </w:r>
            <w:r>
              <w:rPr>
                <w:b/>
                <w:bCs/>
                <w:u w:val="single"/>
                <w:vertAlign w:val="subscript"/>
              </w:rPr>
              <w:t>N</w:t>
            </w:r>
            <w:r>
              <w:rPr>
                <w:b/>
                <w:bCs/>
                <w:u w:val="single"/>
              </w:rPr>
              <w:t>=0.26</w:t>
            </w:r>
          </w:p>
          <w:p w14:paraId="1A8269C9">
            <w:pPr>
              <w:pStyle w:val="5"/>
              <w:ind w:firstLine="422"/>
              <w:rPr>
                <w:rFonts w:hint="default"/>
                <w:b/>
                <w:bCs/>
                <w:u w:val="single"/>
              </w:rPr>
            </w:pPr>
            <w:r>
              <w:rPr>
                <w:rFonts w:hint="default"/>
                <w:b/>
                <w:bCs/>
                <w:u w:val="single"/>
              </w:rPr>
              <w:t>K</w:t>
            </w:r>
            <w:r>
              <w:rPr>
                <w:rFonts w:hint="default"/>
                <w:b/>
                <w:bCs/>
                <w:u w:val="single"/>
                <w:vertAlign w:val="subscript"/>
              </w:rPr>
              <w:t>C</w:t>
            </w:r>
            <w:r>
              <w:rPr>
                <w:rFonts w:hint="default"/>
                <w:b/>
                <w:bCs/>
                <w:u w:val="single"/>
              </w:rPr>
              <w:t>—产品因子（有机液体取 1.0，本环评参考该值）；</w:t>
            </w:r>
          </w:p>
          <w:p w14:paraId="182109DB">
            <w:pPr>
              <w:pStyle w:val="5"/>
              <w:ind w:firstLine="422"/>
              <w:rPr>
                <w:rFonts w:hint="default"/>
                <w:b/>
                <w:bCs/>
                <w:u w:val="single"/>
              </w:rPr>
            </w:pPr>
            <w:r>
              <w:rPr>
                <w:rFonts w:hint="default"/>
                <w:b/>
                <w:bCs/>
                <w:u w:val="single"/>
              </w:rPr>
              <w:t>本项目</w:t>
            </w:r>
            <w:r>
              <w:rPr>
                <w:b/>
                <w:bCs/>
                <w:u w:val="single"/>
              </w:rPr>
              <w:t>氨水</w:t>
            </w:r>
            <w:r>
              <w:rPr>
                <w:rFonts w:hint="default"/>
                <w:b/>
                <w:bCs/>
                <w:u w:val="single"/>
              </w:rPr>
              <w:t>装卸量为</w:t>
            </w:r>
            <w:r>
              <w:rPr>
                <w:b/>
                <w:bCs/>
                <w:u w:val="single"/>
              </w:rPr>
              <w:t>4538</w:t>
            </w:r>
            <w:r>
              <w:rPr>
                <w:rFonts w:hint="default"/>
                <w:b/>
                <w:bCs/>
                <w:u w:val="single"/>
              </w:rPr>
              <w:t>t/a（</w:t>
            </w:r>
            <w:r>
              <w:rPr>
                <w:b/>
                <w:bCs/>
                <w:u w:val="single"/>
              </w:rPr>
              <w:t>4879</w:t>
            </w:r>
            <w:r>
              <w:rPr>
                <w:rFonts w:hint="default"/>
                <w:b/>
                <w:bCs/>
                <w:u w:val="single"/>
              </w:rPr>
              <w:t>m</w:t>
            </w:r>
            <w:r>
              <w:rPr>
                <w:rFonts w:hint="default"/>
                <w:b/>
                <w:bCs/>
                <w:u w:val="single"/>
                <w:vertAlign w:val="superscript"/>
              </w:rPr>
              <w:t>3</w:t>
            </w:r>
            <w:r>
              <w:rPr>
                <w:rFonts w:hint="default"/>
                <w:b/>
                <w:bCs/>
                <w:u w:val="single"/>
              </w:rPr>
              <w:t>/a</w:t>
            </w:r>
            <w:r>
              <w:rPr>
                <w:b/>
                <w:bCs/>
                <w:u w:val="single"/>
              </w:rPr>
              <w:t>，18%氨水密度为0.930 t/m</w:t>
            </w:r>
            <w:r>
              <w:rPr>
                <w:b/>
                <w:bCs/>
                <w:u w:val="single"/>
                <w:vertAlign w:val="superscript"/>
              </w:rPr>
              <w:t>3</w:t>
            </w:r>
            <w:r>
              <w:rPr>
                <w:rFonts w:hint="default"/>
                <w:b/>
                <w:bCs/>
                <w:u w:val="single"/>
              </w:rPr>
              <w:t>），氨水周转次数为</w:t>
            </w:r>
            <w:r>
              <w:rPr>
                <w:b/>
                <w:bCs/>
                <w:u w:val="single"/>
              </w:rPr>
              <w:t>33</w:t>
            </w:r>
            <w:r>
              <w:rPr>
                <w:rFonts w:hint="default"/>
                <w:b/>
                <w:bCs/>
                <w:u w:val="single"/>
              </w:rPr>
              <w:t>次。</w:t>
            </w:r>
          </w:p>
          <w:p w14:paraId="4683D520">
            <w:pPr>
              <w:pStyle w:val="44"/>
              <w:rPr>
                <w:rFonts w:hint="default"/>
                <w:b/>
                <w:bCs/>
                <w:u w:val="single"/>
              </w:rPr>
            </w:pPr>
            <w:r>
              <w:rPr>
                <w:b/>
                <w:bCs/>
                <w:u w:val="single"/>
              </w:rPr>
              <w:t xml:space="preserve">表4-3  </w:t>
            </w:r>
            <w:r>
              <w:rPr>
                <w:rFonts w:hint="default"/>
                <w:b/>
                <w:bCs/>
                <w:u w:val="single"/>
              </w:rPr>
              <w:t>本项目储罐大呼吸计算取值一览表</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74"/>
              <w:gridCol w:w="918"/>
              <w:gridCol w:w="918"/>
              <w:gridCol w:w="918"/>
              <w:gridCol w:w="918"/>
              <w:gridCol w:w="920"/>
              <w:gridCol w:w="920"/>
              <w:gridCol w:w="920"/>
            </w:tblGrid>
            <w:tr w14:paraId="4DA2896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83" w:type="dxa"/>
                  <w:tcBorders>
                    <w:tl2br w:val="nil"/>
                    <w:tr2bl w:val="nil"/>
                  </w:tcBorders>
                  <w:shd w:val="clear" w:color="auto" w:fill="auto"/>
                  <w:noWrap/>
                  <w:vAlign w:val="center"/>
                </w:tcPr>
                <w:p w14:paraId="4A93F9CD">
                  <w:pPr>
                    <w:pStyle w:val="45"/>
                    <w:rPr>
                      <w:rFonts w:hint="default"/>
                      <w:b/>
                      <w:bCs/>
                      <w:u w:val="single"/>
                    </w:rPr>
                  </w:pPr>
                  <w:r>
                    <w:rPr>
                      <w:b/>
                      <w:bCs/>
                      <w:u w:val="single"/>
                    </w:rPr>
                    <w:t>储罐类型</w:t>
                  </w:r>
                </w:p>
              </w:tc>
              <w:tc>
                <w:tcPr>
                  <w:tcW w:w="883" w:type="dxa"/>
                  <w:tcBorders>
                    <w:tl2br w:val="nil"/>
                    <w:tr2bl w:val="nil"/>
                  </w:tcBorders>
                  <w:shd w:val="clear" w:color="auto" w:fill="auto"/>
                  <w:noWrap/>
                  <w:vAlign w:val="center"/>
                </w:tcPr>
                <w:p w14:paraId="29E30AC3">
                  <w:pPr>
                    <w:pStyle w:val="45"/>
                    <w:rPr>
                      <w:rFonts w:hint="default"/>
                      <w:b/>
                      <w:bCs/>
                      <w:u w:val="single"/>
                    </w:rPr>
                  </w:pPr>
                  <w:r>
                    <w:rPr>
                      <w:b/>
                      <w:bCs/>
                      <w:u w:val="single"/>
                    </w:rPr>
                    <w:t>储罐容积</w:t>
                  </w:r>
                </w:p>
              </w:tc>
              <w:tc>
                <w:tcPr>
                  <w:tcW w:w="883" w:type="dxa"/>
                  <w:tcBorders>
                    <w:tl2br w:val="nil"/>
                    <w:tr2bl w:val="nil"/>
                  </w:tcBorders>
                  <w:shd w:val="clear" w:color="auto" w:fill="auto"/>
                  <w:noWrap/>
                  <w:vAlign w:val="center"/>
                </w:tcPr>
                <w:p w14:paraId="062093CA">
                  <w:pPr>
                    <w:pStyle w:val="45"/>
                    <w:rPr>
                      <w:rFonts w:hint="default"/>
                      <w:b/>
                      <w:bCs/>
                      <w:u w:val="single"/>
                    </w:rPr>
                  </w:pPr>
                  <w:r>
                    <w:rPr>
                      <w:b/>
                      <w:bCs/>
                      <w:u w:val="single"/>
                    </w:rPr>
                    <w:t>周转次数</w:t>
                  </w:r>
                </w:p>
              </w:tc>
              <w:tc>
                <w:tcPr>
                  <w:tcW w:w="883" w:type="dxa"/>
                  <w:tcBorders>
                    <w:tl2br w:val="nil"/>
                    <w:tr2bl w:val="nil"/>
                  </w:tcBorders>
                  <w:shd w:val="clear" w:color="auto" w:fill="auto"/>
                  <w:noWrap/>
                  <w:vAlign w:val="center"/>
                </w:tcPr>
                <w:p w14:paraId="2AD261A9">
                  <w:pPr>
                    <w:pStyle w:val="45"/>
                    <w:rPr>
                      <w:rFonts w:hint="default"/>
                      <w:b/>
                      <w:bCs/>
                      <w:u w:val="single"/>
                    </w:rPr>
                  </w:pPr>
                  <w:r>
                    <w:rPr>
                      <w:b/>
                      <w:bCs/>
                      <w:u w:val="single"/>
                    </w:rPr>
                    <w:t>Q</w:t>
                  </w:r>
                </w:p>
              </w:tc>
              <w:tc>
                <w:tcPr>
                  <w:tcW w:w="883" w:type="dxa"/>
                  <w:tcBorders>
                    <w:tl2br w:val="nil"/>
                    <w:tr2bl w:val="nil"/>
                  </w:tcBorders>
                  <w:shd w:val="clear" w:color="auto" w:fill="auto"/>
                  <w:noWrap/>
                  <w:vAlign w:val="center"/>
                </w:tcPr>
                <w:p w14:paraId="63F9497D">
                  <w:pPr>
                    <w:pStyle w:val="45"/>
                    <w:rPr>
                      <w:rFonts w:hint="default"/>
                      <w:b/>
                      <w:bCs/>
                      <w:u w:val="single"/>
                    </w:rPr>
                  </w:pPr>
                  <w:r>
                    <w:rPr>
                      <w:b/>
                      <w:bCs/>
                      <w:u w:val="single"/>
                    </w:rPr>
                    <w:t>M</w:t>
                  </w:r>
                </w:p>
              </w:tc>
              <w:tc>
                <w:tcPr>
                  <w:tcW w:w="884" w:type="dxa"/>
                  <w:tcBorders>
                    <w:tl2br w:val="nil"/>
                    <w:tr2bl w:val="nil"/>
                  </w:tcBorders>
                  <w:shd w:val="clear" w:color="auto" w:fill="auto"/>
                  <w:noWrap/>
                  <w:vAlign w:val="center"/>
                </w:tcPr>
                <w:p w14:paraId="6D8529FB">
                  <w:pPr>
                    <w:pStyle w:val="45"/>
                    <w:rPr>
                      <w:rFonts w:hint="default"/>
                      <w:b/>
                      <w:bCs/>
                      <w:u w:val="single"/>
                    </w:rPr>
                  </w:pPr>
                  <w:r>
                    <w:rPr>
                      <w:b/>
                      <w:bCs/>
                      <w:u w:val="single"/>
                    </w:rPr>
                    <w:t>P</w:t>
                  </w:r>
                </w:p>
              </w:tc>
              <w:tc>
                <w:tcPr>
                  <w:tcW w:w="884" w:type="dxa"/>
                  <w:tcBorders>
                    <w:tl2br w:val="nil"/>
                    <w:tr2bl w:val="nil"/>
                  </w:tcBorders>
                  <w:shd w:val="clear" w:color="auto" w:fill="auto"/>
                  <w:noWrap/>
                  <w:vAlign w:val="center"/>
                </w:tcPr>
                <w:p w14:paraId="28A87FC4">
                  <w:pPr>
                    <w:pStyle w:val="45"/>
                    <w:rPr>
                      <w:rFonts w:hint="default"/>
                      <w:b/>
                      <w:bCs/>
                      <w:u w:val="single"/>
                    </w:rPr>
                  </w:pPr>
                  <w:r>
                    <w:rPr>
                      <w:b/>
                      <w:bCs/>
                      <w:u w:val="single"/>
                    </w:rPr>
                    <w:t>K</w:t>
                  </w:r>
                  <w:r>
                    <w:rPr>
                      <w:b/>
                      <w:bCs/>
                      <w:u w:val="single"/>
                      <w:vertAlign w:val="subscript"/>
                    </w:rPr>
                    <w:t>N</w:t>
                  </w:r>
                </w:p>
              </w:tc>
              <w:tc>
                <w:tcPr>
                  <w:tcW w:w="884" w:type="dxa"/>
                  <w:tcBorders>
                    <w:tl2br w:val="nil"/>
                    <w:tr2bl w:val="nil"/>
                  </w:tcBorders>
                  <w:shd w:val="clear" w:color="auto" w:fill="auto"/>
                  <w:noWrap/>
                  <w:vAlign w:val="center"/>
                </w:tcPr>
                <w:p w14:paraId="633A4629">
                  <w:pPr>
                    <w:pStyle w:val="45"/>
                    <w:rPr>
                      <w:rFonts w:hint="default"/>
                      <w:b/>
                      <w:bCs/>
                      <w:u w:val="single"/>
                    </w:rPr>
                  </w:pPr>
                  <w:r>
                    <w:rPr>
                      <w:b/>
                      <w:bCs/>
                      <w:u w:val="single"/>
                    </w:rPr>
                    <w:t>K</w:t>
                  </w:r>
                  <w:r>
                    <w:rPr>
                      <w:b/>
                      <w:bCs/>
                      <w:u w:val="single"/>
                      <w:vertAlign w:val="subscript"/>
                    </w:rPr>
                    <w:t>C</w:t>
                  </w:r>
                </w:p>
              </w:tc>
            </w:tr>
            <w:tr w14:paraId="7894A35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6" w:type="dxa"/>
                  <w:tcBorders>
                    <w:tl2br w:val="nil"/>
                    <w:tr2bl w:val="nil"/>
                  </w:tcBorders>
                  <w:shd w:val="clear" w:color="auto" w:fill="auto"/>
                  <w:noWrap/>
                  <w:vAlign w:val="center"/>
                </w:tcPr>
                <w:p w14:paraId="6F7F286F">
                  <w:pPr>
                    <w:pStyle w:val="45"/>
                    <w:rPr>
                      <w:rFonts w:hint="default"/>
                      <w:b/>
                      <w:bCs/>
                      <w:u w:val="single"/>
                    </w:rPr>
                  </w:pPr>
                  <w:r>
                    <w:rPr>
                      <w:b/>
                      <w:bCs/>
                      <w:u w:val="single"/>
                    </w:rPr>
                    <w:t>氨水储罐</w:t>
                  </w:r>
                </w:p>
              </w:tc>
              <w:tc>
                <w:tcPr>
                  <w:tcW w:w="883" w:type="dxa"/>
                  <w:tcBorders>
                    <w:tl2br w:val="nil"/>
                    <w:tr2bl w:val="nil"/>
                  </w:tcBorders>
                  <w:shd w:val="clear" w:color="auto" w:fill="auto"/>
                  <w:noWrap/>
                  <w:vAlign w:val="center"/>
                </w:tcPr>
                <w:p w14:paraId="7C3F249B">
                  <w:pPr>
                    <w:pStyle w:val="45"/>
                    <w:rPr>
                      <w:rFonts w:hint="default"/>
                      <w:b/>
                      <w:bCs/>
                      <w:u w:val="single"/>
                    </w:rPr>
                  </w:pPr>
                  <w:r>
                    <w:rPr>
                      <w:b/>
                      <w:bCs/>
                      <w:u w:val="single"/>
                    </w:rPr>
                    <w:t>150</w:t>
                  </w:r>
                </w:p>
              </w:tc>
              <w:tc>
                <w:tcPr>
                  <w:tcW w:w="883" w:type="dxa"/>
                  <w:tcBorders>
                    <w:tl2br w:val="nil"/>
                    <w:tr2bl w:val="nil"/>
                  </w:tcBorders>
                  <w:shd w:val="clear" w:color="auto" w:fill="auto"/>
                  <w:noWrap/>
                  <w:vAlign w:val="center"/>
                </w:tcPr>
                <w:p w14:paraId="1D6C38EF">
                  <w:pPr>
                    <w:pStyle w:val="45"/>
                    <w:rPr>
                      <w:rFonts w:hint="default"/>
                      <w:b/>
                      <w:bCs/>
                      <w:u w:val="single"/>
                    </w:rPr>
                  </w:pPr>
                  <w:r>
                    <w:rPr>
                      <w:b/>
                      <w:bCs/>
                      <w:u w:val="single"/>
                    </w:rPr>
                    <w:t>33</w:t>
                  </w:r>
                </w:p>
              </w:tc>
              <w:tc>
                <w:tcPr>
                  <w:tcW w:w="883" w:type="dxa"/>
                  <w:tcBorders>
                    <w:tl2br w:val="nil"/>
                    <w:tr2bl w:val="nil"/>
                  </w:tcBorders>
                  <w:shd w:val="clear" w:color="auto" w:fill="auto"/>
                  <w:noWrap/>
                  <w:vAlign w:val="center"/>
                </w:tcPr>
                <w:p w14:paraId="5BD0EE95">
                  <w:pPr>
                    <w:pStyle w:val="45"/>
                    <w:rPr>
                      <w:rFonts w:hint="default"/>
                      <w:b/>
                      <w:bCs/>
                      <w:u w:val="single"/>
                    </w:rPr>
                  </w:pPr>
                  <w:r>
                    <w:rPr>
                      <w:b/>
                      <w:bCs/>
                      <w:u w:val="single"/>
                    </w:rPr>
                    <w:t xml:space="preserve">4879 </w:t>
                  </w:r>
                </w:p>
              </w:tc>
              <w:tc>
                <w:tcPr>
                  <w:tcW w:w="883" w:type="dxa"/>
                  <w:tcBorders>
                    <w:tl2br w:val="nil"/>
                    <w:tr2bl w:val="nil"/>
                  </w:tcBorders>
                  <w:shd w:val="clear" w:color="auto" w:fill="auto"/>
                  <w:noWrap/>
                  <w:vAlign w:val="center"/>
                </w:tcPr>
                <w:p w14:paraId="795DA816">
                  <w:pPr>
                    <w:pStyle w:val="45"/>
                    <w:rPr>
                      <w:rFonts w:hint="default"/>
                      <w:b/>
                      <w:bCs/>
                      <w:u w:val="single"/>
                    </w:rPr>
                  </w:pPr>
                  <w:r>
                    <w:rPr>
                      <w:b/>
                      <w:bCs/>
                      <w:u w:val="single"/>
                    </w:rPr>
                    <w:t>17</w:t>
                  </w:r>
                </w:p>
              </w:tc>
              <w:tc>
                <w:tcPr>
                  <w:tcW w:w="884" w:type="dxa"/>
                  <w:tcBorders>
                    <w:tl2br w:val="nil"/>
                    <w:tr2bl w:val="nil"/>
                  </w:tcBorders>
                  <w:shd w:val="clear" w:color="auto" w:fill="auto"/>
                  <w:noWrap/>
                  <w:vAlign w:val="center"/>
                </w:tcPr>
                <w:p w14:paraId="19064BA8">
                  <w:pPr>
                    <w:pStyle w:val="45"/>
                    <w:rPr>
                      <w:rFonts w:hint="default"/>
                      <w:b/>
                      <w:bCs/>
                      <w:u w:val="single"/>
                    </w:rPr>
                  </w:pPr>
                  <w:r>
                    <w:rPr>
                      <w:b/>
                      <w:bCs/>
                      <w:u w:val="single"/>
                    </w:rPr>
                    <w:t>1590</w:t>
                  </w:r>
                </w:p>
              </w:tc>
              <w:tc>
                <w:tcPr>
                  <w:tcW w:w="884" w:type="dxa"/>
                  <w:tcBorders>
                    <w:tl2br w:val="nil"/>
                    <w:tr2bl w:val="nil"/>
                  </w:tcBorders>
                  <w:shd w:val="clear" w:color="auto" w:fill="auto"/>
                  <w:noWrap/>
                  <w:vAlign w:val="center"/>
                </w:tcPr>
                <w:p w14:paraId="219122A8">
                  <w:pPr>
                    <w:pStyle w:val="45"/>
                    <w:rPr>
                      <w:rFonts w:hint="default"/>
                      <w:b/>
                      <w:bCs/>
                      <w:u w:val="single"/>
                    </w:rPr>
                  </w:pPr>
                  <w:r>
                    <w:rPr>
                      <w:b/>
                      <w:bCs/>
                      <w:u w:val="single"/>
                    </w:rPr>
                    <w:t>1</w:t>
                  </w:r>
                </w:p>
              </w:tc>
              <w:tc>
                <w:tcPr>
                  <w:tcW w:w="884" w:type="dxa"/>
                  <w:tcBorders>
                    <w:tl2br w:val="nil"/>
                    <w:tr2bl w:val="nil"/>
                  </w:tcBorders>
                  <w:shd w:val="clear" w:color="auto" w:fill="auto"/>
                  <w:noWrap/>
                  <w:vAlign w:val="center"/>
                </w:tcPr>
                <w:p w14:paraId="57EB4A77">
                  <w:pPr>
                    <w:pStyle w:val="45"/>
                    <w:rPr>
                      <w:rFonts w:hint="default"/>
                      <w:b/>
                      <w:bCs/>
                      <w:u w:val="single"/>
                    </w:rPr>
                  </w:pPr>
                  <w:r>
                    <w:rPr>
                      <w:b/>
                      <w:bCs/>
                      <w:u w:val="single"/>
                    </w:rPr>
                    <w:t>1</w:t>
                  </w:r>
                </w:p>
              </w:tc>
            </w:tr>
          </w:tbl>
          <w:p w14:paraId="794B91A7">
            <w:pPr>
              <w:pStyle w:val="5"/>
              <w:ind w:firstLine="422"/>
              <w:rPr>
                <w:rFonts w:hint="default"/>
                <w:b/>
                <w:bCs/>
                <w:u w:val="single"/>
              </w:rPr>
            </w:pPr>
            <w:r>
              <w:rPr>
                <w:rFonts w:hint="default"/>
                <w:b/>
                <w:bCs/>
                <w:u w:val="single"/>
              </w:rPr>
              <w:t>根据上述数据进行计算，本项目氨水大呼吸废气氨产生量为</w:t>
            </w:r>
            <w:r>
              <w:rPr>
                <w:b/>
                <w:bCs/>
                <w:u w:val="single"/>
              </w:rPr>
              <w:t>55kg/a。</w:t>
            </w:r>
          </w:p>
          <w:p w14:paraId="631FAB7A">
            <w:pPr>
              <w:pStyle w:val="5"/>
              <w:ind w:firstLine="422"/>
              <w:rPr>
                <w:rFonts w:hint="default"/>
                <w:b/>
                <w:bCs/>
                <w:u w:val="single"/>
              </w:rPr>
            </w:pPr>
            <w:r>
              <w:rPr>
                <w:rFonts w:hint="default"/>
                <w:b/>
                <w:bCs/>
                <w:u w:val="single"/>
              </w:rPr>
              <w:t>根据计算，</w:t>
            </w:r>
            <w:r>
              <w:rPr>
                <w:b/>
                <w:bCs/>
                <w:u w:val="single"/>
              </w:rPr>
              <w:t>氨水储罐“大小呼吸”废气产生量0.096</w:t>
            </w:r>
            <w:r>
              <w:rPr>
                <w:rFonts w:hint="default"/>
                <w:b/>
                <w:bCs/>
                <w:u w:val="single"/>
              </w:rPr>
              <w:t>t/a</w:t>
            </w:r>
            <w:r>
              <w:rPr>
                <w:b/>
                <w:bCs/>
                <w:u w:val="single"/>
              </w:rPr>
              <w:t>。</w:t>
            </w:r>
            <w:r>
              <w:rPr>
                <w:rFonts w:hint="default"/>
                <w:b/>
                <w:bCs/>
                <w:u w:val="single"/>
              </w:rPr>
              <w:t>工程将</w:t>
            </w:r>
            <w:r>
              <w:rPr>
                <w:b/>
                <w:bCs/>
                <w:u w:val="single"/>
              </w:rPr>
              <w:t>氨水储罐“大小呼吸”废气</w:t>
            </w:r>
            <w:r>
              <w:rPr>
                <w:rFonts w:hint="default"/>
                <w:b/>
                <w:bCs/>
                <w:u w:val="single"/>
              </w:rPr>
              <w:t>送至</w:t>
            </w:r>
            <w:r>
              <w:rPr>
                <w:b/>
                <w:bCs/>
                <w:u w:val="single"/>
              </w:rPr>
              <w:t>制三级喷淋吸收塔进行吸收处理。</w:t>
            </w:r>
          </w:p>
          <w:p w14:paraId="5102523E">
            <w:pPr>
              <w:pStyle w:val="5"/>
              <w:ind w:left="420" w:leftChars="200" w:firstLine="0" w:firstLineChars="0"/>
              <w:rPr>
                <w:rFonts w:hint="default"/>
                <w:b/>
                <w:bCs/>
                <w:u w:val="single"/>
              </w:rPr>
            </w:pPr>
            <w:r>
              <w:rPr>
                <w:b/>
                <w:bCs/>
                <w:u w:val="single"/>
              </w:rPr>
              <w:t>（3）氨提纯废气</w:t>
            </w:r>
          </w:p>
          <w:p w14:paraId="6119F614">
            <w:pPr>
              <w:pStyle w:val="5"/>
              <w:ind w:firstLine="422"/>
              <w:rPr>
                <w:rFonts w:hint="default"/>
                <w:b/>
                <w:bCs/>
                <w:u w:val="single"/>
                <w:vertAlign w:val="subscript"/>
              </w:rPr>
            </w:pPr>
            <w:r>
              <w:rPr>
                <w:rFonts w:hint="default"/>
                <w:b/>
                <w:bCs/>
                <w:u w:val="single"/>
              </w:rPr>
              <w:t>根据</w:t>
            </w:r>
            <w:r>
              <w:rPr>
                <w:b/>
                <w:bCs/>
                <w:u w:val="single"/>
              </w:rPr>
              <w:t>项目设计方案，超纯氨提纯生产收率不低于</w:t>
            </w:r>
            <w:r>
              <w:rPr>
                <w:rFonts w:hint="eastAsia"/>
                <w:b/>
                <w:bCs/>
                <w:u w:val="single"/>
                <w:lang w:val="en-US" w:eastAsia="zh-CN"/>
              </w:rPr>
              <w:t>88</w:t>
            </w:r>
            <w:r>
              <w:rPr>
                <w:b/>
                <w:bCs/>
                <w:u w:val="single"/>
              </w:rPr>
              <w:t>%（本次评价按</w:t>
            </w:r>
            <w:r>
              <w:rPr>
                <w:rFonts w:hint="eastAsia"/>
                <w:b/>
                <w:bCs/>
                <w:u w:val="single"/>
                <w:lang w:val="en-US" w:eastAsia="zh-CN"/>
              </w:rPr>
              <w:t>88</w:t>
            </w:r>
            <w:r>
              <w:rPr>
                <w:b/>
                <w:bCs/>
                <w:u w:val="single"/>
              </w:rPr>
              <w:t>%计算）</w:t>
            </w:r>
            <w:r>
              <w:rPr>
                <w:rFonts w:hint="default"/>
                <w:b/>
                <w:bCs/>
                <w:u w:val="single"/>
              </w:rPr>
              <w:t>，</w:t>
            </w:r>
            <w:r>
              <w:rPr>
                <w:b/>
                <w:bCs/>
                <w:u w:val="single"/>
              </w:rPr>
              <w:t>则</w:t>
            </w:r>
            <w:r>
              <w:rPr>
                <w:rFonts w:hint="default"/>
                <w:b/>
                <w:bCs/>
                <w:u w:val="single"/>
              </w:rPr>
              <w:t>液氨提纯废气</w:t>
            </w:r>
            <w:r>
              <w:rPr>
                <w:b/>
                <w:bCs/>
                <w:u w:val="single"/>
              </w:rPr>
              <w:t>排放量为</w:t>
            </w:r>
            <w:r>
              <w:rPr>
                <w:rFonts w:hint="eastAsia"/>
                <w:b/>
                <w:bCs/>
                <w:u w:val="single"/>
                <w:lang w:val="en-US" w:eastAsia="zh-CN"/>
              </w:rPr>
              <w:t>818</w:t>
            </w:r>
            <w:r>
              <w:rPr>
                <w:b/>
                <w:bCs/>
                <w:u w:val="single"/>
              </w:rPr>
              <w:t>t/a（氨含量为</w:t>
            </w:r>
            <w:r>
              <w:rPr>
                <w:rFonts w:hint="eastAsia"/>
                <w:b/>
                <w:bCs/>
                <w:u w:val="single"/>
                <w:lang w:val="en-US" w:eastAsia="zh-CN"/>
              </w:rPr>
              <w:t>99.17</w:t>
            </w:r>
            <w:r>
              <w:rPr>
                <w:b/>
                <w:bCs/>
                <w:u w:val="single"/>
              </w:rPr>
              <w:t>%，即</w:t>
            </w:r>
            <w:r>
              <w:rPr>
                <w:rFonts w:hint="eastAsia"/>
                <w:b/>
                <w:bCs/>
                <w:u w:val="single"/>
                <w:lang w:val="en-US" w:eastAsia="zh-CN"/>
              </w:rPr>
              <w:t>811.1856</w:t>
            </w:r>
            <w:r>
              <w:rPr>
                <w:b/>
                <w:bCs/>
                <w:u w:val="single"/>
              </w:rPr>
              <w:t>t/a），全部去氨水生产系统，经两级吸氨器吸收制备氨水，两级吸氨器氨吸收效率按99%计算，则两级超级吸氨器氨吸收量为</w:t>
            </w:r>
            <w:r>
              <w:rPr>
                <w:rFonts w:hint="eastAsia"/>
                <w:b/>
                <w:bCs/>
                <w:u w:val="single"/>
                <w:lang w:val="en-US" w:eastAsia="zh-CN"/>
              </w:rPr>
              <w:t>803.07</w:t>
            </w:r>
            <w:r>
              <w:rPr>
                <w:b/>
                <w:bCs/>
                <w:u w:val="single"/>
              </w:rPr>
              <w:t>t/a；吸氨器尾气及储罐呼吸废气接入三级喷淋吸收塔进行尾气吸收，</w:t>
            </w:r>
            <w:r>
              <w:rPr>
                <w:rFonts w:hint="eastAsia"/>
                <w:b/>
                <w:bCs/>
                <w:u w:val="single"/>
                <w:lang w:eastAsia="zh-CN"/>
              </w:rPr>
              <w:t>根据《废气处理工程技术手册》（张殿印），采用水吸收低浓度氨气效率不低于</w:t>
            </w:r>
            <w:r>
              <w:rPr>
                <w:rFonts w:hint="eastAsia"/>
                <w:b/>
                <w:bCs/>
                <w:u w:val="single"/>
                <w:lang w:val="en-US" w:eastAsia="zh-CN"/>
              </w:rPr>
              <w:t>90%，本次评价</w:t>
            </w:r>
            <w:r>
              <w:rPr>
                <w:b/>
                <w:bCs/>
                <w:u w:val="single"/>
              </w:rPr>
              <w:t>三级喷淋吸收塔吸收效率按90%计算，则三级喷淋吸收塔氨吸收量为</w:t>
            </w:r>
            <w:r>
              <w:rPr>
                <w:rFonts w:hint="eastAsia"/>
                <w:b/>
                <w:bCs/>
                <w:u w:val="single"/>
                <w:lang w:val="en-US" w:eastAsia="zh-CN"/>
              </w:rPr>
              <w:t>7.39</w:t>
            </w:r>
            <w:r>
              <w:rPr>
                <w:b/>
                <w:bCs/>
                <w:u w:val="single"/>
              </w:rPr>
              <w:t>t/a。剩余尾气经15m高排气筒排放，尾气中剩余氨气量为</w:t>
            </w:r>
            <w:r>
              <w:rPr>
                <w:rFonts w:hint="eastAsia"/>
                <w:b/>
                <w:bCs/>
                <w:u w:val="single"/>
                <w:lang w:val="en-US" w:eastAsia="zh-CN"/>
              </w:rPr>
              <w:t>0.8216</w:t>
            </w:r>
            <w:r>
              <w:rPr>
                <w:b/>
                <w:bCs/>
                <w:u w:val="single"/>
              </w:rPr>
              <w:t>t/a。尾气排放情况见下表。</w:t>
            </w:r>
          </w:p>
          <w:p w14:paraId="3C024A23">
            <w:pPr>
              <w:pStyle w:val="44"/>
              <w:numPr>
                <w:ilvl w:val="0"/>
                <w:numId w:val="2"/>
              </w:numPr>
              <w:rPr>
                <w:rFonts w:hint="default"/>
                <w:b/>
                <w:bCs/>
                <w:u w:val="single"/>
              </w:rPr>
            </w:pPr>
            <w:r>
              <w:rPr>
                <w:rFonts w:hint="default"/>
                <w:b/>
                <w:bCs/>
                <w:u w:val="single"/>
              </w:rPr>
              <w:t>废气产排情况一览表</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698"/>
              <w:gridCol w:w="775"/>
              <w:gridCol w:w="727"/>
              <w:gridCol w:w="679"/>
              <w:gridCol w:w="770"/>
              <w:gridCol w:w="1151"/>
              <w:gridCol w:w="685"/>
              <w:gridCol w:w="600"/>
              <w:gridCol w:w="595"/>
            </w:tblGrid>
            <w:tr w14:paraId="4F2D9A1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7" w:type="dxa"/>
                  <w:vMerge w:val="restart"/>
                  <w:tcBorders>
                    <w:tl2br w:val="nil"/>
                    <w:tr2bl w:val="nil"/>
                  </w:tcBorders>
                  <w:shd w:val="clear" w:color="auto" w:fill="auto"/>
                  <w:vAlign w:val="center"/>
                </w:tcPr>
                <w:p w14:paraId="3EE2F7A2">
                  <w:pPr>
                    <w:pStyle w:val="45"/>
                    <w:rPr>
                      <w:rFonts w:hint="default"/>
                      <w:b/>
                      <w:bCs/>
                      <w:u w:val="single"/>
                    </w:rPr>
                  </w:pPr>
                  <w:r>
                    <w:rPr>
                      <w:b/>
                      <w:bCs/>
                      <w:u w:val="single"/>
                    </w:rPr>
                    <w:t>名称</w:t>
                  </w:r>
                </w:p>
              </w:tc>
              <w:tc>
                <w:tcPr>
                  <w:tcW w:w="727" w:type="dxa"/>
                  <w:vMerge w:val="restart"/>
                  <w:tcBorders>
                    <w:tl2br w:val="nil"/>
                    <w:tr2bl w:val="nil"/>
                  </w:tcBorders>
                  <w:shd w:val="clear" w:color="auto" w:fill="auto"/>
                  <w:vAlign w:val="center"/>
                </w:tcPr>
                <w:p w14:paraId="2442D04E">
                  <w:pPr>
                    <w:pStyle w:val="45"/>
                    <w:rPr>
                      <w:rFonts w:hint="default"/>
                      <w:b/>
                      <w:bCs/>
                      <w:u w:val="single"/>
                    </w:rPr>
                  </w:pPr>
                  <w:r>
                    <w:rPr>
                      <w:b/>
                      <w:bCs/>
                      <w:u w:val="single"/>
                    </w:rPr>
                    <w:t>废气量</w:t>
                  </w:r>
                  <w:r>
                    <w:rPr>
                      <w:rFonts w:hint="default"/>
                      <w:b/>
                      <w:bCs/>
                      <w:u w:val="single"/>
                    </w:rPr>
                    <w:t>m</w:t>
                  </w:r>
                  <w:r>
                    <w:rPr>
                      <w:b/>
                      <w:bCs/>
                      <w:u w:val="single"/>
                      <w:vertAlign w:val="superscript"/>
                    </w:rPr>
                    <w:t>3</w:t>
                  </w:r>
                  <w:r>
                    <w:rPr>
                      <w:rFonts w:hint="default"/>
                      <w:b/>
                      <w:bCs/>
                      <w:u w:val="single"/>
                    </w:rPr>
                    <w:t>/h</w:t>
                  </w:r>
                </w:p>
              </w:tc>
              <w:tc>
                <w:tcPr>
                  <w:tcW w:w="810" w:type="dxa"/>
                  <w:vMerge w:val="restart"/>
                  <w:tcBorders>
                    <w:tl2br w:val="nil"/>
                    <w:tr2bl w:val="nil"/>
                  </w:tcBorders>
                  <w:shd w:val="clear" w:color="auto" w:fill="auto"/>
                  <w:vAlign w:val="center"/>
                </w:tcPr>
                <w:p w14:paraId="323DFAA2">
                  <w:pPr>
                    <w:pStyle w:val="45"/>
                    <w:rPr>
                      <w:rFonts w:hint="default"/>
                      <w:b/>
                      <w:bCs/>
                      <w:u w:val="single"/>
                    </w:rPr>
                  </w:pPr>
                  <w:r>
                    <w:rPr>
                      <w:b/>
                      <w:bCs/>
                      <w:u w:val="single"/>
                    </w:rPr>
                    <w:t>污染物</w:t>
                  </w:r>
                </w:p>
              </w:tc>
              <w:tc>
                <w:tcPr>
                  <w:tcW w:w="2272" w:type="dxa"/>
                  <w:gridSpan w:val="3"/>
                  <w:tcBorders>
                    <w:tl2br w:val="nil"/>
                    <w:tr2bl w:val="nil"/>
                  </w:tcBorders>
                  <w:shd w:val="clear" w:color="auto" w:fill="auto"/>
                  <w:vAlign w:val="center"/>
                </w:tcPr>
                <w:p w14:paraId="0EC4D878">
                  <w:pPr>
                    <w:pStyle w:val="45"/>
                    <w:rPr>
                      <w:rFonts w:hint="default"/>
                      <w:b/>
                      <w:bCs/>
                      <w:u w:val="single"/>
                    </w:rPr>
                  </w:pPr>
                  <w:r>
                    <w:rPr>
                      <w:b/>
                      <w:bCs/>
                      <w:u w:val="single"/>
                    </w:rPr>
                    <w:t>产生情况</w:t>
                  </w:r>
                </w:p>
              </w:tc>
              <w:tc>
                <w:tcPr>
                  <w:tcW w:w="1210" w:type="dxa"/>
                  <w:vMerge w:val="restart"/>
                  <w:tcBorders>
                    <w:tl2br w:val="nil"/>
                    <w:tr2bl w:val="nil"/>
                  </w:tcBorders>
                  <w:shd w:val="clear" w:color="auto" w:fill="auto"/>
                  <w:vAlign w:val="center"/>
                </w:tcPr>
                <w:p w14:paraId="30B12F3D">
                  <w:pPr>
                    <w:pStyle w:val="45"/>
                    <w:rPr>
                      <w:rFonts w:hint="default"/>
                      <w:b/>
                      <w:bCs/>
                      <w:u w:val="single"/>
                    </w:rPr>
                  </w:pPr>
                  <w:r>
                    <w:rPr>
                      <w:b/>
                      <w:bCs/>
                      <w:u w:val="single"/>
                    </w:rPr>
                    <w:t>治理措施</w:t>
                  </w:r>
                </w:p>
              </w:tc>
              <w:tc>
                <w:tcPr>
                  <w:tcW w:w="1956" w:type="dxa"/>
                  <w:gridSpan w:val="3"/>
                  <w:tcBorders>
                    <w:tl2br w:val="nil"/>
                    <w:tr2bl w:val="nil"/>
                  </w:tcBorders>
                  <w:shd w:val="clear" w:color="auto" w:fill="auto"/>
                  <w:vAlign w:val="center"/>
                </w:tcPr>
                <w:p w14:paraId="186E011E">
                  <w:pPr>
                    <w:pStyle w:val="45"/>
                    <w:rPr>
                      <w:rFonts w:hint="default"/>
                      <w:b/>
                      <w:bCs/>
                      <w:u w:val="single"/>
                    </w:rPr>
                  </w:pPr>
                  <w:r>
                    <w:rPr>
                      <w:b/>
                      <w:bCs/>
                      <w:u w:val="single"/>
                    </w:rPr>
                    <w:t>排放情况</w:t>
                  </w:r>
                </w:p>
              </w:tc>
            </w:tr>
            <w:tr w14:paraId="406C58E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7" w:type="dxa"/>
                  <w:vMerge w:val="continue"/>
                  <w:tcBorders>
                    <w:tl2br w:val="nil"/>
                    <w:tr2bl w:val="nil"/>
                  </w:tcBorders>
                  <w:shd w:val="clear" w:color="auto" w:fill="auto"/>
                  <w:vAlign w:val="center"/>
                </w:tcPr>
                <w:p w14:paraId="237D350E">
                  <w:pPr>
                    <w:pStyle w:val="45"/>
                    <w:rPr>
                      <w:rFonts w:hint="default"/>
                      <w:b/>
                      <w:bCs/>
                      <w:u w:val="single"/>
                    </w:rPr>
                  </w:pPr>
                </w:p>
              </w:tc>
              <w:tc>
                <w:tcPr>
                  <w:tcW w:w="727" w:type="dxa"/>
                  <w:vMerge w:val="continue"/>
                  <w:tcBorders>
                    <w:tl2br w:val="nil"/>
                    <w:tr2bl w:val="nil"/>
                  </w:tcBorders>
                  <w:shd w:val="clear" w:color="auto" w:fill="auto"/>
                  <w:vAlign w:val="center"/>
                </w:tcPr>
                <w:p w14:paraId="1569259E">
                  <w:pPr>
                    <w:pStyle w:val="45"/>
                    <w:rPr>
                      <w:rFonts w:hint="default"/>
                      <w:b/>
                      <w:bCs/>
                      <w:u w:val="single"/>
                    </w:rPr>
                  </w:pPr>
                </w:p>
              </w:tc>
              <w:tc>
                <w:tcPr>
                  <w:tcW w:w="810" w:type="dxa"/>
                  <w:vMerge w:val="continue"/>
                  <w:tcBorders>
                    <w:tl2br w:val="nil"/>
                    <w:tr2bl w:val="nil"/>
                  </w:tcBorders>
                  <w:shd w:val="clear" w:color="auto" w:fill="auto"/>
                  <w:vAlign w:val="center"/>
                </w:tcPr>
                <w:p w14:paraId="7DD4D578">
                  <w:pPr>
                    <w:pStyle w:val="45"/>
                    <w:rPr>
                      <w:rFonts w:hint="default"/>
                      <w:b/>
                      <w:bCs/>
                      <w:u w:val="single"/>
                    </w:rPr>
                  </w:pPr>
                </w:p>
              </w:tc>
              <w:tc>
                <w:tcPr>
                  <w:tcW w:w="759" w:type="dxa"/>
                  <w:tcBorders>
                    <w:tl2br w:val="nil"/>
                    <w:tr2bl w:val="nil"/>
                  </w:tcBorders>
                  <w:shd w:val="clear" w:color="auto" w:fill="auto"/>
                  <w:vAlign w:val="center"/>
                </w:tcPr>
                <w:p w14:paraId="690E49D6">
                  <w:pPr>
                    <w:pStyle w:val="45"/>
                    <w:rPr>
                      <w:rFonts w:hint="default"/>
                      <w:b/>
                      <w:bCs/>
                      <w:u w:val="single"/>
                    </w:rPr>
                  </w:pPr>
                  <w:r>
                    <w:rPr>
                      <w:rFonts w:hint="default"/>
                      <w:b/>
                      <w:bCs/>
                      <w:u w:val="single"/>
                    </w:rPr>
                    <w:t>mg/m</w:t>
                  </w:r>
                  <w:r>
                    <w:rPr>
                      <w:b/>
                      <w:bCs/>
                      <w:u w:val="single"/>
                      <w:vertAlign w:val="superscript"/>
                    </w:rPr>
                    <w:t>3</w:t>
                  </w:r>
                </w:p>
              </w:tc>
              <w:tc>
                <w:tcPr>
                  <w:tcW w:w="708" w:type="dxa"/>
                  <w:tcBorders>
                    <w:tl2br w:val="nil"/>
                    <w:tr2bl w:val="nil"/>
                  </w:tcBorders>
                  <w:shd w:val="clear" w:color="auto" w:fill="auto"/>
                  <w:vAlign w:val="center"/>
                </w:tcPr>
                <w:p w14:paraId="643390A6">
                  <w:pPr>
                    <w:pStyle w:val="45"/>
                    <w:rPr>
                      <w:rFonts w:hint="default"/>
                      <w:b/>
                      <w:bCs/>
                      <w:u w:val="single"/>
                    </w:rPr>
                  </w:pPr>
                  <w:r>
                    <w:rPr>
                      <w:rFonts w:hint="default"/>
                      <w:b/>
                      <w:bCs/>
                      <w:u w:val="single"/>
                    </w:rPr>
                    <w:t>kg/h</w:t>
                  </w:r>
                </w:p>
              </w:tc>
              <w:tc>
                <w:tcPr>
                  <w:tcW w:w="805" w:type="dxa"/>
                  <w:tcBorders>
                    <w:tl2br w:val="nil"/>
                    <w:tr2bl w:val="nil"/>
                  </w:tcBorders>
                  <w:shd w:val="clear" w:color="auto" w:fill="auto"/>
                  <w:vAlign w:val="center"/>
                </w:tcPr>
                <w:p w14:paraId="29411E73">
                  <w:pPr>
                    <w:pStyle w:val="45"/>
                    <w:rPr>
                      <w:rFonts w:hint="default"/>
                      <w:b/>
                      <w:bCs/>
                      <w:u w:val="single"/>
                    </w:rPr>
                  </w:pPr>
                  <w:r>
                    <w:rPr>
                      <w:rFonts w:hint="default"/>
                      <w:b/>
                      <w:bCs/>
                      <w:u w:val="single"/>
                    </w:rPr>
                    <w:t>t/a</w:t>
                  </w:r>
                </w:p>
              </w:tc>
              <w:tc>
                <w:tcPr>
                  <w:tcW w:w="1210" w:type="dxa"/>
                  <w:vMerge w:val="continue"/>
                  <w:tcBorders>
                    <w:tl2br w:val="nil"/>
                    <w:tr2bl w:val="nil"/>
                  </w:tcBorders>
                  <w:shd w:val="clear" w:color="auto" w:fill="auto"/>
                  <w:vAlign w:val="center"/>
                </w:tcPr>
                <w:p w14:paraId="4239FC11">
                  <w:pPr>
                    <w:pStyle w:val="45"/>
                    <w:rPr>
                      <w:rFonts w:hint="default"/>
                      <w:b/>
                      <w:bCs/>
                      <w:u w:val="single"/>
                    </w:rPr>
                  </w:pPr>
                </w:p>
              </w:tc>
              <w:tc>
                <w:tcPr>
                  <w:tcW w:w="714" w:type="dxa"/>
                  <w:tcBorders>
                    <w:tl2br w:val="nil"/>
                    <w:tr2bl w:val="nil"/>
                  </w:tcBorders>
                  <w:shd w:val="clear" w:color="auto" w:fill="auto"/>
                  <w:vAlign w:val="center"/>
                </w:tcPr>
                <w:p w14:paraId="4587ED4B">
                  <w:pPr>
                    <w:pStyle w:val="45"/>
                    <w:rPr>
                      <w:rFonts w:hint="default"/>
                      <w:b/>
                      <w:bCs/>
                      <w:u w:val="single"/>
                    </w:rPr>
                  </w:pPr>
                  <w:r>
                    <w:rPr>
                      <w:rFonts w:hint="default"/>
                      <w:b/>
                      <w:bCs/>
                      <w:u w:val="single"/>
                    </w:rPr>
                    <w:t>mg/m</w:t>
                  </w:r>
                  <w:r>
                    <w:rPr>
                      <w:b/>
                      <w:bCs/>
                      <w:u w:val="single"/>
                      <w:vertAlign w:val="superscript"/>
                    </w:rPr>
                    <w:t>3</w:t>
                  </w:r>
                </w:p>
              </w:tc>
              <w:tc>
                <w:tcPr>
                  <w:tcW w:w="624" w:type="dxa"/>
                  <w:tcBorders>
                    <w:tl2br w:val="nil"/>
                    <w:tr2bl w:val="nil"/>
                  </w:tcBorders>
                  <w:shd w:val="clear" w:color="auto" w:fill="auto"/>
                  <w:vAlign w:val="center"/>
                </w:tcPr>
                <w:p w14:paraId="0AA73D47">
                  <w:pPr>
                    <w:pStyle w:val="45"/>
                    <w:rPr>
                      <w:rFonts w:hint="default"/>
                      <w:b/>
                      <w:bCs/>
                      <w:u w:val="single"/>
                    </w:rPr>
                  </w:pPr>
                  <w:r>
                    <w:rPr>
                      <w:rFonts w:hint="default"/>
                      <w:b/>
                      <w:bCs/>
                      <w:u w:val="single"/>
                    </w:rPr>
                    <w:t>kg/h</w:t>
                  </w:r>
                </w:p>
              </w:tc>
              <w:tc>
                <w:tcPr>
                  <w:tcW w:w="618" w:type="dxa"/>
                  <w:tcBorders>
                    <w:tl2br w:val="nil"/>
                    <w:tr2bl w:val="nil"/>
                  </w:tcBorders>
                  <w:shd w:val="clear" w:color="auto" w:fill="auto"/>
                  <w:vAlign w:val="center"/>
                </w:tcPr>
                <w:p w14:paraId="4CE676E7">
                  <w:pPr>
                    <w:pStyle w:val="45"/>
                    <w:rPr>
                      <w:rFonts w:hint="default"/>
                      <w:b/>
                      <w:bCs/>
                      <w:u w:val="single"/>
                    </w:rPr>
                  </w:pPr>
                  <w:r>
                    <w:rPr>
                      <w:rFonts w:hint="default"/>
                      <w:b/>
                      <w:bCs/>
                      <w:u w:val="single"/>
                    </w:rPr>
                    <w:t>t/a</w:t>
                  </w:r>
                </w:p>
              </w:tc>
            </w:tr>
            <w:tr w14:paraId="44032D1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57" w:type="dxa"/>
                  <w:tcBorders>
                    <w:tl2br w:val="nil"/>
                    <w:tr2bl w:val="nil"/>
                  </w:tcBorders>
                  <w:shd w:val="clear" w:color="auto" w:fill="auto"/>
                  <w:vAlign w:val="center"/>
                </w:tcPr>
                <w:p w14:paraId="179B7FB8">
                  <w:pPr>
                    <w:pStyle w:val="45"/>
                    <w:rPr>
                      <w:rFonts w:hint="default"/>
                      <w:b/>
                      <w:bCs/>
                      <w:u w:val="single"/>
                    </w:rPr>
                  </w:pPr>
                  <w:r>
                    <w:rPr>
                      <w:b/>
                      <w:bCs/>
                      <w:u w:val="single"/>
                    </w:rPr>
                    <w:t>氨提纯系统尾气</w:t>
                  </w:r>
                </w:p>
              </w:tc>
              <w:tc>
                <w:tcPr>
                  <w:tcW w:w="727" w:type="dxa"/>
                  <w:tcBorders>
                    <w:tl2br w:val="nil"/>
                    <w:tr2bl w:val="nil"/>
                  </w:tcBorders>
                  <w:shd w:val="clear" w:color="auto" w:fill="auto"/>
                  <w:vAlign w:val="center"/>
                </w:tcPr>
                <w:p w14:paraId="437F7B9A">
                  <w:pPr>
                    <w:pStyle w:val="45"/>
                    <w:rPr>
                      <w:rFonts w:hint="default"/>
                      <w:b/>
                      <w:bCs/>
                      <w:u w:val="single"/>
                    </w:rPr>
                  </w:pPr>
                  <w:r>
                    <w:rPr>
                      <w:b/>
                      <w:bCs/>
                      <w:u w:val="single"/>
                    </w:rPr>
                    <w:t>10000</w:t>
                  </w:r>
                </w:p>
              </w:tc>
              <w:tc>
                <w:tcPr>
                  <w:tcW w:w="810" w:type="dxa"/>
                  <w:tcBorders>
                    <w:tl2br w:val="nil"/>
                    <w:tr2bl w:val="nil"/>
                  </w:tcBorders>
                  <w:shd w:val="clear" w:color="auto" w:fill="auto"/>
                  <w:vAlign w:val="center"/>
                </w:tcPr>
                <w:p w14:paraId="0CB5A0E9">
                  <w:pPr>
                    <w:pStyle w:val="45"/>
                    <w:rPr>
                      <w:rFonts w:hint="default"/>
                      <w:b/>
                      <w:bCs/>
                      <w:u w:val="single"/>
                    </w:rPr>
                  </w:pPr>
                  <w:r>
                    <w:rPr>
                      <w:b/>
                      <w:bCs/>
                      <w:u w:val="single"/>
                    </w:rPr>
                    <w:t>NH</w:t>
                  </w:r>
                  <w:r>
                    <w:rPr>
                      <w:b/>
                      <w:bCs/>
                      <w:u w:val="single"/>
                      <w:vertAlign w:val="subscript"/>
                    </w:rPr>
                    <w:t>3</w:t>
                  </w:r>
                </w:p>
              </w:tc>
              <w:tc>
                <w:tcPr>
                  <w:tcW w:w="759" w:type="dxa"/>
                  <w:tcBorders>
                    <w:tl2br w:val="nil"/>
                    <w:tr2bl w:val="nil"/>
                  </w:tcBorders>
                  <w:shd w:val="clear" w:color="auto" w:fill="auto"/>
                  <w:vAlign w:val="center"/>
                </w:tcPr>
                <w:p w14:paraId="2EEAB594">
                  <w:pPr>
                    <w:pStyle w:val="45"/>
                    <w:rPr>
                      <w:rFonts w:hint="default" w:eastAsia="宋体"/>
                      <w:b/>
                      <w:bCs/>
                      <w:u w:val="single"/>
                      <w:lang w:val="en-US" w:eastAsia="zh-CN"/>
                    </w:rPr>
                  </w:pPr>
                  <w:r>
                    <w:rPr>
                      <w:rFonts w:hint="eastAsia"/>
                      <w:b/>
                      <w:bCs/>
                      <w:u w:val="single"/>
                      <w:lang w:val="en-US" w:eastAsia="zh-CN"/>
                    </w:rPr>
                    <w:t>11266.5</w:t>
                  </w:r>
                </w:p>
              </w:tc>
              <w:tc>
                <w:tcPr>
                  <w:tcW w:w="708" w:type="dxa"/>
                  <w:tcBorders>
                    <w:tl2br w:val="nil"/>
                    <w:tr2bl w:val="nil"/>
                  </w:tcBorders>
                  <w:shd w:val="clear" w:color="auto" w:fill="auto"/>
                  <w:noWrap/>
                  <w:vAlign w:val="center"/>
                </w:tcPr>
                <w:p w14:paraId="7D44CBAC">
                  <w:pPr>
                    <w:pStyle w:val="45"/>
                    <w:rPr>
                      <w:rFonts w:hint="default" w:eastAsia="宋体"/>
                      <w:b/>
                      <w:bCs/>
                      <w:u w:val="single"/>
                      <w:lang w:val="en-US" w:eastAsia="zh-CN"/>
                    </w:rPr>
                  </w:pPr>
                  <w:r>
                    <w:rPr>
                      <w:rFonts w:hint="eastAsia"/>
                      <w:b/>
                      <w:bCs/>
                      <w:u w:val="single"/>
                      <w:lang w:val="en-US" w:eastAsia="zh-CN"/>
                    </w:rPr>
                    <w:t>112.665</w:t>
                  </w:r>
                </w:p>
              </w:tc>
              <w:tc>
                <w:tcPr>
                  <w:tcW w:w="805" w:type="dxa"/>
                  <w:tcBorders>
                    <w:tl2br w:val="nil"/>
                    <w:tr2bl w:val="nil"/>
                  </w:tcBorders>
                  <w:shd w:val="clear" w:color="auto" w:fill="auto"/>
                  <w:noWrap/>
                  <w:vAlign w:val="center"/>
                </w:tcPr>
                <w:p w14:paraId="53468EAD">
                  <w:pPr>
                    <w:pStyle w:val="45"/>
                    <w:rPr>
                      <w:rFonts w:hint="default" w:eastAsia="宋体"/>
                      <w:b/>
                      <w:bCs/>
                      <w:u w:val="single"/>
                      <w:lang w:val="en-US" w:eastAsia="zh-CN"/>
                    </w:rPr>
                  </w:pPr>
                  <w:r>
                    <w:rPr>
                      <w:rFonts w:hint="eastAsia"/>
                      <w:b/>
                      <w:bCs/>
                      <w:u w:val="single"/>
                      <w:lang w:val="en-US" w:eastAsia="zh-CN"/>
                    </w:rPr>
                    <w:t>811.1856</w:t>
                  </w:r>
                </w:p>
              </w:tc>
              <w:tc>
                <w:tcPr>
                  <w:tcW w:w="1210" w:type="dxa"/>
                  <w:tcBorders>
                    <w:tl2br w:val="nil"/>
                    <w:tr2bl w:val="nil"/>
                  </w:tcBorders>
                  <w:shd w:val="clear" w:color="auto" w:fill="auto"/>
                  <w:vAlign w:val="center"/>
                </w:tcPr>
                <w:p w14:paraId="54DC732A">
                  <w:pPr>
                    <w:pStyle w:val="45"/>
                    <w:rPr>
                      <w:rFonts w:hint="default"/>
                      <w:b/>
                      <w:bCs/>
                      <w:u w:val="single"/>
                    </w:rPr>
                  </w:pPr>
                  <w:r>
                    <w:rPr>
                      <w:b/>
                      <w:bCs/>
                      <w:u w:val="single"/>
                    </w:rPr>
                    <w:t>两级超级吸氨塔+三级水喷淋吸收塔+15m高塔排放（DA002）</w:t>
                  </w:r>
                </w:p>
              </w:tc>
              <w:tc>
                <w:tcPr>
                  <w:tcW w:w="714" w:type="dxa"/>
                  <w:tcBorders>
                    <w:tl2br w:val="nil"/>
                    <w:tr2bl w:val="nil"/>
                  </w:tcBorders>
                  <w:shd w:val="clear" w:color="auto" w:fill="auto"/>
                  <w:vAlign w:val="center"/>
                </w:tcPr>
                <w:p w14:paraId="283AF6D0">
                  <w:pPr>
                    <w:pStyle w:val="45"/>
                    <w:rPr>
                      <w:rFonts w:hint="default" w:eastAsia="宋体"/>
                      <w:b/>
                      <w:bCs/>
                      <w:u w:val="single"/>
                      <w:lang w:val="en-US" w:eastAsia="zh-CN"/>
                    </w:rPr>
                  </w:pPr>
                  <w:r>
                    <w:rPr>
                      <w:rFonts w:hint="eastAsia"/>
                      <w:b/>
                      <w:bCs/>
                      <w:u w:val="single"/>
                      <w:lang w:val="en-US" w:eastAsia="zh-CN"/>
                    </w:rPr>
                    <w:t>11.41</w:t>
                  </w:r>
                </w:p>
              </w:tc>
              <w:tc>
                <w:tcPr>
                  <w:tcW w:w="624" w:type="dxa"/>
                  <w:tcBorders>
                    <w:tl2br w:val="nil"/>
                    <w:tr2bl w:val="nil"/>
                  </w:tcBorders>
                  <w:shd w:val="clear" w:color="auto" w:fill="auto"/>
                  <w:vAlign w:val="center"/>
                </w:tcPr>
                <w:p w14:paraId="791B5A42">
                  <w:pPr>
                    <w:pStyle w:val="45"/>
                    <w:rPr>
                      <w:rFonts w:hint="default" w:eastAsia="宋体"/>
                      <w:b/>
                      <w:bCs/>
                      <w:u w:val="single"/>
                      <w:lang w:val="en-US" w:eastAsia="zh-CN"/>
                    </w:rPr>
                  </w:pPr>
                  <w:r>
                    <w:rPr>
                      <w:rFonts w:hint="eastAsia"/>
                      <w:b/>
                      <w:bCs/>
                      <w:u w:val="single"/>
                      <w:lang w:val="en-US" w:eastAsia="zh-CN"/>
                    </w:rPr>
                    <w:t>0.1141</w:t>
                  </w:r>
                </w:p>
              </w:tc>
              <w:tc>
                <w:tcPr>
                  <w:tcW w:w="618" w:type="dxa"/>
                  <w:tcBorders>
                    <w:tl2br w:val="nil"/>
                    <w:tr2bl w:val="nil"/>
                  </w:tcBorders>
                  <w:shd w:val="clear" w:color="auto" w:fill="auto"/>
                  <w:vAlign w:val="center"/>
                </w:tcPr>
                <w:p w14:paraId="296287DF">
                  <w:pPr>
                    <w:pStyle w:val="45"/>
                    <w:rPr>
                      <w:rFonts w:hint="default" w:eastAsia="宋体"/>
                      <w:b/>
                      <w:bCs/>
                      <w:u w:val="single"/>
                      <w:lang w:val="en-US" w:eastAsia="zh-CN"/>
                    </w:rPr>
                  </w:pPr>
                  <w:r>
                    <w:rPr>
                      <w:rFonts w:hint="eastAsia"/>
                      <w:b/>
                      <w:bCs/>
                      <w:u w:val="single"/>
                      <w:lang w:val="en-US" w:eastAsia="zh-CN"/>
                    </w:rPr>
                    <w:t>0.8216</w:t>
                  </w:r>
                </w:p>
              </w:tc>
            </w:tr>
          </w:tbl>
          <w:p w14:paraId="48E56BE0">
            <w:pPr>
              <w:pStyle w:val="5"/>
              <w:ind w:firstLine="422"/>
              <w:rPr>
                <w:rFonts w:hint="default"/>
                <w:b/>
                <w:bCs/>
                <w:u w:val="single"/>
              </w:rPr>
            </w:pPr>
            <w:r>
              <w:rPr>
                <w:b/>
                <w:bCs/>
                <w:u w:val="single"/>
              </w:rPr>
              <w:t>经计算，液氨提纯尾气经吸氨塔吸收后，NH</w:t>
            </w:r>
            <w:r>
              <w:rPr>
                <w:b/>
                <w:bCs/>
                <w:u w:val="single"/>
                <w:vertAlign w:val="subscript"/>
              </w:rPr>
              <w:t>3</w:t>
            </w:r>
            <w:r>
              <w:rPr>
                <w:b/>
                <w:bCs/>
                <w:u w:val="single"/>
              </w:rPr>
              <w:t>排放浓度（11.41</w:t>
            </w:r>
            <w:r>
              <w:rPr>
                <w:rFonts w:hint="default"/>
                <w:b/>
                <w:bCs/>
                <w:u w:val="single"/>
              </w:rPr>
              <w:t>mg/m</w:t>
            </w:r>
            <w:r>
              <w:rPr>
                <w:rFonts w:hint="default"/>
                <w:b/>
                <w:bCs/>
                <w:u w:val="single"/>
                <w:vertAlign w:val="superscript"/>
              </w:rPr>
              <w:t>3</w:t>
            </w:r>
            <w:r>
              <w:rPr>
                <w:b/>
                <w:bCs/>
                <w:u w:val="single"/>
              </w:rPr>
              <w:t>）满足《无机化学工业污染物排放标准》（GB31573—2015）及其修改单中表3“NH</w:t>
            </w:r>
            <w:r>
              <w:rPr>
                <w:b/>
                <w:bCs/>
                <w:u w:val="single"/>
                <w:vertAlign w:val="subscript"/>
              </w:rPr>
              <w:t>3</w:t>
            </w:r>
            <w:r>
              <w:rPr>
                <w:b/>
                <w:bCs/>
                <w:u w:val="single"/>
              </w:rPr>
              <w:t>排放浓度限值为20mg/m</w:t>
            </w:r>
            <w:r>
              <w:rPr>
                <w:b/>
                <w:bCs/>
                <w:u w:val="single"/>
                <w:vertAlign w:val="superscript"/>
              </w:rPr>
              <w:t>3</w:t>
            </w:r>
            <w:r>
              <w:rPr>
                <w:b/>
                <w:bCs/>
                <w:u w:val="single"/>
              </w:rPr>
              <w:t>”的要求。</w:t>
            </w:r>
          </w:p>
          <w:p w14:paraId="246843C6">
            <w:pPr>
              <w:pStyle w:val="6"/>
              <w:numPr>
                <w:ilvl w:val="2"/>
                <w:numId w:val="3"/>
              </w:numPr>
              <w:rPr>
                <w:b w:val="0"/>
                <w:bCs w:val="0"/>
                <w:u w:val="none"/>
              </w:rPr>
            </w:pPr>
            <w:r>
              <w:rPr>
                <w:rFonts w:hint="eastAsia"/>
                <w:b w:val="0"/>
                <w:bCs w:val="0"/>
                <w:u w:val="none"/>
              </w:rPr>
              <w:t>无组织废气</w:t>
            </w:r>
          </w:p>
          <w:p w14:paraId="4EFCBCC6">
            <w:pPr>
              <w:pStyle w:val="5"/>
              <w:numPr>
                <w:ilvl w:val="0"/>
                <w:numId w:val="12"/>
              </w:numPr>
              <w:rPr>
                <w:rFonts w:hint="default"/>
                <w:b w:val="0"/>
                <w:bCs w:val="0"/>
                <w:u w:val="none"/>
              </w:rPr>
            </w:pPr>
            <w:r>
              <w:rPr>
                <w:rFonts w:hint="default"/>
                <w:b w:val="0"/>
                <w:bCs w:val="0"/>
                <w:u w:val="none"/>
              </w:rPr>
              <w:t>设备装置区废气：</w:t>
            </w:r>
          </w:p>
          <w:p w14:paraId="50E2DA76">
            <w:pPr>
              <w:pStyle w:val="5"/>
              <w:rPr>
                <w:rFonts w:hint="default"/>
                <w:b w:val="0"/>
                <w:bCs w:val="0"/>
                <w:u w:val="none"/>
              </w:rPr>
            </w:pPr>
            <w:r>
              <w:rPr>
                <w:rFonts w:hint="default"/>
                <w:b w:val="0"/>
                <w:bCs w:val="0"/>
                <w:u w:val="none"/>
              </w:rPr>
              <w:t xml:space="preserve">本项目原料、产品沸点较低，挥发性较强；原料和产品均采用密闭容器、罐车、管道输送、转运；在反应期间，反应设备的进料口、出料口、检修口、检测取样口等在不操作时均保持密闭；项目将对设备与管线组件的密封点进行氨气泄漏检测。本项目为连续生产装置，装置密闭性较好，无非密闭式工艺过程，不会形成弥散型工艺无组织排放。 </w:t>
            </w:r>
          </w:p>
          <w:p w14:paraId="29E3B53D">
            <w:pPr>
              <w:pStyle w:val="5"/>
              <w:rPr>
                <w:rFonts w:hint="default"/>
                <w:b w:val="0"/>
                <w:bCs w:val="0"/>
                <w:u w:val="none"/>
              </w:rPr>
            </w:pPr>
            <w:r>
              <w:rPr>
                <w:rFonts w:hint="default"/>
                <w:b w:val="0"/>
                <w:bCs w:val="0"/>
                <w:u w:val="none"/>
              </w:rPr>
              <w:t>跑、冒、滴、漏产生的无组织排放一般与工艺装置的技术水平、设备、管线和配件的质量、气候变化情况、操作管理水平等诸多因素有关，其影响要素复杂，各化工企业应具体情况不同而有所差异，但明显的跑、冒、滴、漏现象是不会发生的，否则就要停车检修。由于整个生产过程中阀门、管件、管道接头及泵、容器设备较多，随着运行时间的增加，设备零件的损耗增加，要完全消除物料的泄漏是不可能的。</w:t>
            </w:r>
          </w:p>
          <w:p w14:paraId="1FACACDE">
            <w:pPr>
              <w:pStyle w:val="5"/>
              <w:ind w:firstLine="422"/>
              <w:rPr>
                <w:rFonts w:hint="default"/>
                <w:b w:val="0"/>
                <w:bCs w:val="0"/>
                <w:u w:val="none"/>
              </w:rPr>
            </w:pPr>
            <w:r>
              <w:rPr>
                <w:rFonts w:hint="default"/>
                <w:b w:val="0"/>
                <w:bCs w:val="0"/>
                <w:u w:val="none"/>
              </w:rPr>
              <w:t>本项目</w:t>
            </w:r>
            <w:r>
              <w:rPr>
                <w:b w:val="0"/>
                <w:bCs w:val="0"/>
                <w:u w:val="none"/>
              </w:rPr>
              <w:t>二氧化碳回收环节</w:t>
            </w:r>
            <w:r>
              <w:rPr>
                <w:rFonts w:hint="default"/>
                <w:b w:val="0"/>
                <w:bCs w:val="0"/>
                <w:u w:val="none"/>
              </w:rPr>
              <w:t>气体对环境影响甚微，目前无排放标准，因此本次环评不评价。本次评价参照化工部[90]化生字第 213号文《化工系统“无泄漏工厂”管理办法》中相关规定，项目生产装置区无组织排放量以物料密封泄漏率0.1‰</w:t>
            </w:r>
            <w:r>
              <w:rPr>
                <w:b w:val="0"/>
                <w:bCs w:val="0"/>
                <w:u w:val="none"/>
              </w:rPr>
              <w:t>计</w:t>
            </w:r>
            <w:r>
              <w:rPr>
                <w:rFonts w:hint="default"/>
                <w:b w:val="0"/>
                <w:bCs w:val="0"/>
                <w:u w:val="none"/>
              </w:rPr>
              <w:t>。本项目设备装置区无组织废气污染物主要为</w:t>
            </w:r>
            <w:r>
              <w:rPr>
                <w:b w:val="0"/>
                <w:bCs w:val="0"/>
                <w:u w:val="none"/>
              </w:rPr>
              <w:t>氨提纯生产区的</w:t>
            </w:r>
            <w:r>
              <w:rPr>
                <w:rFonts w:hint="default"/>
                <w:b w:val="0"/>
                <w:bCs w:val="0"/>
                <w:u w:val="none"/>
              </w:rPr>
              <w:t>氨气。</w:t>
            </w:r>
          </w:p>
          <w:p w14:paraId="3E7093F8">
            <w:pPr>
              <w:pStyle w:val="5"/>
              <w:rPr>
                <w:rFonts w:hint="default"/>
                <w:b w:val="0"/>
                <w:bCs w:val="0"/>
                <w:u w:val="none"/>
              </w:rPr>
            </w:pPr>
            <w:r>
              <w:rPr>
                <w:rFonts w:hint="default"/>
                <w:b w:val="0"/>
                <w:bCs w:val="0"/>
                <w:u w:val="none"/>
              </w:rPr>
              <w:t>根据物料使用量，估算项目生产过程中</w:t>
            </w:r>
            <w:r>
              <w:rPr>
                <w:b w:val="0"/>
                <w:bCs w:val="0"/>
                <w:u w:val="none"/>
              </w:rPr>
              <w:t>氨提出生产区</w:t>
            </w:r>
            <w:r>
              <w:rPr>
                <w:rFonts w:hint="default"/>
                <w:b w:val="0"/>
                <w:bCs w:val="0"/>
                <w:u w:val="none"/>
              </w:rPr>
              <w:t>无组织废气排放量为：</w:t>
            </w:r>
          </w:p>
          <w:p w14:paraId="7FE96A54">
            <w:pPr>
              <w:pStyle w:val="44"/>
              <w:numPr>
                <w:ilvl w:val="0"/>
                <w:numId w:val="2"/>
              </w:numPr>
              <w:rPr>
                <w:rFonts w:hint="default"/>
                <w:b w:val="0"/>
                <w:bCs w:val="0"/>
                <w:u w:val="none"/>
              </w:rPr>
            </w:pPr>
            <w:r>
              <w:rPr>
                <w:rFonts w:hint="default"/>
                <w:b w:val="0"/>
                <w:bCs w:val="0"/>
                <w:u w:val="none"/>
              </w:rPr>
              <w:t>废气产排情况一览表</w:t>
            </w:r>
          </w:p>
          <w:tbl>
            <w:tblPr>
              <w:tblStyle w:val="28"/>
              <w:tblW w:w="4998"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86"/>
              <w:gridCol w:w="1286"/>
              <w:gridCol w:w="977"/>
              <w:gridCol w:w="1592"/>
              <w:gridCol w:w="1285"/>
            </w:tblGrid>
            <w:tr w14:paraId="452B3C5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9" w:type="pct"/>
                  <w:tcBorders>
                    <w:tl2br w:val="nil"/>
                    <w:tr2bl w:val="nil"/>
                  </w:tcBorders>
                  <w:vAlign w:val="center"/>
                </w:tcPr>
                <w:p w14:paraId="38A12588">
                  <w:pPr>
                    <w:pStyle w:val="5"/>
                    <w:spacing w:line="240" w:lineRule="auto"/>
                    <w:ind w:firstLine="0" w:firstLineChars="0"/>
                    <w:jc w:val="center"/>
                    <w:rPr>
                      <w:rFonts w:hint="default"/>
                      <w:b w:val="0"/>
                      <w:bCs w:val="0"/>
                      <w:sz w:val="18"/>
                      <w:szCs w:val="18"/>
                      <w:u w:val="none"/>
                    </w:rPr>
                  </w:pPr>
                  <w:r>
                    <w:rPr>
                      <w:rFonts w:hint="default"/>
                      <w:b w:val="0"/>
                      <w:bCs w:val="0"/>
                      <w:sz w:val="18"/>
                      <w:szCs w:val="18"/>
                      <w:u w:val="none"/>
                    </w:rPr>
                    <w:t>区域</w:t>
                  </w:r>
                </w:p>
              </w:tc>
              <w:tc>
                <w:tcPr>
                  <w:tcW w:w="868" w:type="pct"/>
                  <w:tcBorders>
                    <w:tl2br w:val="nil"/>
                    <w:tr2bl w:val="nil"/>
                  </w:tcBorders>
                  <w:vAlign w:val="center"/>
                </w:tcPr>
                <w:p w14:paraId="1929A68E">
                  <w:pPr>
                    <w:pStyle w:val="5"/>
                    <w:spacing w:line="240" w:lineRule="auto"/>
                    <w:ind w:firstLine="0" w:firstLineChars="0"/>
                    <w:jc w:val="center"/>
                    <w:rPr>
                      <w:rFonts w:hint="default"/>
                      <w:b w:val="0"/>
                      <w:bCs w:val="0"/>
                      <w:sz w:val="18"/>
                      <w:szCs w:val="18"/>
                      <w:u w:val="none"/>
                    </w:rPr>
                  </w:pPr>
                  <w:r>
                    <w:rPr>
                      <w:rFonts w:hint="default"/>
                      <w:b w:val="0"/>
                      <w:bCs w:val="0"/>
                      <w:sz w:val="18"/>
                      <w:szCs w:val="18"/>
                      <w:u w:val="none"/>
                    </w:rPr>
                    <w:t>污染物</w:t>
                  </w:r>
                </w:p>
              </w:tc>
              <w:tc>
                <w:tcPr>
                  <w:tcW w:w="868" w:type="pct"/>
                  <w:tcBorders>
                    <w:tl2br w:val="nil"/>
                    <w:tr2bl w:val="nil"/>
                  </w:tcBorders>
                  <w:vAlign w:val="center"/>
                </w:tcPr>
                <w:p w14:paraId="6DE74863">
                  <w:pPr>
                    <w:pStyle w:val="5"/>
                    <w:spacing w:line="240" w:lineRule="auto"/>
                    <w:ind w:firstLine="0" w:firstLineChars="0"/>
                    <w:jc w:val="center"/>
                    <w:rPr>
                      <w:rFonts w:hint="default"/>
                      <w:b w:val="0"/>
                      <w:bCs w:val="0"/>
                      <w:sz w:val="18"/>
                      <w:szCs w:val="18"/>
                      <w:u w:val="none"/>
                    </w:rPr>
                  </w:pPr>
                  <w:r>
                    <w:rPr>
                      <w:rFonts w:hint="default"/>
                      <w:b w:val="0"/>
                      <w:bCs w:val="0"/>
                      <w:sz w:val="18"/>
                      <w:szCs w:val="18"/>
                      <w:u w:val="none"/>
                    </w:rPr>
                    <w:t>原料量</w:t>
                  </w:r>
                </w:p>
              </w:tc>
              <w:tc>
                <w:tcPr>
                  <w:tcW w:w="660" w:type="pct"/>
                  <w:tcBorders>
                    <w:tl2br w:val="nil"/>
                    <w:tr2bl w:val="nil"/>
                  </w:tcBorders>
                  <w:vAlign w:val="center"/>
                </w:tcPr>
                <w:p w14:paraId="5CD0DDA6">
                  <w:pPr>
                    <w:pStyle w:val="5"/>
                    <w:spacing w:line="240" w:lineRule="auto"/>
                    <w:ind w:firstLine="0" w:firstLineChars="0"/>
                    <w:jc w:val="center"/>
                    <w:rPr>
                      <w:rFonts w:hint="default"/>
                      <w:b w:val="0"/>
                      <w:bCs w:val="0"/>
                      <w:sz w:val="18"/>
                      <w:szCs w:val="18"/>
                      <w:u w:val="none"/>
                    </w:rPr>
                  </w:pPr>
                  <w:r>
                    <w:rPr>
                      <w:rFonts w:hint="default"/>
                      <w:b w:val="0"/>
                      <w:bCs w:val="0"/>
                      <w:sz w:val="18"/>
                      <w:szCs w:val="18"/>
                      <w:u w:val="none"/>
                    </w:rPr>
                    <w:t>比例</w:t>
                  </w:r>
                </w:p>
              </w:tc>
              <w:tc>
                <w:tcPr>
                  <w:tcW w:w="1075" w:type="pct"/>
                  <w:tcBorders>
                    <w:tl2br w:val="nil"/>
                    <w:tr2bl w:val="nil"/>
                  </w:tcBorders>
                  <w:vAlign w:val="center"/>
                </w:tcPr>
                <w:p w14:paraId="53D4017F">
                  <w:pPr>
                    <w:pStyle w:val="5"/>
                    <w:spacing w:line="240" w:lineRule="auto"/>
                    <w:ind w:firstLine="0" w:firstLineChars="0"/>
                    <w:jc w:val="center"/>
                    <w:rPr>
                      <w:rFonts w:hint="default"/>
                      <w:b w:val="0"/>
                      <w:bCs w:val="0"/>
                      <w:sz w:val="18"/>
                      <w:szCs w:val="18"/>
                      <w:u w:val="none"/>
                    </w:rPr>
                  </w:pPr>
                  <w:r>
                    <w:rPr>
                      <w:rFonts w:hint="default"/>
                      <w:b w:val="0"/>
                      <w:bCs w:val="0"/>
                      <w:sz w:val="18"/>
                      <w:szCs w:val="18"/>
                      <w:u w:val="none"/>
                    </w:rPr>
                    <w:t>排放速率</w:t>
                  </w:r>
                </w:p>
              </w:tc>
              <w:tc>
                <w:tcPr>
                  <w:tcW w:w="868" w:type="pct"/>
                  <w:tcBorders>
                    <w:tl2br w:val="nil"/>
                    <w:tr2bl w:val="nil"/>
                  </w:tcBorders>
                  <w:vAlign w:val="center"/>
                </w:tcPr>
                <w:p w14:paraId="074A36F6">
                  <w:pPr>
                    <w:pStyle w:val="5"/>
                    <w:spacing w:line="240" w:lineRule="auto"/>
                    <w:ind w:firstLine="0" w:firstLineChars="0"/>
                    <w:jc w:val="center"/>
                    <w:rPr>
                      <w:rFonts w:hint="default"/>
                      <w:b w:val="0"/>
                      <w:bCs w:val="0"/>
                      <w:sz w:val="18"/>
                      <w:szCs w:val="18"/>
                      <w:u w:val="none"/>
                    </w:rPr>
                  </w:pPr>
                  <w:r>
                    <w:rPr>
                      <w:rFonts w:hint="default"/>
                      <w:b w:val="0"/>
                      <w:bCs w:val="0"/>
                      <w:sz w:val="18"/>
                      <w:szCs w:val="18"/>
                      <w:u w:val="none"/>
                    </w:rPr>
                    <w:t>排放量</w:t>
                  </w:r>
                </w:p>
              </w:tc>
            </w:tr>
            <w:tr w14:paraId="133BAD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9" w:type="pct"/>
                  <w:tcBorders>
                    <w:tl2br w:val="nil"/>
                    <w:tr2bl w:val="nil"/>
                  </w:tcBorders>
                  <w:vAlign w:val="center"/>
                </w:tcPr>
                <w:p w14:paraId="26B64EDD">
                  <w:pPr>
                    <w:pStyle w:val="5"/>
                    <w:spacing w:line="240" w:lineRule="auto"/>
                    <w:ind w:firstLine="0" w:firstLineChars="0"/>
                    <w:jc w:val="center"/>
                    <w:rPr>
                      <w:rFonts w:hint="default"/>
                      <w:b w:val="0"/>
                      <w:bCs w:val="0"/>
                      <w:sz w:val="18"/>
                      <w:szCs w:val="18"/>
                      <w:u w:val="none"/>
                    </w:rPr>
                  </w:pPr>
                  <w:r>
                    <w:rPr>
                      <w:b w:val="0"/>
                      <w:bCs w:val="0"/>
                      <w:sz w:val="18"/>
                      <w:szCs w:val="18"/>
                      <w:u w:val="none"/>
                    </w:rPr>
                    <w:t>氨提纯生产区</w:t>
                  </w:r>
                </w:p>
              </w:tc>
              <w:tc>
                <w:tcPr>
                  <w:tcW w:w="868" w:type="pct"/>
                  <w:tcBorders>
                    <w:tl2br w:val="nil"/>
                    <w:tr2bl w:val="nil"/>
                  </w:tcBorders>
                  <w:vAlign w:val="center"/>
                </w:tcPr>
                <w:p w14:paraId="3AFC40CA">
                  <w:pPr>
                    <w:pStyle w:val="5"/>
                    <w:spacing w:line="240" w:lineRule="auto"/>
                    <w:ind w:firstLine="0" w:firstLineChars="0"/>
                    <w:jc w:val="center"/>
                    <w:rPr>
                      <w:rFonts w:hint="default"/>
                      <w:b w:val="0"/>
                      <w:bCs w:val="0"/>
                      <w:sz w:val="18"/>
                      <w:szCs w:val="18"/>
                      <w:u w:val="none"/>
                    </w:rPr>
                  </w:pPr>
                  <w:r>
                    <w:rPr>
                      <w:b w:val="0"/>
                      <w:bCs w:val="0"/>
                      <w:sz w:val="18"/>
                      <w:szCs w:val="18"/>
                      <w:u w:val="none"/>
                    </w:rPr>
                    <w:t>NH</w:t>
                  </w:r>
                  <w:r>
                    <w:rPr>
                      <w:b w:val="0"/>
                      <w:bCs w:val="0"/>
                      <w:sz w:val="18"/>
                      <w:szCs w:val="18"/>
                      <w:u w:val="none"/>
                      <w:vertAlign w:val="subscript"/>
                    </w:rPr>
                    <w:t>3</w:t>
                  </w:r>
                </w:p>
              </w:tc>
              <w:tc>
                <w:tcPr>
                  <w:tcW w:w="868" w:type="pct"/>
                  <w:tcBorders>
                    <w:tl2br w:val="nil"/>
                    <w:tr2bl w:val="nil"/>
                  </w:tcBorders>
                  <w:vAlign w:val="center"/>
                </w:tcPr>
                <w:p w14:paraId="7A4E4A50">
                  <w:pPr>
                    <w:pStyle w:val="5"/>
                    <w:spacing w:line="240" w:lineRule="auto"/>
                    <w:ind w:firstLine="0" w:firstLineChars="0"/>
                    <w:jc w:val="center"/>
                    <w:rPr>
                      <w:rFonts w:hint="default"/>
                      <w:b w:val="0"/>
                      <w:bCs w:val="0"/>
                      <w:sz w:val="18"/>
                      <w:szCs w:val="18"/>
                      <w:u w:val="none"/>
                    </w:rPr>
                  </w:pPr>
                  <w:r>
                    <w:rPr>
                      <w:b w:val="0"/>
                      <w:bCs w:val="0"/>
                      <w:sz w:val="18"/>
                      <w:szCs w:val="18"/>
                      <w:u w:val="none"/>
                    </w:rPr>
                    <w:t>6818t/a</w:t>
                  </w:r>
                </w:p>
              </w:tc>
              <w:tc>
                <w:tcPr>
                  <w:tcW w:w="660" w:type="pct"/>
                  <w:tcBorders>
                    <w:tl2br w:val="nil"/>
                    <w:tr2bl w:val="nil"/>
                  </w:tcBorders>
                  <w:vAlign w:val="center"/>
                </w:tcPr>
                <w:p w14:paraId="2885E376">
                  <w:pPr>
                    <w:pStyle w:val="5"/>
                    <w:spacing w:line="240" w:lineRule="auto"/>
                    <w:ind w:firstLine="0" w:firstLineChars="0"/>
                    <w:jc w:val="center"/>
                    <w:rPr>
                      <w:rFonts w:hint="default"/>
                      <w:b w:val="0"/>
                      <w:bCs w:val="0"/>
                      <w:sz w:val="18"/>
                      <w:szCs w:val="18"/>
                      <w:u w:val="none"/>
                    </w:rPr>
                  </w:pPr>
                  <w:r>
                    <w:rPr>
                      <w:b w:val="0"/>
                      <w:bCs w:val="0"/>
                      <w:sz w:val="18"/>
                      <w:szCs w:val="18"/>
                      <w:u w:val="none"/>
                    </w:rPr>
                    <w:t>0.01%</w:t>
                  </w:r>
                </w:p>
              </w:tc>
              <w:tc>
                <w:tcPr>
                  <w:tcW w:w="1075" w:type="pct"/>
                  <w:tcBorders>
                    <w:tl2br w:val="nil"/>
                    <w:tr2bl w:val="nil"/>
                  </w:tcBorders>
                  <w:vAlign w:val="center"/>
                </w:tcPr>
                <w:p w14:paraId="3373FE35">
                  <w:pPr>
                    <w:pStyle w:val="5"/>
                    <w:spacing w:line="240" w:lineRule="auto"/>
                    <w:ind w:firstLine="0" w:firstLineChars="0"/>
                    <w:jc w:val="center"/>
                    <w:rPr>
                      <w:rFonts w:hint="default"/>
                      <w:b w:val="0"/>
                      <w:bCs w:val="0"/>
                      <w:sz w:val="18"/>
                      <w:szCs w:val="18"/>
                      <w:u w:val="none"/>
                    </w:rPr>
                  </w:pPr>
                  <w:r>
                    <w:rPr>
                      <w:b w:val="0"/>
                      <w:bCs w:val="0"/>
                      <w:sz w:val="18"/>
                      <w:szCs w:val="18"/>
                      <w:u w:val="none"/>
                    </w:rPr>
                    <w:t>0.095kg/h</w:t>
                  </w:r>
                </w:p>
              </w:tc>
              <w:tc>
                <w:tcPr>
                  <w:tcW w:w="868" w:type="pct"/>
                  <w:tcBorders>
                    <w:tl2br w:val="nil"/>
                    <w:tr2bl w:val="nil"/>
                  </w:tcBorders>
                  <w:vAlign w:val="center"/>
                </w:tcPr>
                <w:p w14:paraId="03EC1704">
                  <w:pPr>
                    <w:pStyle w:val="5"/>
                    <w:spacing w:line="240" w:lineRule="auto"/>
                    <w:ind w:firstLine="0" w:firstLineChars="0"/>
                    <w:jc w:val="center"/>
                    <w:rPr>
                      <w:rFonts w:hint="default"/>
                      <w:b w:val="0"/>
                      <w:bCs w:val="0"/>
                      <w:sz w:val="18"/>
                      <w:szCs w:val="18"/>
                      <w:u w:val="none"/>
                    </w:rPr>
                  </w:pPr>
                  <w:r>
                    <w:rPr>
                      <w:b w:val="0"/>
                      <w:bCs w:val="0"/>
                      <w:sz w:val="18"/>
                      <w:szCs w:val="18"/>
                      <w:u w:val="none"/>
                    </w:rPr>
                    <w:t>0.6818</w:t>
                  </w:r>
                </w:p>
              </w:tc>
            </w:tr>
          </w:tbl>
          <w:p w14:paraId="736F5E14">
            <w:pPr>
              <w:pStyle w:val="5"/>
              <w:numPr>
                <w:ilvl w:val="0"/>
                <w:numId w:val="12"/>
              </w:numPr>
              <w:rPr>
                <w:rFonts w:hint="default"/>
                <w:b w:val="0"/>
                <w:bCs w:val="0"/>
                <w:u w:val="none"/>
              </w:rPr>
            </w:pPr>
            <w:r>
              <w:rPr>
                <w:rFonts w:hint="default"/>
                <w:b w:val="0"/>
                <w:bCs w:val="0"/>
                <w:u w:val="none"/>
              </w:rPr>
              <w:t>储罐及装卸区废气</w:t>
            </w:r>
          </w:p>
          <w:p w14:paraId="12791117">
            <w:pPr>
              <w:pStyle w:val="5"/>
              <w:rPr>
                <w:rFonts w:hint="default"/>
                <w:b w:val="0"/>
                <w:bCs w:val="0"/>
                <w:u w:val="none"/>
              </w:rPr>
            </w:pPr>
            <w:r>
              <w:rPr>
                <w:rFonts w:hint="default"/>
                <w:b w:val="0"/>
                <w:bCs w:val="0"/>
                <w:u w:val="none"/>
              </w:rPr>
              <w:t>项目主要考虑氨储罐无组织废气。储罐区设置探测仪、报警装置、应急喷淋等设施、罐体与罐体之间设置不燃烧实体隔断防火堤。罐区电气设备符合防火防爆要求。当天气温度较高或者泄露时，自动喷淋系统将对储罐区储罐外壳进行喷淋降温；喷淋水循环使用。同时在储罐区旁设置装卸区，可满足多辆车同时进行装卸。本次评价对罐区及装卸废气参照化工部[90]化生字第213号文《化工系统“无泄漏工厂”管理办法》中相关规定，以物料总量的0.01‰</w:t>
            </w:r>
            <w:r>
              <w:rPr>
                <w:b w:val="0"/>
                <w:bCs w:val="0"/>
                <w:u w:val="none"/>
              </w:rPr>
              <w:t>计算</w:t>
            </w:r>
            <w:r>
              <w:rPr>
                <w:rFonts w:hint="default"/>
                <w:b w:val="0"/>
                <w:bCs w:val="0"/>
                <w:u w:val="none"/>
              </w:rPr>
              <w:t>储罐及装卸区</w:t>
            </w:r>
            <w:r>
              <w:rPr>
                <w:b w:val="0"/>
                <w:bCs w:val="0"/>
                <w:u w:val="none"/>
              </w:rPr>
              <w:t>无组织</w:t>
            </w:r>
            <w:r>
              <w:rPr>
                <w:rFonts w:hint="default"/>
                <w:b w:val="0"/>
                <w:bCs w:val="0"/>
                <w:u w:val="none"/>
              </w:rPr>
              <w:t>废气</w:t>
            </w:r>
            <w:r>
              <w:rPr>
                <w:b w:val="0"/>
                <w:bCs w:val="0"/>
                <w:u w:val="none"/>
              </w:rPr>
              <w:t>。</w:t>
            </w:r>
          </w:p>
          <w:p w14:paraId="49916184">
            <w:pPr>
              <w:pStyle w:val="5"/>
              <w:rPr>
                <w:rFonts w:hint="default"/>
                <w:b w:val="0"/>
                <w:bCs w:val="0"/>
                <w:u w:val="none"/>
              </w:rPr>
            </w:pPr>
            <w:r>
              <w:rPr>
                <w:rFonts w:hint="default"/>
                <w:b w:val="0"/>
                <w:bCs w:val="0"/>
                <w:u w:val="none"/>
              </w:rPr>
              <w:t>根据物料使用量，估算项目储罐无组织废气排放量为：</w:t>
            </w:r>
          </w:p>
          <w:p w14:paraId="6956EDB3">
            <w:pPr>
              <w:pStyle w:val="44"/>
              <w:numPr>
                <w:ilvl w:val="0"/>
                <w:numId w:val="2"/>
              </w:numPr>
              <w:rPr>
                <w:rFonts w:hint="default"/>
                <w:b w:val="0"/>
                <w:bCs w:val="0"/>
                <w:u w:val="none"/>
              </w:rPr>
            </w:pPr>
            <w:r>
              <w:rPr>
                <w:rFonts w:hint="default"/>
                <w:b w:val="0"/>
                <w:bCs w:val="0"/>
                <w:u w:val="none"/>
              </w:rPr>
              <w:t>废气产排情况一览表</w:t>
            </w:r>
          </w:p>
          <w:tbl>
            <w:tblPr>
              <w:tblStyle w:val="28"/>
              <w:tblW w:w="4998"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285"/>
              <w:gridCol w:w="1285"/>
              <w:gridCol w:w="979"/>
              <w:gridCol w:w="1592"/>
              <w:gridCol w:w="1285"/>
            </w:tblGrid>
            <w:tr w14:paraId="6B0D6F9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9" w:type="pct"/>
                  <w:tcBorders>
                    <w:tl2br w:val="nil"/>
                    <w:tr2bl w:val="nil"/>
                  </w:tcBorders>
                  <w:vAlign w:val="center"/>
                </w:tcPr>
                <w:p w14:paraId="46E9E9AF">
                  <w:pPr>
                    <w:pStyle w:val="5"/>
                    <w:spacing w:line="240" w:lineRule="auto"/>
                    <w:ind w:firstLine="0" w:firstLineChars="0"/>
                    <w:jc w:val="center"/>
                    <w:rPr>
                      <w:rFonts w:hint="default"/>
                      <w:b w:val="0"/>
                      <w:bCs w:val="0"/>
                      <w:sz w:val="18"/>
                      <w:szCs w:val="18"/>
                      <w:highlight w:val="none"/>
                      <w:u w:val="none"/>
                    </w:rPr>
                  </w:pPr>
                  <w:r>
                    <w:rPr>
                      <w:rFonts w:hint="default"/>
                      <w:b w:val="0"/>
                      <w:bCs w:val="0"/>
                      <w:sz w:val="18"/>
                      <w:szCs w:val="18"/>
                      <w:highlight w:val="none"/>
                      <w:u w:val="none"/>
                    </w:rPr>
                    <w:t>区域</w:t>
                  </w:r>
                </w:p>
              </w:tc>
              <w:tc>
                <w:tcPr>
                  <w:tcW w:w="868" w:type="pct"/>
                  <w:tcBorders>
                    <w:tl2br w:val="nil"/>
                    <w:tr2bl w:val="nil"/>
                  </w:tcBorders>
                  <w:vAlign w:val="center"/>
                </w:tcPr>
                <w:p w14:paraId="16B6A981">
                  <w:pPr>
                    <w:pStyle w:val="5"/>
                    <w:spacing w:line="240" w:lineRule="auto"/>
                    <w:ind w:firstLine="0" w:firstLineChars="0"/>
                    <w:jc w:val="center"/>
                    <w:rPr>
                      <w:rFonts w:hint="default"/>
                      <w:b w:val="0"/>
                      <w:bCs w:val="0"/>
                      <w:sz w:val="18"/>
                      <w:szCs w:val="18"/>
                      <w:highlight w:val="none"/>
                      <w:u w:val="none"/>
                    </w:rPr>
                  </w:pPr>
                  <w:r>
                    <w:rPr>
                      <w:rFonts w:hint="default"/>
                      <w:b w:val="0"/>
                      <w:bCs w:val="0"/>
                      <w:sz w:val="18"/>
                      <w:szCs w:val="18"/>
                      <w:highlight w:val="none"/>
                      <w:u w:val="none"/>
                    </w:rPr>
                    <w:t>污染物</w:t>
                  </w:r>
                </w:p>
              </w:tc>
              <w:tc>
                <w:tcPr>
                  <w:tcW w:w="868" w:type="pct"/>
                  <w:tcBorders>
                    <w:tl2br w:val="nil"/>
                    <w:tr2bl w:val="nil"/>
                  </w:tcBorders>
                  <w:vAlign w:val="center"/>
                </w:tcPr>
                <w:p w14:paraId="789185EA">
                  <w:pPr>
                    <w:pStyle w:val="5"/>
                    <w:spacing w:line="240" w:lineRule="auto"/>
                    <w:ind w:firstLine="0" w:firstLineChars="0"/>
                    <w:jc w:val="center"/>
                    <w:rPr>
                      <w:rFonts w:hint="default"/>
                      <w:b w:val="0"/>
                      <w:bCs w:val="0"/>
                      <w:sz w:val="18"/>
                      <w:szCs w:val="18"/>
                      <w:highlight w:val="none"/>
                      <w:u w:val="none"/>
                    </w:rPr>
                  </w:pPr>
                  <w:r>
                    <w:rPr>
                      <w:rFonts w:hint="default"/>
                      <w:b w:val="0"/>
                      <w:bCs w:val="0"/>
                      <w:sz w:val="18"/>
                      <w:szCs w:val="18"/>
                      <w:highlight w:val="none"/>
                      <w:u w:val="none"/>
                    </w:rPr>
                    <w:t>原料量</w:t>
                  </w:r>
                </w:p>
              </w:tc>
              <w:tc>
                <w:tcPr>
                  <w:tcW w:w="660" w:type="pct"/>
                  <w:tcBorders>
                    <w:tl2br w:val="nil"/>
                    <w:tr2bl w:val="nil"/>
                  </w:tcBorders>
                  <w:vAlign w:val="center"/>
                </w:tcPr>
                <w:p w14:paraId="01CB49DD">
                  <w:pPr>
                    <w:pStyle w:val="5"/>
                    <w:spacing w:line="240" w:lineRule="auto"/>
                    <w:ind w:firstLine="0" w:firstLineChars="0"/>
                    <w:jc w:val="center"/>
                    <w:rPr>
                      <w:rFonts w:hint="default"/>
                      <w:b w:val="0"/>
                      <w:bCs w:val="0"/>
                      <w:sz w:val="18"/>
                      <w:szCs w:val="18"/>
                      <w:highlight w:val="none"/>
                      <w:u w:val="none"/>
                    </w:rPr>
                  </w:pPr>
                  <w:r>
                    <w:rPr>
                      <w:rFonts w:hint="default"/>
                      <w:b w:val="0"/>
                      <w:bCs w:val="0"/>
                      <w:sz w:val="18"/>
                      <w:szCs w:val="18"/>
                      <w:highlight w:val="none"/>
                      <w:u w:val="none"/>
                    </w:rPr>
                    <w:t>比例</w:t>
                  </w:r>
                </w:p>
              </w:tc>
              <w:tc>
                <w:tcPr>
                  <w:tcW w:w="1075" w:type="pct"/>
                  <w:tcBorders>
                    <w:tl2br w:val="nil"/>
                    <w:tr2bl w:val="nil"/>
                  </w:tcBorders>
                  <w:vAlign w:val="center"/>
                </w:tcPr>
                <w:p w14:paraId="6EDD4D78">
                  <w:pPr>
                    <w:pStyle w:val="5"/>
                    <w:spacing w:line="240" w:lineRule="auto"/>
                    <w:ind w:firstLine="0" w:firstLineChars="0"/>
                    <w:jc w:val="center"/>
                    <w:rPr>
                      <w:rFonts w:hint="default"/>
                      <w:b w:val="0"/>
                      <w:bCs w:val="0"/>
                      <w:sz w:val="18"/>
                      <w:szCs w:val="18"/>
                      <w:highlight w:val="none"/>
                      <w:u w:val="none"/>
                    </w:rPr>
                  </w:pPr>
                  <w:r>
                    <w:rPr>
                      <w:rFonts w:hint="default"/>
                      <w:b w:val="0"/>
                      <w:bCs w:val="0"/>
                      <w:sz w:val="18"/>
                      <w:szCs w:val="18"/>
                      <w:highlight w:val="none"/>
                      <w:u w:val="none"/>
                    </w:rPr>
                    <w:t>排放速率</w:t>
                  </w:r>
                </w:p>
              </w:tc>
              <w:tc>
                <w:tcPr>
                  <w:tcW w:w="868" w:type="pct"/>
                  <w:tcBorders>
                    <w:tl2br w:val="nil"/>
                    <w:tr2bl w:val="nil"/>
                  </w:tcBorders>
                  <w:vAlign w:val="center"/>
                </w:tcPr>
                <w:p w14:paraId="3AF1D88D">
                  <w:pPr>
                    <w:pStyle w:val="5"/>
                    <w:spacing w:line="240" w:lineRule="auto"/>
                    <w:ind w:firstLine="0" w:firstLineChars="0"/>
                    <w:jc w:val="center"/>
                    <w:rPr>
                      <w:rFonts w:hint="default"/>
                      <w:b w:val="0"/>
                      <w:bCs w:val="0"/>
                      <w:sz w:val="18"/>
                      <w:szCs w:val="18"/>
                      <w:highlight w:val="none"/>
                      <w:u w:val="none"/>
                    </w:rPr>
                  </w:pPr>
                  <w:r>
                    <w:rPr>
                      <w:rFonts w:hint="default"/>
                      <w:b w:val="0"/>
                      <w:bCs w:val="0"/>
                      <w:sz w:val="18"/>
                      <w:szCs w:val="18"/>
                      <w:highlight w:val="none"/>
                      <w:u w:val="none"/>
                    </w:rPr>
                    <w:t>排放量</w:t>
                  </w:r>
                </w:p>
              </w:tc>
            </w:tr>
            <w:tr w14:paraId="46E9266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9" w:type="pct"/>
                  <w:tcBorders>
                    <w:tl2br w:val="nil"/>
                    <w:tr2bl w:val="nil"/>
                  </w:tcBorders>
                  <w:vAlign w:val="center"/>
                </w:tcPr>
                <w:p w14:paraId="7D7FC46E">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原料氨储罐</w:t>
                  </w:r>
                </w:p>
              </w:tc>
              <w:tc>
                <w:tcPr>
                  <w:tcW w:w="868" w:type="pct"/>
                  <w:tcBorders>
                    <w:tl2br w:val="nil"/>
                    <w:tr2bl w:val="nil"/>
                  </w:tcBorders>
                  <w:vAlign w:val="center"/>
                </w:tcPr>
                <w:p w14:paraId="299FAD78">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NH</w:t>
                  </w:r>
                  <w:r>
                    <w:rPr>
                      <w:b w:val="0"/>
                      <w:bCs w:val="0"/>
                      <w:sz w:val="18"/>
                      <w:szCs w:val="18"/>
                      <w:highlight w:val="none"/>
                      <w:u w:val="none"/>
                      <w:vertAlign w:val="subscript"/>
                    </w:rPr>
                    <w:t>3</w:t>
                  </w:r>
                </w:p>
              </w:tc>
              <w:tc>
                <w:tcPr>
                  <w:tcW w:w="868" w:type="pct"/>
                  <w:tcBorders>
                    <w:tl2br w:val="nil"/>
                    <w:tr2bl w:val="nil"/>
                  </w:tcBorders>
                  <w:vAlign w:val="center"/>
                </w:tcPr>
                <w:p w14:paraId="6DCE91A8">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6818t/a</w:t>
                  </w:r>
                </w:p>
              </w:tc>
              <w:tc>
                <w:tcPr>
                  <w:tcW w:w="660" w:type="pct"/>
                  <w:tcBorders>
                    <w:tl2br w:val="nil"/>
                    <w:tr2bl w:val="nil"/>
                  </w:tcBorders>
                  <w:vAlign w:val="center"/>
                </w:tcPr>
                <w:p w14:paraId="28B6DBA9">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0.001%</w:t>
                  </w:r>
                </w:p>
              </w:tc>
              <w:tc>
                <w:tcPr>
                  <w:tcW w:w="1075" w:type="pct"/>
                  <w:tcBorders>
                    <w:tl2br w:val="nil"/>
                    <w:tr2bl w:val="nil"/>
                  </w:tcBorders>
                  <w:vAlign w:val="center"/>
                </w:tcPr>
                <w:p w14:paraId="0A159F2A">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0.0095kg/h</w:t>
                  </w:r>
                </w:p>
              </w:tc>
              <w:tc>
                <w:tcPr>
                  <w:tcW w:w="868" w:type="pct"/>
                  <w:tcBorders>
                    <w:tl2br w:val="nil"/>
                    <w:tr2bl w:val="nil"/>
                  </w:tcBorders>
                  <w:vAlign w:val="center"/>
                </w:tcPr>
                <w:p w14:paraId="7A87CDA5">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0.0682t/a</w:t>
                  </w:r>
                </w:p>
              </w:tc>
            </w:tr>
            <w:tr w14:paraId="4405B5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9" w:type="pct"/>
                  <w:tcBorders>
                    <w:tl2br w:val="nil"/>
                    <w:tr2bl w:val="nil"/>
                  </w:tcBorders>
                  <w:vAlign w:val="center"/>
                </w:tcPr>
                <w:p w14:paraId="79733A2C">
                  <w:pPr>
                    <w:pStyle w:val="5"/>
                    <w:spacing w:line="240" w:lineRule="auto"/>
                    <w:ind w:firstLine="0" w:firstLineChars="0"/>
                    <w:jc w:val="center"/>
                    <w:rPr>
                      <w:rFonts w:hint="default"/>
                      <w:b w:val="0"/>
                      <w:bCs w:val="0"/>
                      <w:sz w:val="18"/>
                      <w:szCs w:val="18"/>
                      <w:highlight w:val="none"/>
                      <w:u w:val="none"/>
                    </w:rPr>
                  </w:pPr>
                  <w:r>
                    <w:rPr>
                      <w:rFonts w:hint="eastAsia"/>
                      <w:b w:val="0"/>
                      <w:bCs w:val="0"/>
                      <w:sz w:val="18"/>
                      <w:szCs w:val="18"/>
                      <w:highlight w:val="none"/>
                      <w:u w:val="none"/>
                      <w:lang w:eastAsia="zh-CN"/>
                    </w:rPr>
                    <w:t>超纯氨</w:t>
                  </w:r>
                  <w:r>
                    <w:rPr>
                      <w:b w:val="0"/>
                      <w:bCs w:val="0"/>
                      <w:sz w:val="18"/>
                      <w:szCs w:val="18"/>
                      <w:highlight w:val="none"/>
                      <w:u w:val="none"/>
                    </w:rPr>
                    <w:t>储罐</w:t>
                  </w:r>
                </w:p>
              </w:tc>
              <w:tc>
                <w:tcPr>
                  <w:tcW w:w="868" w:type="pct"/>
                  <w:tcBorders>
                    <w:tl2br w:val="nil"/>
                    <w:tr2bl w:val="nil"/>
                  </w:tcBorders>
                  <w:vAlign w:val="center"/>
                </w:tcPr>
                <w:p w14:paraId="548B9462">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NH</w:t>
                  </w:r>
                  <w:r>
                    <w:rPr>
                      <w:b w:val="0"/>
                      <w:bCs w:val="0"/>
                      <w:sz w:val="18"/>
                      <w:szCs w:val="18"/>
                      <w:highlight w:val="none"/>
                      <w:u w:val="none"/>
                      <w:vertAlign w:val="subscript"/>
                    </w:rPr>
                    <w:t>3</w:t>
                  </w:r>
                </w:p>
              </w:tc>
              <w:tc>
                <w:tcPr>
                  <w:tcW w:w="868" w:type="pct"/>
                  <w:tcBorders>
                    <w:tl2br w:val="nil"/>
                    <w:tr2bl w:val="nil"/>
                  </w:tcBorders>
                  <w:vAlign w:val="center"/>
                </w:tcPr>
                <w:p w14:paraId="09C84ABF">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6000</w:t>
                  </w:r>
                </w:p>
              </w:tc>
              <w:tc>
                <w:tcPr>
                  <w:tcW w:w="660" w:type="pct"/>
                  <w:tcBorders>
                    <w:tl2br w:val="nil"/>
                    <w:tr2bl w:val="nil"/>
                  </w:tcBorders>
                  <w:vAlign w:val="center"/>
                </w:tcPr>
                <w:p w14:paraId="63E83E60">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0.001%</w:t>
                  </w:r>
                </w:p>
              </w:tc>
              <w:tc>
                <w:tcPr>
                  <w:tcW w:w="1075" w:type="pct"/>
                  <w:tcBorders>
                    <w:tl2br w:val="nil"/>
                    <w:tr2bl w:val="nil"/>
                  </w:tcBorders>
                  <w:vAlign w:val="center"/>
                </w:tcPr>
                <w:p w14:paraId="5FADE388">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0.0083kg/h</w:t>
                  </w:r>
                </w:p>
              </w:tc>
              <w:tc>
                <w:tcPr>
                  <w:tcW w:w="868" w:type="pct"/>
                  <w:tcBorders>
                    <w:tl2br w:val="nil"/>
                    <w:tr2bl w:val="nil"/>
                  </w:tcBorders>
                  <w:vAlign w:val="center"/>
                </w:tcPr>
                <w:p w14:paraId="2CFEBF82">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0.06t/a</w:t>
                  </w:r>
                </w:p>
              </w:tc>
            </w:tr>
            <w:tr w14:paraId="11BFE8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9" w:type="pct"/>
                  <w:tcBorders>
                    <w:tl2br w:val="nil"/>
                    <w:tr2bl w:val="nil"/>
                  </w:tcBorders>
                  <w:vAlign w:val="center"/>
                </w:tcPr>
                <w:p w14:paraId="2A1739FD">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氨水储罐</w:t>
                  </w:r>
                </w:p>
              </w:tc>
              <w:tc>
                <w:tcPr>
                  <w:tcW w:w="868" w:type="pct"/>
                  <w:tcBorders>
                    <w:tl2br w:val="nil"/>
                    <w:tr2bl w:val="nil"/>
                  </w:tcBorders>
                  <w:vAlign w:val="center"/>
                </w:tcPr>
                <w:p w14:paraId="581862B8">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NH</w:t>
                  </w:r>
                  <w:r>
                    <w:rPr>
                      <w:b w:val="0"/>
                      <w:bCs w:val="0"/>
                      <w:sz w:val="18"/>
                      <w:szCs w:val="18"/>
                      <w:highlight w:val="none"/>
                      <w:u w:val="none"/>
                      <w:vertAlign w:val="subscript"/>
                    </w:rPr>
                    <w:t>3</w:t>
                  </w:r>
                </w:p>
              </w:tc>
              <w:tc>
                <w:tcPr>
                  <w:tcW w:w="868" w:type="pct"/>
                  <w:tcBorders>
                    <w:tl2br w:val="nil"/>
                    <w:tr2bl w:val="nil"/>
                  </w:tcBorders>
                  <w:vAlign w:val="center"/>
                </w:tcPr>
                <w:p w14:paraId="3A901572">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4538</w:t>
                  </w:r>
                </w:p>
              </w:tc>
              <w:tc>
                <w:tcPr>
                  <w:tcW w:w="660" w:type="pct"/>
                  <w:tcBorders>
                    <w:tl2br w:val="nil"/>
                    <w:tr2bl w:val="nil"/>
                  </w:tcBorders>
                  <w:vAlign w:val="center"/>
                </w:tcPr>
                <w:p w14:paraId="44937FC5">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0.001%</w:t>
                  </w:r>
                </w:p>
              </w:tc>
              <w:tc>
                <w:tcPr>
                  <w:tcW w:w="1075" w:type="pct"/>
                  <w:tcBorders>
                    <w:tl2br w:val="nil"/>
                    <w:tr2bl w:val="nil"/>
                  </w:tcBorders>
                  <w:vAlign w:val="center"/>
                </w:tcPr>
                <w:p w14:paraId="69997BBC">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0.0063kg/h</w:t>
                  </w:r>
                </w:p>
              </w:tc>
              <w:tc>
                <w:tcPr>
                  <w:tcW w:w="868" w:type="pct"/>
                  <w:tcBorders>
                    <w:tl2br w:val="nil"/>
                    <w:tr2bl w:val="nil"/>
                  </w:tcBorders>
                  <w:vAlign w:val="center"/>
                </w:tcPr>
                <w:p w14:paraId="402CCCF7">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0.0454t/a</w:t>
                  </w:r>
                </w:p>
              </w:tc>
            </w:tr>
            <w:tr w14:paraId="0B9676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056" w:type="pct"/>
                  <w:gridSpan w:val="4"/>
                  <w:tcBorders>
                    <w:tl2br w:val="nil"/>
                    <w:tr2bl w:val="nil"/>
                  </w:tcBorders>
                  <w:vAlign w:val="center"/>
                </w:tcPr>
                <w:p w14:paraId="0A3E2597">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合计</w:t>
                  </w:r>
                </w:p>
              </w:tc>
              <w:tc>
                <w:tcPr>
                  <w:tcW w:w="1075" w:type="pct"/>
                  <w:tcBorders>
                    <w:tl2br w:val="nil"/>
                    <w:tr2bl w:val="nil"/>
                  </w:tcBorders>
                  <w:vAlign w:val="center"/>
                </w:tcPr>
                <w:p w14:paraId="0D34BDC4">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0.0241kg/h</w:t>
                  </w:r>
                </w:p>
              </w:tc>
              <w:tc>
                <w:tcPr>
                  <w:tcW w:w="868" w:type="pct"/>
                  <w:tcBorders>
                    <w:tl2br w:val="nil"/>
                    <w:tr2bl w:val="nil"/>
                  </w:tcBorders>
                  <w:vAlign w:val="center"/>
                </w:tcPr>
                <w:p w14:paraId="3B60CC9D">
                  <w:pPr>
                    <w:pStyle w:val="5"/>
                    <w:spacing w:line="240" w:lineRule="auto"/>
                    <w:ind w:firstLine="0" w:firstLineChars="0"/>
                    <w:jc w:val="center"/>
                    <w:rPr>
                      <w:rFonts w:hint="default"/>
                      <w:b w:val="0"/>
                      <w:bCs w:val="0"/>
                      <w:sz w:val="18"/>
                      <w:szCs w:val="18"/>
                      <w:highlight w:val="none"/>
                      <w:u w:val="none"/>
                    </w:rPr>
                  </w:pPr>
                  <w:r>
                    <w:rPr>
                      <w:b w:val="0"/>
                      <w:bCs w:val="0"/>
                      <w:sz w:val="18"/>
                      <w:szCs w:val="18"/>
                      <w:highlight w:val="none"/>
                      <w:u w:val="none"/>
                    </w:rPr>
                    <w:t>0.1736t/a</w:t>
                  </w:r>
                </w:p>
              </w:tc>
            </w:tr>
          </w:tbl>
          <w:p w14:paraId="2652D9C8">
            <w:pPr>
              <w:pStyle w:val="6"/>
              <w:numPr>
                <w:ilvl w:val="2"/>
                <w:numId w:val="3"/>
              </w:numPr>
              <w:rPr>
                <w:b w:val="0"/>
                <w:bCs w:val="0"/>
                <w:u w:val="none"/>
              </w:rPr>
            </w:pPr>
            <w:r>
              <w:rPr>
                <w:rFonts w:hint="eastAsia"/>
                <w:b w:val="0"/>
                <w:bCs w:val="0"/>
                <w:u w:val="none"/>
              </w:rPr>
              <w:t>废气处理措施可行性分析</w:t>
            </w:r>
          </w:p>
          <w:p w14:paraId="5379A3D3">
            <w:pPr>
              <w:pStyle w:val="5"/>
              <w:rPr>
                <w:rFonts w:hint="default"/>
                <w:b/>
                <w:bCs/>
                <w:u w:val="single"/>
              </w:rPr>
            </w:pPr>
            <w:r>
              <w:rPr>
                <w:b/>
                <w:bCs/>
                <w:u w:val="single"/>
              </w:rPr>
              <w:t>（1）氨提出尾气处理措施可行性分析</w:t>
            </w:r>
          </w:p>
          <w:p w14:paraId="7C8EAB24">
            <w:pPr>
              <w:pStyle w:val="5"/>
              <w:rPr>
                <w:rFonts w:hint="default"/>
                <w:b/>
                <w:bCs/>
                <w:u w:val="single"/>
              </w:rPr>
            </w:pPr>
            <w:r>
              <w:rPr>
                <w:b/>
                <w:bCs/>
                <w:u w:val="single"/>
              </w:rPr>
              <w:t>《排污许可证申请与核发技术规范 无机化学工业》（HJ 1035—2019）表8.2中“纯碱-粗品分离”排放的氨采用水洗工艺治理，本项目氨水制备系统与该工艺产生的废气及治理方式类似，因此，采取废氨气采用两级吸氨塔+三级水喷淋吸收塔为可行技术。</w:t>
            </w:r>
          </w:p>
          <w:p w14:paraId="08488DF3">
            <w:pPr>
              <w:pStyle w:val="6"/>
              <w:numPr>
                <w:ilvl w:val="2"/>
                <w:numId w:val="3"/>
              </w:numPr>
              <w:rPr>
                <w:b w:val="0"/>
                <w:bCs w:val="0"/>
                <w:u w:val="none"/>
              </w:rPr>
            </w:pPr>
            <w:r>
              <w:rPr>
                <w:b w:val="0"/>
                <w:bCs w:val="0"/>
                <w:u w:val="none"/>
              </w:rPr>
              <w:t>非正常工况</w:t>
            </w:r>
          </w:p>
          <w:p w14:paraId="627A5F25">
            <w:pPr>
              <w:pStyle w:val="5"/>
              <w:rPr>
                <w:rFonts w:hint="default"/>
                <w:b w:val="0"/>
                <w:bCs w:val="0"/>
                <w:u w:val="none"/>
              </w:rPr>
            </w:pPr>
            <w:r>
              <w:rPr>
                <w:rFonts w:hint="default"/>
                <w:b w:val="0"/>
                <w:bCs w:val="0"/>
                <w:u w:val="none"/>
              </w:rPr>
              <w:t>根据废气处理装置特点，本次废气非正常排放主要考虑</w:t>
            </w:r>
            <w:r>
              <w:rPr>
                <w:b w:val="0"/>
                <w:bCs w:val="0"/>
                <w:u w:val="none"/>
              </w:rPr>
              <w:t>制氨水系统吸附饱和等故障</w:t>
            </w:r>
            <w:r>
              <w:rPr>
                <w:rFonts w:hint="default"/>
                <w:b w:val="0"/>
                <w:bCs w:val="0"/>
                <w:u w:val="none"/>
              </w:rPr>
              <w:t>导致废气未经处理直接排放</w:t>
            </w:r>
            <w:r>
              <w:rPr>
                <w:b w:val="0"/>
                <w:bCs w:val="0"/>
                <w:u w:val="none"/>
              </w:rPr>
              <w:t>。</w:t>
            </w:r>
            <w:r>
              <w:rPr>
                <w:rFonts w:hint="default"/>
                <w:b w:val="0"/>
                <w:bCs w:val="0"/>
                <w:u w:val="none"/>
              </w:rPr>
              <w:t>非正常排放状况下污染物排放情况见下表。</w:t>
            </w:r>
          </w:p>
          <w:p w14:paraId="0BA0ED4E">
            <w:pPr>
              <w:pStyle w:val="44"/>
              <w:numPr>
                <w:ilvl w:val="0"/>
                <w:numId w:val="2"/>
              </w:numPr>
              <w:rPr>
                <w:rFonts w:hint="default"/>
                <w:b w:val="0"/>
                <w:bCs w:val="0"/>
                <w:u w:val="none"/>
              </w:rPr>
            </w:pPr>
            <w:r>
              <w:rPr>
                <w:rFonts w:hint="default"/>
                <w:b w:val="0"/>
                <w:bCs w:val="0"/>
                <w:u w:val="none"/>
              </w:rPr>
              <w:t>非正常排放状况下污染物排放情况</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86"/>
              <w:gridCol w:w="1242"/>
              <w:gridCol w:w="677"/>
              <w:gridCol w:w="971"/>
              <w:gridCol w:w="785"/>
              <w:gridCol w:w="763"/>
              <w:gridCol w:w="807"/>
              <w:gridCol w:w="829"/>
              <w:gridCol w:w="746"/>
            </w:tblGrid>
            <w:tr w14:paraId="141BB99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86" w:type="dxa"/>
                  <w:tcBorders>
                    <w:tl2br w:val="nil"/>
                    <w:tr2bl w:val="nil"/>
                  </w:tcBorders>
                  <w:vAlign w:val="center"/>
                </w:tcPr>
                <w:p w14:paraId="37BC7B2A">
                  <w:pPr>
                    <w:pStyle w:val="45"/>
                    <w:rPr>
                      <w:rFonts w:hint="default"/>
                      <w:b w:val="0"/>
                      <w:bCs w:val="0"/>
                      <w:u w:val="none"/>
                    </w:rPr>
                  </w:pPr>
                  <w:r>
                    <w:rPr>
                      <w:b w:val="0"/>
                      <w:bCs w:val="0"/>
                      <w:u w:val="none"/>
                    </w:rPr>
                    <w:t>排放口</w:t>
                  </w:r>
                </w:p>
              </w:tc>
              <w:tc>
                <w:tcPr>
                  <w:tcW w:w="1242" w:type="dxa"/>
                  <w:tcBorders>
                    <w:tl2br w:val="nil"/>
                    <w:tr2bl w:val="nil"/>
                  </w:tcBorders>
                  <w:vAlign w:val="center"/>
                </w:tcPr>
                <w:p w14:paraId="54CDCC14">
                  <w:pPr>
                    <w:pStyle w:val="45"/>
                    <w:rPr>
                      <w:rFonts w:hint="default"/>
                      <w:b w:val="0"/>
                      <w:bCs w:val="0"/>
                      <w:u w:val="none"/>
                    </w:rPr>
                  </w:pPr>
                  <w:r>
                    <w:rPr>
                      <w:b w:val="0"/>
                      <w:bCs w:val="0"/>
                      <w:u w:val="none"/>
                    </w:rPr>
                    <w:t>非正常排放原因</w:t>
                  </w:r>
                </w:p>
              </w:tc>
              <w:tc>
                <w:tcPr>
                  <w:tcW w:w="677" w:type="dxa"/>
                  <w:tcBorders>
                    <w:tl2br w:val="nil"/>
                    <w:tr2bl w:val="nil"/>
                  </w:tcBorders>
                  <w:vAlign w:val="center"/>
                </w:tcPr>
                <w:p w14:paraId="761B0297">
                  <w:pPr>
                    <w:pStyle w:val="45"/>
                    <w:rPr>
                      <w:rFonts w:hint="default"/>
                      <w:b w:val="0"/>
                      <w:bCs w:val="0"/>
                      <w:u w:val="none"/>
                    </w:rPr>
                  </w:pPr>
                  <w:r>
                    <w:rPr>
                      <w:b w:val="0"/>
                      <w:bCs w:val="0"/>
                      <w:u w:val="none"/>
                    </w:rPr>
                    <w:t>污染物种类</w:t>
                  </w:r>
                </w:p>
              </w:tc>
              <w:tc>
                <w:tcPr>
                  <w:tcW w:w="971" w:type="dxa"/>
                  <w:tcBorders>
                    <w:tl2br w:val="nil"/>
                    <w:tr2bl w:val="nil"/>
                  </w:tcBorders>
                  <w:vAlign w:val="center"/>
                </w:tcPr>
                <w:p w14:paraId="053F4735">
                  <w:pPr>
                    <w:pStyle w:val="45"/>
                    <w:rPr>
                      <w:rFonts w:hint="default"/>
                      <w:b w:val="0"/>
                      <w:bCs w:val="0"/>
                      <w:u w:val="none"/>
                    </w:rPr>
                  </w:pPr>
                  <w:r>
                    <w:rPr>
                      <w:b w:val="0"/>
                      <w:bCs w:val="0"/>
                      <w:u w:val="none"/>
                    </w:rPr>
                    <w:t>非正常排放浓度（mg/m</w:t>
                  </w:r>
                  <w:r>
                    <w:rPr>
                      <w:b w:val="0"/>
                      <w:bCs w:val="0"/>
                      <w:u w:val="none"/>
                      <w:vertAlign w:val="superscript"/>
                    </w:rPr>
                    <w:t>3</w:t>
                  </w:r>
                  <w:r>
                    <w:rPr>
                      <w:b w:val="0"/>
                      <w:bCs w:val="0"/>
                      <w:u w:val="none"/>
                    </w:rPr>
                    <w:t>）</w:t>
                  </w:r>
                </w:p>
              </w:tc>
              <w:tc>
                <w:tcPr>
                  <w:tcW w:w="785" w:type="dxa"/>
                  <w:tcBorders>
                    <w:tl2br w:val="nil"/>
                    <w:tr2bl w:val="nil"/>
                  </w:tcBorders>
                  <w:vAlign w:val="center"/>
                </w:tcPr>
                <w:p w14:paraId="679B628A">
                  <w:pPr>
                    <w:pStyle w:val="45"/>
                    <w:rPr>
                      <w:rFonts w:hint="default"/>
                      <w:b w:val="0"/>
                      <w:bCs w:val="0"/>
                      <w:u w:val="none"/>
                    </w:rPr>
                  </w:pPr>
                  <w:r>
                    <w:rPr>
                      <w:b w:val="0"/>
                      <w:bCs w:val="0"/>
                      <w:u w:val="none"/>
                    </w:rPr>
                    <w:t>非正常排放速率（kg/h）</w:t>
                  </w:r>
                </w:p>
              </w:tc>
              <w:tc>
                <w:tcPr>
                  <w:tcW w:w="763" w:type="dxa"/>
                  <w:tcBorders>
                    <w:tl2br w:val="nil"/>
                    <w:tr2bl w:val="nil"/>
                  </w:tcBorders>
                  <w:vAlign w:val="center"/>
                </w:tcPr>
                <w:p w14:paraId="4F20415E">
                  <w:pPr>
                    <w:pStyle w:val="45"/>
                    <w:rPr>
                      <w:rFonts w:hint="default"/>
                      <w:b w:val="0"/>
                      <w:bCs w:val="0"/>
                      <w:u w:val="none"/>
                    </w:rPr>
                  </w:pPr>
                  <w:r>
                    <w:rPr>
                      <w:b w:val="0"/>
                      <w:bCs w:val="0"/>
                      <w:u w:val="none"/>
                    </w:rPr>
                    <w:t>单次持续时间/h</w:t>
                  </w:r>
                </w:p>
              </w:tc>
              <w:tc>
                <w:tcPr>
                  <w:tcW w:w="807" w:type="dxa"/>
                  <w:tcBorders>
                    <w:tl2br w:val="nil"/>
                    <w:tr2bl w:val="nil"/>
                  </w:tcBorders>
                  <w:vAlign w:val="center"/>
                </w:tcPr>
                <w:p w14:paraId="237888F2">
                  <w:pPr>
                    <w:pStyle w:val="45"/>
                    <w:rPr>
                      <w:rFonts w:hint="default"/>
                      <w:b w:val="0"/>
                      <w:bCs w:val="0"/>
                      <w:u w:val="none"/>
                    </w:rPr>
                  </w:pPr>
                  <w:r>
                    <w:rPr>
                      <w:b w:val="0"/>
                      <w:bCs w:val="0"/>
                      <w:u w:val="none"/>
                    </w:rPr>
                    <w:t>年发生频次/次</w:t>
                  </w:r>
                </w:p>
              </w:tc>
              <w:tc>
                <w:tcPr>
                  <w:tcW w:w="829" w:type="dxa"/>
                  <w:tcBorders>
                    <w:tl2br w:val="nil"/>
                    <w:tr2bl w:val="nil"/>
                  </w:tcBorders>
                  <w:vAlign w:val="center"/>
                </w:tcPr>
                <w:p w14:paraId="622A5E90">
                  <w:pPr>
                    <w:pStyle w:val="45"/>
                    <w:rPr>
                      <w:rFonts w:hint="default"/>
                      <w:b w:val="0"/>
                      <w:bCs w:val="0"/>
                      <w:u w:val="none"/>
                    </w:rPr>
                  </w:pPr>
                  <w:r>
                    <w:rPr>
                      <w:b w:val="0"/>
                      <w:bCs w:val="0"/>
                      <w:u w:val="none"/>
                    </w:rPr>
                    <w:t>排放量（</w:t>
                  </w:r>
                  <w:r>
                    <w:rPr>
                      <w:rFonts w:hint="eastAsia"/>
                      <w:b w:val="0"/>
                      <w:bCs w:val="0"/>
                      <w:u w:val="none"/>
                      <w:lang w:val="en-US" w:eastAsia="zh-CN"/>
                    </w:rPr>
                    <w:t>kg</w:t>
                  </w:r>
                  <w:r>
                    <w:rPr>
                      <w:b w:val="0"/>
                      <w:bCs w:val="0"/>
                      <w:u w:val="none"/>
                    </w:rPr>
                    <w:t>/a）</w:t>
                  </w:r>
                </w:p>
              </w:tc>
              <w:tc>
                <w:tcPr>
                  <w:tcW w:w="746" w:type="dxa"/>
                  <w:tcBorders>
                    <w:tl2br w:val="nil"/>
                    <w:tr2bl w:val="nil"/>
                  </w:tcBorders>
                  <w:vAlign w:val="center"/>
                </w:tcPr>
                <w:p w14:paraId="0E7AB26D">
                  <w:pPr>
                    <w:pStyle w:val="45"/>
                    <w:rPr>
                      <w:rFonts w:hint="default"/>
                      <w:b w:val="0"/>
                      <w:bCs w:val="0"/>
                      <w:u w:val="none"/>
                    </w:rPr>
                  </w:pPr>
                  <w:r>
                    <w:rPr>
                      <w:b w:val="0"/>
                      <w:bCs w:val="0"/>
                      <w:u w:val="none"/>
                    </w:rPr>
                    <w:t>应对措施</w:t>
                  </w:r>
                </w:p>
              </w:tc>
            </w:tr>
            <w:tr w14:paraId="3920EC2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86" w:type="dxa"/>
                  <w:tcBorders>
                    <w:tl2br w:val="nil"/>
                    <w:tr2bl w:val="nil"/>
                  </w:tcBorders>
                  <w:vAlign w:val="center"/>
                </w:tcPr>
                <w:p w14:paraId="06ABC654">
                  <w:pPr>
                    <w:pStyle w:val="45"/>
                    <w:rPr>
                      <w:rFonts w:hint="default"/>
                      <w:b w:val="0"/>
                      <w:bCs w:val="0"/>
                      <w:u w:val="none"/>
                    </w:rPr>
                  </w:pPr>
                  <w:r>
                    <w:rPr>
                      <w:b w:val="0"/>
                      <w:bCs w:val="0"/>
                      <w:u w:val="none"/>
                    </w:rPr>
                    <w:t>DA002</w:t>
                  </w:r>
                </w:p>
              </w:tc>
              <w:tc>
                <w:tcPr>
                  <w:tcW w:w="1242" w:type="dxa"/>
                  <w:tcBorders>
                    <w:tl2br w:val="nil"/>
                    <w:tr2bl w:val="nil"/>
                  </w:tcBorders>
                  <w:vAlign w:val="center"/>
                </w:tcPr>
                <w:p w14:paraId="06E42A49">
                  <w:pPr>
                    <w:pStyle w:val="45"/>
                    <w:rPr>
                      <w:rFonts w:hint="default"/>
                      <w:b w:val="0"/>
                      <w:bCs w:val="0"/>
                      <w:u w:val="none"/>
                    </w:rPr>
                  </w:pPr>
                  <w:r>
                    <w:rPr>
                      <w:b w:val="0"/>
                      <w:bCs w:val="0"/>
                      <w:u w:val="none"/>
                    </w:rPr>
                    <w:t>三级水喷淋装置故障，吸收效率降低至0%</w:t>
                  </w:r>
                </w:p>
              </w:tc>
              <w:tc>
                <w:tcPr>
                  <w:tcW w:w="677" w:type="dxa"/>
                  <w:tcBorders>
                    <w:tl2br w:val="nil"/>
                    <w:tr2bl w:val="nil"/>
                  </w:tcBorders>
                  <w:vAlign w:val="center"/>
                </w:tcPr>
                <w:p w14:paraId="7A36D49C">
                  <w:pPr>
                    <w:pStyle w:val="45"/>
                    <w:rPr>
                      <w:rFonts w:hint="default"/>
                      <w:b w:val="0"/>
                      <w:bCs w:val="0"/>
                      <w:u w:val="none"/>
                    </w:rPr>
                  </w:pPr>
                  <w:r>
                    <w:rPr>
                      <w:b w:val="0"/>
                      <w:bCs w:val="0"/>
                      <w:u w:val="none"/>
                    </w:rPr>
                    <w:t>NH</w:t>
                  </w:r>
                  <w:r>
                    <w:rPr>
                      <w:b w:val="0"/>
                      <w:bCs w:val="0"/>
                      <w:u w:val="none"/>
                      <w:vertAlign w:val="subscript"/>
                    </w:rPr>
                    <w:t>3</w:t>
                  </w:r>
                </w:p>
              </w:tc>
              <w:tc>
                <w:tcPr>
                  <w:tcW w:w="971" w:type="dxa"/>
                  <w:tcBorders>
                    <w:tl2br w:val="nil"/>
                    <w:tr2bl w:val="nil"/>
                  </w:tcBorders>
                  <w:vAlign w:val="center"/>
                </w:tcPr>
                <w:p w14:paraId="24875750">
                  <w:pPr>
                    <w:pStyle w:val="45"/>
                    <w:rPr>
                      <w:rFonts w:hint="default" w:eastAsia="宋体"/>
                      <w:b w:val="0"/>
                      <w:bCs w:val="0"/>
                      <w:u w:val="none"/>
                      <w:lang w:val="en-US" w:eastAsia="zh-CN"/>
                    </w:rPr>
                  </w:pPr>
                  <w:r>
                    <w:rPr>
                      <w:rFonts w:hint="eastAsia"/>
                      <w:b w:val="0"/>
                      <w:bCs w:val="0"/>
                      <w:u w:val="none"/>
                      <w:lang w:val="en-US" w:eastAsia="zh-CN"/>
                    </w:rPr>
                    <w:t>114</w:t>
                  </w:r>
                </w:p>
              </w:tc>
              <w:tc>
                <w:tcPr>
                  <w:tcW w:w="785" w:type="dxa"/>
                  <w:tcBorders>
                    <w:tl2br w:val="nil"/>
                    <w:tr2bl w:val="nil"/>
                  </w:tcBorders>
                  <w:vAlign w:val="center"/>
                </w:tcPr>
                <w:p w14:paraId="772D6E9A">
                  <w:pPr>
                    <w:pStyle w:val="45"/>
                    <w:rPr>
                      <w:rFonts w:hint="default" w:eastAsia="宋体"/>
                      <w:b w:val="0"/>
                      <w:bCs w:val="0"/>
                      <w:u w:val="none"/>
                      <w:lang w:val="en-US" w:eastAsia="zh-CN"/>
                    </w:rPr>
                  </w:pPr>
                  <w:r>
                    <w:rPr>
                      <w:rFonts w:hint="eastAsia"/>
                      <w:b w:val="0"/>
                      <w:bCs w:val="0"/>
                      <w:u w:val="none"/>
                      <w:lang w:val="en-US" w:eastAsia="zh-CN"/>
                    </w:rPr>
                    <w:t>1.14</w:t>
                  </w:r>
                </w:p>
              </w:tc>
              <w:tc>
                <w:tcPr>
                  <w:tcW w:w="763" w:type="dxa"/>
                  <w:tcBorders>
                    <w:tl2br w:val="nil"/>
                    <w:tr2bl w:val="nil"/>
                  </w:tcBorders>
                  <w:vAlign w:val="center"/>
                </w:tcPr>
                <w:p w14:paraId="24F90248">
                  <w:pPr>
                    <w:pStyle w:val="45"/>
                    <w:rPr>
                      <w:rFonts w:hint="default"/>
                      <w:b w:val="0"/>
                      <w:bCs w:val="0"/>
                      <w:u w:val="none"/>
                    </w:rPr>
                  </w:pPr>
                  <w:r>
                    <w:rPr>
                      <w:b w:val="0"/>
                      <w:bCs w:val="0"/>
                      <w:u w:val="none"/>
                    </w:rPr>
                    <w:t>1</w:t>
                  </w:r>
                </w:p>
              </w:tc>
              <w:tc>
                <w:tcPr>
                  <w:tcW w:w="807" w:type="dxa"/>
                  <w:tcBorders>
                    <w:tl2br w:val="nil"/>
                    <w:tr2bl w:val="nil"/>
                  </w:tcBorders>
                  <w:vAlign w:val="center"/>
                </w:tcPr>
                <w:p w14:paraId="7FD95334">
                  <w:pPr>
                    <w:pStyle w:val="45"/>
                    <w:rPr>
                      <w:rFonts w:hint="default"/>
                      <w:b w:val="0"/>
                      <w:bCs w:val="0"/>
                      <w:u w:val="none"/>
                    </w:rPr>
                  </w:pPr>
                  <w:r>
                    <w:rPr>
                      <w:b w:val="0"/>
                      <w:bCs w:val="0"/>
                      <w:u w:val="none"/>
                    </w:rPr>
                    <w:t>1</w:t>
                  </w:r>
                </w:p>
              </w:tc>
              <w:tc>
                <w:tcPr>
                  <w:tcW w:w="829" w:type="dxa"/>
                  <w:tcBorders>
                    <w:tl2br w:val="nil"/>
                    <w:tr2bl w:val="nil"/>
                  </w:tcBorders>
                  <w:vAlign w:val="center"/>
                </w:tcPr>
                <w:p w14:paraId="4F59E3EE">
                  <w:pPr>
                    <w:pStyle w:val="45"/>
                    <w:rPr>
                      <w:rFonts w:hint="default" w:eastAsia="宋体"/>
                      <w:b w:val="0"/>
                      <w:bCs w:val="0"/>
                      <w:u w:val="none"/>
                      <w:lang w:val="en-US" w:eastAsia="zh-CN"/>
                    </w:rPr>
                  </w:pPr>
                  <w:r>
                    <w:rPr>
                      <w:rFonts w:hint="eastAsia"/>
                      <w:b w:val="0"/>
                      <w:bCs w:val="0"/>
                      <w:u w:val="none"/>
                      <w:lang w:val="en-US" w:eastAsia="zh-CN"/>
                    </w:rPr>
                    <w:t>1.14</w:t>
                  </w:r>
                </w:p>
              </w:tc>
              <w:tc>
                <w:tcPr>
                  <w:tcW w:w="746" w:type="dxa"/>
                  <w:tcBorders>
                    <w:tl2br w:val="nil"/>
                    <w:tr2bl w:val="nil"/>
                  </w:tcBorders>
                  <w:vAlign w:val="center"/>
                </w:tcPr>
                <w:p w14:paraId="2BF7B399">
                  <w:pPr>
                    <w:pStyle w:val="45"/>
                    <w:rPr>
                      <w:rFonts w:hint="default"/>
                      <w:b w:val="0"/>
                      <w:bCs w:val="0"/>
                      <w:u w:val="none"/>
                    </w:rPr>
                  </w:pPr>
                  <w:r>
                    <w:rPr>
                      <w:rFonts w:hint="default"/>
                      <w:b w:val="0"/>
                      <w:bCs w:val="0"/>
                      <w:u w:val="none"/>
                    </w:rPr>
                    <w:t>立即</w:t>
                  </w:r>
                </w:p>
                <w:p w14:paraId="3ABC4813">
                  <w:pPr>
                    <w:pStyle w:val="45"/>
                    <w:rPr>
                      <w:rFonts w:hint="default"/>
                      <w:b w:val="0"/>
                      <w:bCs w:val="0"/>
                      <w:u w:val="none"/>
                    </w:rPr>
                  </w:pPr>
                  <w:r>
                    <w:rPr>
                      <w:rFonts w:hint="default"/>
                      <w:b w:val="0"/>
                      <w:bCs w:val="0"/>
                      <w:u w:val="none"/>
                    </w:rPr>
                    <w:t>停产，</w:t>
                  </w:r>
                </w:p>
                <w:p w14:paraId="6F985049">
                  <w:pPr>
                    <w:pStyle w:val="45"/>
                    <w:rPr>
                      <w:rFonts w:hint="default"/>
                      <w:b w:val="0"/>
                      <w:bCs w:val="0"/>
                      <w:u w:val="none"/>
                    </w:rPr>
                  </w:pPr>
                  <w:r>
                    <w:rPr>
                      <w:rFonts w:hint="default"/>
                      <w:b w:val="0"/>
                      <w:bCs w:val="0"/>
                      <w:u w:val="none"/>
                    </w:rPr>
                    <w:t>对设</w:t>
                  </w:r>
                </w:p>
                <w:p w14:paraId="7235A70A">
                  <w:pPr>
                    <w:pStyle w:val="45"/>
                    <w:rPr>
                      <w:rFonts w:hint="default"/>
                      <w:b w:val="0"/>
                      <w:bCs w:val="0"/>
                      <w:u w:val="none"/>
                    </w:rPr>
                  </w:pPr>
                  <w:r>
                    <w:rPr>
                      <w:rFonts w:hint="default"/>
                      <w:b w:val="0"/>
                      <w:bCs w:val="0"/>
                      <w:u w:val="none"/>
                    </w:rPr>
                    <w:t>施进</w:t>
                  </w:r>
                </w:p>
                <w:p w14:paraId="6CF9BB9F">
                  <w:pPr>
                    <w:pStyle w:val="45"/>
                    <w:rPr>
                      <w:rFonts w:hint="default"/>
                      <w:b w:val="0"/>
                      <w:bCs w:val="0"/>
                      <w:u w:val="none"/>
                    </w:rPr>
                  </w:pPr>
                  <w:r>
                    <w:rPr>
                      <w:rFonts w:hint="default"/>
                      <w:b w:val="0"/>
                      <w:bCs w:val="0"/>
                      <w:u w:val="none"/>
                    </w:rPr>
                    <w:t>行检</w:t>
                  </w:r>
                </w:p>
                <w:p w14:paraId="6A9F713C">
                  <w:pPr>
                    <w:pStyle w:val="45"/>
                    <w:rPr>
                      <w:rFonts w:hint="default"/>
                      <w:b w:val="0"/>
                      <w:bCs w:val="0"/>
                      <w:u w:val="none"/>
                    </w:rPr>
                  </w:pPr>
                  <w:r>
                    <w:rPr>
                      <w:rFonts w:hint="default"/>
                      <w:b w:val="0"/>
                      <w:bCs w:val="0"/>
                      <w:u w:val="none"/>
                    </w:rPr>
                    <w:t>查，排</w:t>
                  </w:r>
                </w:p>
                <w:p w14:paraId="434CDA39">
                  <w:pPr>
                    <w:pStyle w:val="45"/>
                    <w:rPr>
                      <w:rFonts w:hint="default"/>
                      <w:b w:val="0"/>
                      <w:bCs w:val="0"/>
                      <w:u w:val="none"/>
                    </w:rPr>
                  </w:pPr>
                  <w:r>
                    <w:rPr>
                      <w:rFonts w:hint="default"/>
                      <w:b w:val="0"/>
                      <w:bCs w:val="0"/>
                      <w:u w:val="none"/>
                    </w:rPr>
                    <w:t>除故</w:t>
                  </w:r>
                </w:p>
                <w:p w14:paraId="67838D03">
                  <w:pPr>
                    <w:pStyle w:val="45"/>
                    <w:rPr>
                      <w:rFonts w:hint="default"/>
                      <w:b w:val="0"/>
                      <w:bCs w:val="0"/>
                      <w:u w:val="none"/>
                    </w:rPr>
                  </w:pPr>
                  <w:r>
                    <w:rPr>
                      <w:rFonts w:hint="default"/>
                      <w:b w:val="0"/>
                      <w:bCs w:val="0"/>
                      <w:u w:val="none"/>
                    </w:rPr>
                    <w:t>障，待</w:t>
                  </w:r>
                </w:p>
                <w:p w14:paraId="2A2E502F">
                  <w:pPr>
                    <w:pStyle w:val="45"/>
                    <w:rPr>
                      <w:rFonts w:hint="default"/>
                      <w:b w:val="0"/>
                      <w:bCs w:val="0"/>
                      <w:u w:val="none"/>
                    </w:rPr>
                  </w:pPr>
                  <w:r>
                    <w:rPr>
                      <w:rFonts w:hint="default"/>
                      <w:b w:val="0"/>
                      <w:bCs w:val="0"/>
                      <w:u w:val="none"/>
                    </w:rPr>
                    <w:t>设施</w:t>
                  </w:r>
                </w:p>
                <w:p w14:paraId="12549F9B">
                  <w:pPr>
                    <w:pStyle w:val="45"/>
                    <w:rPr>
                      <w:rFonts w:hint="default"/>
                      <w:b w:val="0"/>
                      <w:bCs w:val="0"/>
                      <w:u w:val="none"/>
                    </w:rPr>
                  </w:pPr>
                  <w:r>
                    <w:rPr>
                      <w:rFonts w:hint="default"/>
                      <w:b w:val="0"/>
                      <w:bCs w:val="0"/>
                      <w:u w:val="none"/>
                    </w:rPr>
                    <w:t>运行</w:t>
                  </w:r>
                </w:p>
                <w:p w14:paraId="0CADA957">
                  <w:pPr>
                    <w:pStyle w:val="45"/>
                    <w:rPr>
                      <w:rFonts w:hint="default"/>
                      <w:b w:val="0"/>
                      <w:bCs w:val="0"/>
                      <w:u w:val="none"/>
                    </w:rPr>
                  </w:pPr>
                  <w:r>
                    <w:rPr>
                      <w:rFonts w:hint="default"/>
                      <w:b w:val="0"/>
                      <w:bCs w:val="0"/>
                      <w:u w:val="none"/>
                    </w:rPr>
                    <w:t>平稳</w:t>
                  </w:r>
                </w:p>
                <w:p w14:paraId="10DBB47B">
                  <w:pPr>
                    <w:pStyle w:val="45"/>
                    <w:rPr>
                      <w:rFonts w:hint="default"/>
                      <w:b w:val="0"/>
                      <w:bCs w:val="0"/>
                      <w:u w:val="none"/>
                    </w:rPr>
                  </w:pPr>
                  <w:r>
                    <w:rPr>
                      <w:rFonts w:hint="default"/>
                      <w:b w:val="0"/>
                      <w:bCs w:val="0"/>
                      <w:u w:val="none"/>
                    </w:rPr>
                    <w:t>后投</w:t>
                  </w:r>
                </w:p>
                <w:p w14:paraId="03BB6209">
                  <w:pPr>
                    <w:pStyle w:val="45"/>
                    <w:rPr>
                      <w:rFonts w:hint="default"/>
                      <w:b w:val="0"/>
                      <w:bCs w:val="0"/>
                      <w:u w:val="none"/>
                    </w:rPr>
                  </w:pPr>
                  <w:r>
                    <w:rPr>
                      <w:rFonts w:hint="default"/>
                      <w:b w:val="0"/>
                      <w:bCs w:val="0"/>
                      <w:u w:val="none"/>
                    </w:rPr>
                    <w:t>入生</w:t>
                  </w:r>
                </w:p>
                <w:p w14:paraId="468A0CFC">
                  <w:pPr>
                    <w:pStyle w:val="45"/>
                    <w:rPr>
                      <w:rFonts w:hint="default"/>
                      <w:b w:val="0"/>
                      <w:bCs w:val="0"/>
                      <w:u w:val="none"/>
                    </w:rPr>
                  </w:pPr>
                  <w:r>
                    <w:rPr>
                      <w:rFonts w:hint="default"/>
                      <w:b w:val="0"/>
                      <w:bCs w:val="0"/>
                      <w:u w:val="none"/>
                    </w:rPr>
                    <w:t>产</w:t>
                  </w:r>
                </w:p>
              </w:tc>
            </w:tr>
          </w:tbl>
          <w:p w14:paraId="3F0F5387">
            <w:pPr>
              <w:pStyle w:val="6"/>
              <w:numPr>
                <w:ilvl w:val="2"/>
                <w:numId w:val="3"/>
              </w:numPr>
              <w:rPr>
                <w:b w:val="0"/>
                <w:bCs w:val="0"/>
                <w:u w:val="none"/>
              </w:rPr>
            </w:pPr>
            <w:r>
              <w:rPr>
                <w:rFonts w:hint="eastAsia"/>
                <w:b w:val="0"/>
                <w:bCs w:val="0"/>
                <w:u w:val="none"/>
              </w:rPr>
              <w:t>对周边环境影响分析</w:t>
            </w:r>
          </w:p>
          <w:p w14:paraId="4A043BF5">
            <w:pPr>
              <w:spacing w:line="360" w:lineRule="auto"/>
              <w:ind w:firstLine="422" w:firstLineChars="200"/>
              <w:rPr>
                <w:b/>
                <w:bCs/>
                <w:u w:val="single"/>
              </w:rPr>
            </w:pPr>
            <w:r>
              <w:rPr>
                <w:rFonts w:hint="eastAsia"/>
                <w:b/>
                <w:bCs/>
                <w:u w:val="single"/>
              </w:rPr>
              <w:t>平顶山市生态环境局《叶县成功创建国家空气质量二级达标县》中2023年的叶县环境空气质量数据</w:t>
            </w:r>
            <w:r>
              <w:rPr>
                <w:b/>
                <w:bCs/>
                <w:u w:val="single"/>
              </w:rPr>
              <w:t>，项目所在区域为达标区</w:t>
            </w:r>
            <w:r>
              <w:rPr>
                <w:rFonts w:hint="eastAsia"/>
                <w:b/>
                <w:bCs/>
                <w:u w:val="single"/>
              </w:rPr>
              <w:t>，项目采取严格的环保措施，能够保证废气污染物达标排放</w:t>
            </w:r>
            <w:r>
              <w:rPr>
                <w:b/>
                <w:bCs/>
                <w:u w:val="single"/>
              </w:rPr>
              <w:t>，对周边环境影响可接受。</w:t>
            </w:r>
          </w:p>
          <w:p w14:paraId="1F7CFEA5">
            <w:pPr>
              <w:pStyle w:val="6"/>
              <w:numPr>
                <w:ilvl w:val="2"/>
                <w:numId w:val="3"/>
              </w:numPr>
              <w:rPr>
                <w:b w:val="0"/>
                <w:bCs w:val="0"/>
                <w:u w:val="none"/>
              </w:rPr>
            </w:pPr>
            <w:r>
              <w:rPr>
                <w:rFonts w:hint="eastAsia"/>
                <w:b w:val="0"/>
                <w:bCs w:val="0"/>
                <w:u w:val="none"/>
              </w:rPr>
              <w:t>排放口信息</w:t>
            </w:r>
          </w:p>
          <w:p w14:paraId="1941D536">
            <w:pPr>
              <w:autoSpaceDE w:val="0"/>
              <w:autoSpaceDN w:val="0"/>
              <w:adjustRightInd w:val="0"/>
              <w:snapToGrid w:val="0"/>
              <w:spacing w:line="360" w:lineRule="auto"/>
              <w:ind w:firstLine="420" w:firstLineChars="200"/>
              <w:jc w:val="left"/>
              <w:rPr>
                <w:b w:val="0"/>
                <w:bCs w:val="0"/>
                <w:u w:val="none"/>
              </w:rPr>
            </w:pPr>
            <w:r>
              <w:rPr>
                <w:b w:val="0"/>
                <w:bCs w:val="0"/>
                <w:u w:val="none"/>
              </w:rPr>
              <w:t>本项目设置</w:t>
            </w:r>
            <w:r>
              <w:rPr>
                <w:rFonts w:hint="eastAsia"/>
                <w:b w:val="0"/>
                <w:bCs w:val="0"/>
                <w:u w:val="none"/>
              </w:rPr>
              <w:t>2</w:t>
            </w:r>
            <w:r>
              <w:rPr>
                <w:b w:val="0"/>
                <w:bCs w:val="0"/>
                <w:u w:val="none"/>
              </w:rPr>
              <w:t>个有组织废气排放口，排放口参数见下表。</w:t>
            </w:r>
          </w:p>
          <w:p w14:paraId="0D9D4738">
            <w:pPr>
              <w:pStyle w:val="44"/>
              <w:numPr>
                <w:ilvl w:val="0"/>
                <w:numId w:val="2"/>
              </w:numPr>
              <w:rPr>
                <w:rFonts w:hint="default"/>
                <w:b w:val="0"/>
                <w:bCs w:val="0"/>
                <w:u w:val="none"/>
              </w:rPr>
            </w:pPr>
            <w:r>
              <w:rPr>
                <w:rFonts w:hint="default"/>
                <w:b w:val="0"/>
                <w:bCs w:val="0"/>
                <w:u w:val="none"/>
              </w:rPr>
              <w:t>大气污染物排放口信息</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143"/>
              <w:gridCol w:w="1234"/>
              <w:gridCol w:w="741"/>
              <w:gridCol w:w="712"/>
              <w:gridCol w:w="630"/>
              <w:gridCol w:w="573"/>
              <w:gridCol w:w="923"/>
              <w:gridCol w:w="634"/>
            </w:tblGrid>
            <w:tr w14:paraId="29E2407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50" w:type="pct"/>
                  <w:vMerge w:val="restart"/>
                  <w:tcBorders>
                    <w:tl2br w:val="nil"/>
                    <w:tr2bl w:val="nil"/>
                  </w:tcBorders>
                  <w:vAlign w:val="center"/>
                </w:tcPr>
                <w:p w14:paraId="65C1F793">
                  <w:pPr>
                    <w:pStyle w:val="45"/>
                    <w:rPr>
                      <w:rFonts w:hint="default"/>
                      <w:b w:val="0"/>
                      <w:bCs w:val="0"/>
                      <w:u w:val="none"/>
                    </w:rPr>
                  </w:pPr>
                  <w:r>
                    <w:rPr>
                      <w:b w:val="0"/>
                      <w:bCs w:val="0"/>
                      <w:u w:val="none"/>
                    </w:rPr>
                    <w:t>编号</w:t>
                  </w:r>
                </w:p>
              </w:tc>
              <w:tc>
                <w:tcPr>
                  <w:tcW w:w="1602" w:type="pct"/>
                  <w:gridSpan w:val="2"/>
                  <w:tcBorders>
                    <w:tl2br w:val="nil"/>
                    <w:tr2bl w:val="nil"/>
                  </w:tcBorders>
                  <w:vAlign w:val="center"/>
                </w:tcPr>
                <w:p w14:paraId="5D43A023">
                  <w:pPr>
                    <w:pStyle w:val="45"/>
                    <w:rPr>
                      <w:rFonts w:hint="default"/>
                      <w:b w:val="0"/>
                      <w:bCs w:val="0"/>
                      <w:u w:val="none"/>
                    </w:rPr>
                  </w:pPr>
                  <w:r>
                    <w:rPr>
                      <w:b w:val="0"/>
                      <w:bCs w:val="0"/>
                      <w:u w:val="none"/>
                    </w:rPr>
                    <w:t>排气筒中心坐标</w:t>
                  </w:r>
                </w:p>
              </w:tc>
              <w:tc>
                <w:tcPr>
                  <w:tcW w:w="500" w:type="pct"/>
                  <w:vMerge w:val="restart"/>
                  <w:tcBorders>
                    <w:tl2br w:val="nil"/>
                    <w:tr2bl w:val="nil"/>
                  </w:tcBorders>
                  <w:vAlign w:val="center"/>
                </w:tcPr>
                <w:p w14:paraId="06634179">
                  <w:pPr>
                    <w:pStyle w:val="45"/>
                    <w:rPr>
                      <w:rFonts w:hint="default"/>
                      <w:b w:val="0"/>
                      <w:bCs w:val="0"/>
                      <w:u w:val="none"/>
                    </w:rPr>
                  </w:pPr>
                  <w:r>
                    <w:rPr>
                      <w:b w:val="0"/>
                      <w:bCs w:val="0"/>
                      <w:u w:val="none"/>
                    </w:rPr>
                    <w:t>排气筒高度（m）</w:t>
                  </w:r>
                </w:p>
              </w:tc>
              <w:tc>
                <w:tcPr>
                  <w:tcW w:w="481" w:type="pct"/>
                  <w:vMerge w:val="restart"/>
                  <w:tcBorders>
                    <w:tl2br w:val="nil"/>
                    <w:tr2bl w:val="nil"/>
                  </w:tcBorders>
                  <w:vAlign w:val="center"/>
                </w:tcPr>
                <w:p w14:paraId="28D381DF">
                  <w:pPr>
                    <w:pStyle w:val="45"/>
                    <w:rPr>
                      <w:rFonts w:hint="default"/>
                      <w:b w:val="0"/>
                      <w:bCs w:val="0"/>
                      <w:u w:val="none"/>
                    </w:rPr>
                  </w:pPr>
                  <w:r>
                    <w:rPr>
                      <w:b w:val="0"/>
                      <w:bCs w:val="0"/>
                      <w:u w:val="none"/>
                    </w:rPr>
                    <w:t>排气筒内径（m）</w:t>
                  </w:r>
                </w:p>
              </w:tc>
              <w:tc>
                <w:tcPr>
                  <w:tcW w:w="425" w:type="pct"/>
                  <w:vMerge w:val="restart"/>
                  <w:tcBorders>
                    <w:tl2br w:val="nil"/>
                    <w:tr2bl w:val="nil"/>
                  </w:tcBorders>
                  <w:vAlign w:val="center"/>
                </w:tcPr>
                <w:p w14:paraId="552A035B">
                  <w:pPr>
                    <w:pStyle w:val="45"/>
                    <w:rPr>
                      <w:rFonts w:hint="default"/>
                      <w:b w:val="0"/>
                      <w:bCs w:val="0"/>
                      <w:u w:val="none"/>
                    </w:rPr>
                  </w:pPr>
                  <w:r>
                    <w:rPr>
                      <w:b w:val="0"/>
                      <w:bCs w:val="0"/>
                      <w:u w:val="none"/>
                    </w:rPr>
                    <w:t>烟气温度（℃）</w:t>
                  </w:r>
                </w:p>
              </w:tc>
              <w:tc>
                <w:tcPr>
                  <w:tcW w:w="387" w:type="pct"/>
                  <w:vMerge w:val="restart"/>
                  <w:tcBorders>
                    <w:tl2br w:val="nil"/>
                    <w:tr2bl w:val="nil"/>
                  </w:tcBorders>
                  <w:vAlign w:val="center"/>
                </w:tcPr>
                <w:p w14:paraId="47CF8E81">
                  <w:pPr>
                    <w:pStyle w:val="45"/>
                    <w:rPr>
                      <w:rFonts w:hint="default"/>
                      <w:b w:val="0"/>
                      <w:bCs w:val="0"/>
                      <w:u w:val="none"/>
                    </w:rPr>
                  </w:pPr>
                  <w:r>
                    <w:rPr>
                      <w:b w:val="0"/>
                      <w:bCs w:val="0"/>
                      <w:u w:val="none"/>
                    </w:rPr>
                    <w:t>排放工况</w:t>
                  </w:r>
                </w:p>
              </w:tc>
              <w:tc>
                <w:tcPr>
                  <w:tcW w:w="623" w:type="pct"/>
                  <w:vMerge w:val="restart"/>
                  <w:tcBorders>
                    <w:tl2br w:val="nil"/>
                    <w:tr2bl w:val="nil"/>
                  </w:tcBorders>
                  <w:vAlign w:val="center"/>
                </w:tcPr>
                <w:p w14:paraId="009AB98B">
                  <w:pPr>
                    <w:pStyle w:val="45"/>
                    <w:rPr>
                      <w:rFonts w:hint="default"/>
                      <w:b w:val="0"/>
                      <w:bCs w:val="0"/>
                      <w:u w:val="none"/>
                    </w:rPr>
                  </w:pPr>
                  <w:r>
                    <w:rPr>
                      <w:b w:val="0"/>
                      <w:bCs w:val="0"/>
                      <w:u w:val="none"/>
                    </w:rPr>
                    <w:t>排放口名称</w:t>
                  </w:r>
                </w:p>
              </w:tc>
              <w:tc>
                <w:tcPr>
                  <w:tcW w:w="428" w:type="pct"/>
                  <w:vMerge w:val="restart"/>
                  <w:tcBorders>
                    <w:tl2br w:val="nil"/>
                    <w:tr2bl w:val="nil"/>
                  </w:tcBorders>
                  <w:vAlign w:val="center"/>
                </w:tcPr>
                <w:p w14:paraId="4ACCB255">
                  <w:pPr>
                    <w:pStyle w:val="45"/>
                    <w:rPr>
                      <w:rFonts w:hint="default"/>
                      <w:b w:val="0"/>
                      <w:bCs w:val="0"/>
                      <w:u w:val="none"/>
                    </w:rPr>
                  </w:pPr>
                  <w:r>
                    <w:rPr>
                      <w:b w:val="0"/>
                      <w:bCs w:val="0"/>
                      <w:u w:val="none"/>
                    </w:rPr>
                    <w:t>排放口类型</w:t>
                  </w:r>
                </w:p>
              </w:tc>
            </w:tr>
            <w:tr w14:paraId="3BE1A80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50" w:type="pct"/>
                  <w:vMerge w:val="continue"/>
                  <w:tcBorders>
                    <w:tl2br w:val="nil"/>
                    <w:tr2bl w:val="nil"/>
                  </w:tcBorders>
                  <w:vAlign w:val="center"/>
                </w:tcPr>
                <w:p w14:paraId="67D1105E">
                  <w:pPr>
                    <w:pStyle w:val="45"/>
                    <w:rPr>
                      <w:rFonts w:hint="default"/>
                      <w:b w:val="0"/>
                      <w:bCs w:val="0"/>
                      <w:u w:val="none"/>
                    </w:rPr>
                  </w:pPr>
                </w:p>
              </w:tc>
              <w:tc>
                <w:tcPr>
                  <w:tcW w:w="770" w:type="pct"/>
                  <w:tcBorders>
                    <w:tl2br w:val="nil"/>
                    <w:tr2bl w:val="nil"/>
                  </w:tcBorders>
                  <w:vAlign w:val="center"/>
                </w:tcPr>
                <w:p w14:paraId="5A6DC3E2">
                  <w:pPr>
                    <w:pStyle w:val="45"/>
                    <w:rPr>
                      <w:rFonts w:hint="default"/>
                      <w:b w:val="0"/>
                      <w:bCs w:val="0"/>
                      <w:u w:val="none"/>
                    </w:rPr>
                  </w:pPr>
                  <w:r>
                    <w:rPr>
                      <w:b w:val="0"/>
                      <w:bCs w:val="0"/>
                      <w:u w:val="none"/>
                    </w:rPr>
                    <w:t>经度</w:t>
                  </w:r>
                </w:p>
              </w:tc>
              <w:tc>
                <w:tcPr>
                  <w:tcW w:w="831" w:type="pct"/>
                  <w:tcBorders>
                    <w:tl2br w:val="nil"/>
                    <w:tr2bl w:val="nil"/>
                  </w:tcBorders>
                  <w:vAlign w:val="center"/>
                </w:tcPr>
                <w:p w14:paraId="400097DB">
                  <w:pPr>
                    <w:pStyle w:val="45"/>
                    <w:rPr>
                      <w:rFonts w:hint="default"/>
                      <w:b w:val="0"/>
                      <w:bCs w:val="0"/>
                      <w:u w:val="none"/>
                    </w:rPr>
                  </w:pPr>
                  <w:r>
                    <w:rPr>
                      <w:b w:val="0"/>
                      <w:bCs w:val="0"/>
                      <w:u w:val="none"/>
                    </w:rPr>
                    <w:t>纬度</w:t>
                  </w:r>
                </w:p>
              </w:tc>
              <w:tc>
                <w:tcPr>
                  <w:tcW w:w="500" w:type="pct"/>
                  <w:vMerge w:val="continue"/>
                  <w:tcBorders>
                    <w:tl2br w:val="nil"/>
                    <w:tr2bl w:val="nil"/>
                  </w:tcBorders>
                  <w:vAlign w:val="center"/>
                </w:tcPr>
                <w:p w14:paraId="71CE95D5">
                  <w:pPr>
                    <w:pStyle w:val="45"/>
                    <w:rPr>
                      <w:rFonts w:hint="default"/>
                      <w:b w:val="0"/>
                      <w:bCs w:val="0"/>
                      <w:u w:val="none"/>
                    </w:rPr>
                  </w:pPr>
                </w:p>
              </w:tc>
              <w:tc>
                <w:tcPr>
                  <w:tcW w:w="481" w:type="pct"/>
                  <w:vMerge w:val="continue"/>
                  <w:tcBorders>
                    <w:tl2br w:val="nil"/>
                    <w:tr2bl w:val="nil"/>
                  </w:tcBorders>
                  <w:vAlign w:val="center"/>
                </w:tcPr>
                <w:p w14:paraId="1D56EE16">
                  <w:pPr>
                    <w:pStyle w:val="45"/>
                    <w:rPr>
                      <w:rFonts w:hint="default"/>
                      <w:b w:val="0"/>
                      <w:bCs w:val="0"/>
                      <w:u w:val="none"/>
                    </w:rPr>
                  </w:pPr>
                </w:p>
              </w:tc>
              <w:tc>
                <w:tcPr>
                  <w:tcW w:w="425" w:type="pct"/>
                  <w:vMerge w:val="continue"/>
                  <w:tcBorders>
                    <w:tl2br w:val="nil"/>
                    <w:tr2bl w:val="nil"/>
                  </w:tcBorders>
                  <w:vAlign w:val="center"/>
                </w:tcPr>
                <w:p w14:paraId="2AF89670">
                  <w:pPr>
                    <w:pStyle w:val="45"/>
                    <w:rPr>
                      <w:rFonts w:hint="default"/>
                      <w:b w:val="0"/>
                      <w:bCs w:val="0"/>
                      <w:u w:val="none"/>
                    </w:rPr>
                  </w:pPr>
                </w:p>
              </w:tc>
              <w:tc>
                <w:tcPr>
                  <w:tcW w:w="387" w:type="pct"/>
                  <w:vMerge w:val="continue"/>
                  <w:tcBorders>
                    <w:tl2br w:val="nil"/>
                    <w:tr2bl w:val="nil"/>
                  </w:tcBorders>
                  <w:vAlign w:val="center"/>
                </w:tcPr>
                <w:p w14:paraId="1DB0155D">
                  <w:pPr>
                    <w:pStyle w:val="45"/>
                    <w:rPr>
                      <w:rFonts w:hint="default"/>
                      <w:b w:val="0"/>
                      <w:bCs w:val="0"/>
                      <w:u w:val="none"/>
                    </w:rPr>
                  </w:pPr>
                </w:p>
              </w:tc>
              <w:tc>
                <w:tcPr>
                  <w:tcW w:w="623" w:type="pct"/>
                  <w:vMerge w:val="continue"/>
                  <w:tcBorders>
                    <w:tl2br w:val="nil"/>
                    <w:tr2bl w:val="nil"/>
                  </w:tcBorders>
                  <w:vAlign w:val="center"/>
                </w:tcPr>
                <w:p w14:paraId="07305FFD">
                  <w:pPr>
                    <w:pStyle w:val="45"/>
                    <w:rPr>
                      <w:rFonts w:hint="default"/>
                      <w:b w:val="0"/>
                      <w:bCs w:val="0"/>
                      <w:u w:val="none"/>
                    </w:rPr>
                  </w:pPr>
                </w:p>
              </w:tc>
              <w:tc>
                <w:tcPr>
                  <w:tcW w:w="428" w:type="pct"/>
                  <w:vMerge w:val="continue"/>
                  <w:tcBorders>
                    <w:tl2br w:val="nil"/>
                    <w:tr2bl w:val="nil"/>
                  </w:tcBorders>
                  <w:vAlign w:val="center"/>
                </w:tcPr>
                <w:p w14:paraId="65DF2029">
                  <w:pPr>
                    <w:pStyle w:val="45"/>
                    <w:rPr>
                      <w:rFonts w:hint="default"/>
                      <w:b w:val="0"/>
                      <w:bCs w:val="0"/>
                      <w:u w:val="none"/>
                    </w:rPr>
                  </w:pPr>
                </w:p>
              </w:tc>
            </w:tr>
            <w:tr w14:paraId="3658F6B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50" w:type="pct"/>
                  <w:tcBorders>
                    <w:tl2br w:val="nil"/>
                    <w:tr2bl w:val="nil"/>
                  </w:tcBorders>
                  <w:vAlign w:val="center"/>
                </w:tcPr>
                <w:p w14:paraId="5AF7D3EE">
                  <w:pPr>
                    <w:pStyle w:val="45"/>
                    <w:rPr>
                      <w:rFonts w:hint="default"/>
                      <w:b w:val="0"/>
                      <w:bCs w:val="0"/>
                      <w:u w:val="none"/>
                    </w:rPr>
                  </w:pPr>
                  <w:r>
                    <w:rPr>
                      <w:b w:val="0"/>
                      <w:bCs w:val="0"/>
                      <w:u w:val="none"/>
                    </w:rPr>
                    <w:t>DA001</w:t>
                  </w:r>
                </w:p>
              </w:tc>
              <w:tc>
                <w:tcPr>
                  <w:tcW w:w="770" w:type="pct"/>
                  <w:tcBorders>
                    <w:tl2br w:val="nil"/>
                    <w:tr2bl w:val="nil"/>
                  </w:tcBorders>
                  <w:vAlign w:val="center"/>
                </w:tcPr>
                <w:p w14:paraId="708A44EC">
                  <w:pPr>
                    <w:pStyle w:val="45"/>
                    <w:rPr>
                      <w:rFonts w:hint="default"/>
                      <w:b w:val="0"/>
                      <w:bCs w:val="0"/>
                      <w:u w:val="none"/>
                    </w:rPr>
                  </w:pPr>
                  <w:r>
                    <w:rPr>
                      <w:b w:val="0"/>
                      <w:bCs w:val="0"/>
                      <w:u w:val="none"/>
                    </w:rPr>
                    <w:t>113°26'52.61"</w:t>
                  </w:r>
                </w:p>
              </w:tc>
              <w:tc>
                <w:tcPr>
                  <w:tcW w:w="831" w:type="pct"/>
                  <w:tcBorders>
                    <w:tl2br w:val="nil"/>
                    <w:tr2bl w:val="nil"/>
                  </w:tcBorders>
                  <w:vAlign w:val="center"/>
                </w:tcPr>
                <w:p w14:paraId="03830E6B">
                  <w:pPr>
                    <w:pStyle w:val="45"/>
                    <w:rPr>
                      <w:rFonts w:hint="default"/>
                      <w:b w:val="0"/>
                      <w:bCs w:val="0"/>
                      <w:u w:val="none"/>
                    </w:rPr>
                  </w:pPr>
                  <w:r>
                    <w:rPr>
                      <w:b w:val="0"/>
                      <w:bCs w:val="0"/>
                      <w:u w:val="none"/>
                    </w:rPr>
                    <w:t>33°40'33.87"</w:t>
                  </w:r>
                </w:p>
              </w:tc>
              <w:tc>
                <w:tcPr>
                  <w:tcW w:w="500" w:type="pct"/>
                  <w:tcBorders>
                    <w:tl2br w:val="nil"/>
                    <w:tr2bl w:val="nil"/>
                  </w:tcBorders>
                  <w:vAlign w:val="center"/>
                </w:tcPr>
                <w:p w14:paraId="55CCDBF0">
                  <w:pPr>
                    <w:pStyle w:val="45"/>
                    <w:rPr>
                      <w:rFonts w:hint="default"/>
                      <w:b w:val="0"/>
                      <w:bCs w:val="0"/>
                      <w:u w:val="none"/>
                    </w:rPr>
                  </w:pPr>
                  <w:r>
                    <w:rPr>
                      <w:b w:val="0"/>
                      <w:bCs w:val="0"/>
                      <w:u w:val="none"/>
                    </w:rPr>
                    <w:t>30</w:t>
                  </w:r>
                </w:p>
              </w:tc>
              <w:tc>
                <w:tcPr>
                  <w:tcW w:w="481" w:type="pct"/>
                  <w:tcBorders>
                    <w:tl2br w:val="nil"/>
                    <w:tr2bl w:val="nil"/>
                  </w:tcBorders>
                  <w:vAlign w:val="center"/>
                </w:tcPr>
                <w:p w14:paraId="2F1E6174">
                  <w:pPr>
                    <w:pStyle w:val="45"/>
                    <w:rPr>
                      <w:rFonts w:hint="default"/>
                      <w:b w:val="0"/>
                      <w:bCs w:val="0"/>
                      <w:u w:val="none"/>
                    </w:rPr>
                  </w:pPr>
                  <w:r>
                    <w:rPr>
                      <w:b w:val="0"/>
                      <w:bCs w:val="0"/>
                      <w:u w:val="none"/>
                    </w:rPr>
                    <w:t>0.25</w:t>
                  </w:r>
                </w:p>
              </w:tc>
              <w:tc>
                <w:tcPr>
                  <w:tcW w:w="425" w:type="pct"/>
                  <w:tcBorders>
                    <w:tl2br w:val="nil"/>
                    <w:tr2bl w:val="nil"/>
                  </w:tcBorders>
                  <w:vAlign w:val="center"/>
                </w:tcPr>
                <w:p w14:paraId="3B8D5BC2">
                  <w:pPr>
                    <w:pStyle w:val="45"/>
                    <w:rPr>
                      <w:rFonts w:hint="default"/>
                      <w:b w:val="0"/>
                      <w:bCs w:val="0"/>
                      <w:u w:val="none"/>
                    </w:rPr>
                  </w:pPr>
                  <w:r>
                    <w:rPr>
                      <w:b w:val="0"/>
                      <w:bCs w:val="0"/>
                      <w:u w:val="none"/>
                    </w:rPr>
                    <w:t>20</w:t>
                  </w:r>
                </w:p>
              </w:tc>
              <w:tc>
                <w:tcPr>
                  <w:tcW w:w="387" w:type="pct"/>
                  <w:tcBorders>
                    <w:tl2br w:val="nil"/>
                    <w:tr2bl w:val="nil"/>
                  </w:tcBorders>
                  <w:vAlign w:val="center"/>
                </w:tcPr>
                <w:p w14:paraId="3905F94B">
                  <w:pPr>
                    <w:pStyle w:val="45"/>
                    <w:rPr>
                      <w:rFonts w:hint="default"/>
                      <w:b w:val="0"/>
                      <w:bCs w:val="0"/>
                      <w:u w:val="none"/>
                    </w:rPr>
                  </w:pPr>
                  <w:r>
                    <w:rPr>
                      <w:b w:val="0"/>
                      <w:bCs w:val="0"/>
                      <w:u w:val="none"/>
                    </w:rPr>
                    <w:t>正常排放</w:t>
                  </w:r>
                </w:p>
              </w:tc>
              <w:tc>
                <w:tcPr>
                  <w:tcW w:w="623" w:type="pct"/>
                  <w:tcBorders>
                    <w:tl2br w:val="nil"/>
                    <w:tr2bl w:val="nil"/>
                  </w:tcBorders>
                  <w:vAlign w:val="center"/>
                </w:tcPr>
                <w:p w14:paraId="35398797">
                  <w:pPr>
                    <w:pStyle w:val="45"/>
                    <w:rPr>
                      <w:rFonts w:hint="default"/>
                      <w:b w:val="0"/>
                      <w:bCs w:val="0"/>
                      <w:u w:val="none"/>
                    </w:rPr>
                  </w:pPr>
                  <w:r>
                    <w:rPr>
                      <w:b w:val="0"/>
                      <w:bCs w:val="0"/>
                      <w:u w:val="none"/>
                    </w:rPr>
                    <w:t>二氧化碳回收尾气排放口</w:t>
                  </w:r>
                </w:p>
              </w:tc>
              <w:tc>
                <w:tcPr>
                  <w:tcW w:w="428" w:type="pct"/>
                  <w:tcBorders>
                    <w:tl2br w:val="nil"/>
                    <w:tr2bl w:val="nil"/>
                  </w:tcBorders>
                  <w:vAlign w:val="center"/>
                </w:tcPr>
                <w:p w14:paraId="7B13816C">
                  <w:pPr>
                    <w:pStyle w:val="45"/>
                    <w:rPr>
                      <w:rFonts w:hint="default"/>
                      <w:b w:val="0"/>
                      <w:bCs w:val="0"/>
                      <w:u w:val="none"/>
                    </w:rPr>
                  </w:pPr>
                  <w:r>
                    <w:rPr>
                      <w:b w:val="0"/>
                      <w:bCs w:val="0"/>
                      <w:u w:val="none"/>
                    </w:rPr>
                    <w:t>一般排放口</w:t>
                  </w:r>
                </w:p>
              </w:tc>
            </w:tr>
            <w:tr w14:paraId="5C28AD7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50" w:type="pct"/>
                  <w:tcBorders>
                    <w:tl2br w:val="nil"/>
                    <w:tr2bl w:val="nil"/>
                  </w:tcBorders>
                  <w:vAlign w:val="center"/>
                </w:tcPr>
                <w:p w14:paraId="0DFD5BF1">
                  <w:pPr>
                    <w:pStyle w:val="45"/>
                    <w:rPr>
                      <w:rFonts w:hint="default"/>
                      <w:b w:val="0"/>
                      <w:bCs w:val="0"/>
                      <w:u w:val="none"/>
                    </w:rPr>
                  </w:pPr>
                  <w:r>
                    <w:rPr>
                      <w:b w:val="0"/>
                      <w:bCs w:val="0"/>
                      <w:u w:val="none"/>
                    </w:rPr>
                    <w:t>DA002</w:t>
                  </w:r>
                </w:p>
              </w:tc>
              <w:tc>
                <w:tcPr>
                  <w:tcW w:w="770" w:type="pct"/>
                  <w:tcBorders>
                    <w:tl2br w:val="nil"/>
                    <w:tr2bl w:val="nil"/>
                  </w:tcBorders>
                  <w:vAlign w:val="center"/>
                </w:tcPr>
                <w:p w14:paraId="4BBCEC64">
                  <w:pPr>
                    <w:pStyle w:val="45"/>
                    <w:rPr>
                      <w:rFonts w:hint="default"/>
                      <w:b w:val="0"/>
                      <w:bCs w:val="0"/>
                      <w:u w:val="none"/>
                    </w:rPr>
                  </w:pPr>
                  <w:r>
                    <w:rPr>
                      <w:b w:val="0"/>
                      <w:bCs w:val="0"/>
                      <w:u w:val="none"/>
                    </w:rPr>
                    <w:t>113°26'51.86"</w:t>
                  </w:r>
                </w:p>
              </w:tc>
              <w:tc>
                <w:tcPr>
                  <w:tcW w:w="831" w:type="pct"/>
                  <w:tcBorders>
                    <w:tl2br w:val="nil"/>
                    <w:tr2bl w:val="nil"/>
                  </w:tcBorders>
                  <w:vAlign w:val="center"/>
                </w:tcPr>
                <w:p w14:paraId="29C588E1">
                  <w:pPr>
                    <w:pStyle w:val="45"/>
                    <w:rPr>
                      <w:rFonts w:hint="default"/>
                      <w:b w:val="0"/>
                      <w:bCs w:val="0"/>
                      <w:u w:val="none"/>
                    </w:rPr>
                  </w:pPr>
                  <w:r>
                    <w:rPr>
                      <w:b w:val="0"/>
                      <w:bCs w:val="0"/>
                      <w:u w:val="none"/>
                    </w:rPr>
                    <w:t>33°40'30.35"</w:t>
                  </w:r>
                </w:p>
              </w:tc>
              <w:tc>
                <w:tcPr>
                  <w:tcW w:w="500" w:type="pct"/>
                  <w:tcBorders>
                    <w:tl2br w:val="nil"/>
                    <w:tr2bl w:val="nil"/>
                  </w:tcBorders>
                  <w:vAlign w:val="center"/>
                </w:tcPr>
                <w:p w14:paraId="1A20DD55">
                  <w:pPr>
                    <w:pStyle w:val="45"/>
                    <w:rPr>
                      <w:rFonts w:hint="default"/>
                      <w:b w:val="0"/>
                      <w:bCs w:val="0"/>
                      <w:u w:val="none"/>
                    </w:rPr>
                  </w:pPr>
                  <w:r>
                    <w:rPr>
                      <w:b w:val="0"/>
                      <w:bCs w:val="0"/>
                      <w:u w:val="none"/>
                    </w:rPr>
                    <w:t>15</w:t>
                  </w:r>
                </w:p>
              </w:tc>
              <w:tc>
                <w:tcPr>
                  <w:tcW w:w="481" w:type="pct"/>
                  <w:tcBorders>
                    <w:tl2br w:val="nil"/>
                    <w:tr2bl w:val="nil"/>
                  </w:tcBorders>
                  <w:vAlign w:val="center"/>
                </w:tcPr>
                <w:p w14:paraId="79D7C531">
                  <w:pPr>
                    <w:pStyle w:val="45"/>
                    <w:rPr>
                      <w:rFonts w:hint="default" w:eastAsia="宋体"/>
                      <w:b w:val="0"/>
                      <w:bCs w:val="0"/>
                      <w:u w:val="none"/>
                      <w:lang w:val="en-US" w:eastAsia="zh-CN"/>
                    </w:rPr>
                  </w:pPr>
                  <w:r>
                    <w:rPr>
                      <w:b w:val="0"/>
                      <w:bCs w:val="0"/>
                      <w:u w:val="none"/>
                    </w:rPr>
                    <w:t>0</w:t>
                  </w:r>
                  <w:r>
                    <w:rPr>
                      <w:rFonts w:hint="eastAsia"/>
                      <w:b w:val="0"/>
                      <w:bCs w:val="0"/>
                      <w:u w:val="none"/>
                      <w:lang w:val="en-US" w:eastAsia="zh-CN"/>
                    </w:rPr>
                    <w:t>.1</w:t>
                  </w:r>
                </w:p>
              </w:tc>
              <w:tc>
                <w:tcPr>
                  <w:tcW w:w="425" w:type="pct"/>
                  <w:tcBorders>
                    <w:tl2br w:val="nil"/>
                    <w:tr2bl w:val="nil"/>
                  </w:tcBorders>
                  <w:vAlign w:val="center"/>
                </w:tcPr>
                <w:p w14:paraId="65B4D54C">
                  <w:pPr>
                    <w:pStyle w:val="45"/>
                    <w:rPr>
                      <w:rFonts w:hint="default"/>
                      <w:b w:val="0"/>
                      <w:bCs w:val="0"/>
                      <w:u w:val="none"/>
                    </w:rPr>
                  </w:pPr>
                  <w:r>
                    <w:rPr>
                      <w:b w:val="0"/>
                      <w:bCs w:val="0"/>
                      <w:u w:val="none"/>
                    </w:rPr>
                    <w:t>20</w:t>
                  </w:r>
                </w:p>
              </w:tc>
              <w:tc>
                <w:tcPr>
                  <w:tcW w:w="387" w:type="pct"/>
                  <w:tcBorders>
                    <w:tl2br w:val="nil"/>
                    <w:tr2bl w:val="nil"/>
                  </w:tcBorders>
                  <w:vAlign w:val="center"/>
                </w:tcPr>
                <w:p w14:paraId="65679F0C">
                  <w:pPr>
                    <w:pStyle w:val="45"/>
                    <w:rPr>
                      <w:rFonts w:hint="default"/>
                      <w:b w:val="0"/>
                      <w:bCs w:val="0"/>
                      <w:u w:val="none"/>
                    </w:rPr>
                  </w:pPr>
                  <w:r>
                    <w:rPr>
                      <w:b w:val="0"/>
                      <w:bCs w:val="0"/>
                      <w:u w:val="none"/>
                    </w:rPr>
                    <w:t>正常排放</w:t>
                  </w:r>
                </w:p>
              </w:tc>
              <w:tc>
                <w:tcPr>
                  <w:tcW w:w="623" w:type="pct"/>
                  <w:tcBorders>
                    <w:tl2br w:val="nil"/>
                    <w:tr2bl w:val="nil"/>
                  </w:tcBorders>
                  <w:vAlign w:val="center"/>
                </w:tcPr>
                <w:p w14:paraId="534D726A">
                  <w:pPr>
                    <w:pStyle w:val="45"/>
                    <w:rPr>
                      <w:rFonts w:hint="default"/>
                      <w:b w:val="0"/>
                      <w:bCs w:val="0"/>
                      <w:u w:val="none"/>
                    </w:rPr>
                  </w:pPr>
                  <w:r>
                    <w:rPr>
                      <w:b w:val="0"/>
                      <w:bCs w:val="0"/>
                      <w:u w:val="none"/>
                    </w:rPr>
                    <w:t>制氨水系统排放口</w:t>
                  </w:r>
                </w:p>
              </w:tc>
              <w:tc>
                <w:tcPr>
                  <w:tcW w:w="428" w:type="pct"/>
                  <w:tcBorders>
                    <w:tl2br w:val="nil"/>
                    <w:tr2bl w:val="nil"/>
                  </w:tcBorders>
                  <w:vAlign w:val="center"/>
                </w:tcPr>
                <w:p w14:paraId="5D2B2B4A">
                  <w:pPr>
                    <w:pStyle w:val="45"/>
                    <w:rPr>
                      <w:rFonts w:hint="default"/>
                      <w:b w:val="0"/>
                      <w:bCs w:val="0"/>
                      <w:u w:val="none"/>
                    </w:rPr>
                  </w:pPr>
                  <w:r>
                    <w:rPr>
                      <w:b w:val="0"/>
                      <w:bCs w:val="0"/>
                      <w:u w:val="none"/>
                    </w:rPr>
                    <w:t>一般排放口</w:t>
                  </w:r>
                </w:p>
              </w:tc>
            </w:tr>
          </w:tbl>
          <w:p w14:paraId="1F93AA8A">
            <w:pPr>
              <w:pStyle w:val="6"/>
              <w:numPr>
                <w:ilvl w:val="2"/>
                <w:numId w:val="3"/>
              </w:numPr>
              <w:rPr>
                <w:b w:val="0"/>
                <w:bCs w:val="0"/>
                <w:u w:val="none"/>
              </w:rPr>
            </w:pPr>
            <w:r>
              <w:rPr>
                <w:rFonts w:hint="eastAsia"/>
                <w:b w:val="0"/>
                <w:bCs w:val="0"/>
                <w:u w:val="none"/>
              </w:rPr>
              <w:t>废气污染物排放量核算</w:t>
            </w:r>
          </w:p>
          <w:p w14:paraId="7F0230B8">
            <w:pPr>
              <w:spacing w:line="360" w:lineRule="auto"/>
              <w:ind w:firstLine="420" w:firstLineChars="200"/>
              <w:contextualSpacing/>
              <w:rPr>
                <w:b w:val="0"/>
                <w:bCs w:val="0"/>
                <w:snapToGrid w:val="0"/>
                <w:highlight w:val="none"/>
                <w:u w:val="none"/>
              </w:rPr>
            </w:pPr>
            <w:r>
              <w:rPr>
                <w:rFonts w:hint="eastAsia"/>
                <w:b w:val="0"/>
                <w:bCs w:val="0"/>
                <w:snapToGrid w:val="0"/>
                <w:highlight w:val="none"/>
                <w:u w:val="none"/>
              </w:rPr>
              <w:t>（1）</w:t>
            </w:r>
            <w:r>
              <w:rPr>
                <w:b w:val="0"/>
                <w:bCs w:val="0"/>
                <w:snapToGrid w:val="0"/>
                <w:highlight w:val="none"/>
                <w:u w:val="none"/>
              </w:rPr>
              <w:t>有组织排放量核算</w:t>
            </w:r>
          </w:p>
          <w:p w14:paraId="1213F2B7">
            <w:pPr>
              <w:spacing w:line="360" w:lineRule="auto"/>
              <w:ind w:firstLine="420" w:firstLineChars="200"/>
              <w:contextualSpacing/>
              <w:rPr>
                <w:b w:val="0"/>
                <w:bCs w:val="0"/>
                <w:snapToGrid w:val="0"/>
                <w:highlight w:val="none"/>
                <w:u w:val="none"/>
              </w:rPr>
            </w:pPr>
            <w:r>
              <w:rPr>
                <w:b w:val="0"/>
                <w:bCs w:val="0"/>
                <w:snapToGrid w:val="0"/>
                <w:highlight w:val="none"/>
                <w:u w:val="none"/>
              </w:rPr>
              <w:t>有组织排放量核算见下表。</w:t>
            </w:r>
          </w:p>
          <w:p w14:paraId="2253114D">
            <w:pPr>
              <w:pStyle w:val="44"/>
              <w:numPr>
                <w:ilvl w:val="0"/>
                <w:numId w:val="2"/>
              </w:numPr>
              <w:rPr>
                <w:rFonts w:hint="default"/>
                <w:b w:val="0"/>
                <w:bCs w:val="0"/>
                <w:highlight w:val="none"/>
                <w:u w:val="none"/>
              </w:rPr>
            </w:pPr>
            <w:r>
              <w:rPr>
                <w:rFonts w:hint="default"/>
                <w:b w:val="0"/>
                <w:bCs w:val="0"/>
                <w:highlight w:val="none"/>
                <w:u w:val="none"/>
              </w:rPr>
              <w:t>大气污染物有组织排放量核算表</w:t>
            </w:r>
          </w:p>
          <w:tbl>
            <w:tblPr>
              <w:tblStyle w:val="27"/>
              <w:tblW w:w="4994"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40"/>
              <w:gridCol w:w="1439"/>
              <w:gridCol w:w="945"/>
              <w:gridCol w:w="1750"/>
              <w:gridCol w:w="1462"/>
              <w:gridCol w:w="1361"/>
            </w:tblGrid>
            <w:tr w14:paraId="3E52CB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97" w:type="pct"/>
                  <w:vAlign w:val="center"/>
                </w:tcPr>
                <w:p w14:paraId="67CB8100">
                  <w:pPr>
                    <w:adjustRightInd w:val="0"/>
                    <w:snapToGrid w:val="0"/>
                    <w:jc w:val="center"/>
                    <w:rPr>
                      <w:b w:val="0"/>
                      <w:bCs w:val="0"/>
                      <w:sz w:val="18"/>
                      <w:szCs w:val="18"/>
                      <w:highlight w:val="none"/>
                      <w:u w:val="none"/>
                    </w:rPr>
                  </w:pPr>
                  <w:r>
                    <w:rPr>
                      <w:b w:val="0"/>
                      <w:bCs w:val="0"/>
                      <w:sz w:val="18"/>
                      <w:szCs w:val="18"/>
                      <w:highlight w:val="none"/>
                      <w:u w:val="none"/>
                    </w:rPr>
                    <w:t>序号</w:t>
                  </w:r>
                </w:p>
              </w:tc>
              <w:tc>
                <w:tcPr>
                  <w:tcW w:w="972" w:type="pct"/>
                  <w:vAlign w:val="center"/>
                </w:tcPr>
                <w:p w14:paraId="0520C887">
                  <w:pPr>
                    <w:adjustRightInd w:val="0"/>
                    <w:snapToGrid w:val="0"/>
                    <w:jc w:val="center"/>
                    <w:rPr>
                      <w:b w:val="0"/>
                      <w:bCs w:val="0"/>
                      <w:sz w:val="18"/>
                      <w:szCs w:val="18"/>
                      <w:highlight w:val="none"/>
                      <w:u w:val="none"/>
                    </w:rPr>
                  </w:pPr>
                  <w:r>
                    <w:rPr>
                      <w:b w:val="0"/>
                      <w:bCs w:val="0"/>
                      <w:sz w:val="18"/>
                      <w:szCs w:val="18"/>
                      <w:highlight w:val="none"/>
                      <w:u w:val="none"/>
                    </w:rPr>
                    <w:t>排放口编号</w:t>
                  </w:r>
                </w:p>
              </w:tc>
              <w:tc>
                <w:tcPr>
                  <w:tcW w:w="639" w:type="pct"/>
                  <w:vAlign w:val="center"/>
                </w:tcPr>
                <w:p w14:paraId="55B98941">
                  <w:pPr>
                    <w:adjustRightInd w:val="0"/>
                    <w:snapToGrid w:val="0"/>
                    <w:jc w:val="center"/>
                    <w:rPr>
                      <w:b w:val="0"/>
                      <w:bCs w:val="0"/>
                      <w:sz w:val="18"/>
                      <w:szCs w:val="18"/>
                      <w:highlight w:val="none"/>
                      <w:u w:val="none"/>
                    </w:rPr>
                  </w:pPr>
                  <w:r>
                    <w:rPr>
                      <w:b w:val="0"/>
                      <w:bCs w:val="0"/>
                      <w:sz w:val="18"/>
                      <w:szCs w:val="18"/>
                      <w:highlight w:val="none"/>
                      <w:u w:val="none"/>
                    </w:rPr>
                    <w:t>污染物</w:t>
                  </w:r>
                </w:p>
              </w:tc>
              <w:tc>
                <w:tcPr>
                  <w:tcW w:w="1183" w:type="pct"/>
                  <w:vAlign w:val="center"/>
                </w:tcPr>
                <w:p w14:paraId="49D374E1">
                  <w:pPr>
                    <w:adjustRightInd w:val="0"/>
                    <w:snapToGrid w:val="0"/>
                    <w:jc w:val="center"/>
                    <w:rPr>
                      <w:b w:val="0"/>
                      <w:bCs w:val="0"/>
                      <w:sz w:val="18"/>
                      <w:szCs w:val="18"/>
                      <w:highlight w:val="none"/>
                      <w:u w:val="none"/>
                    </w:rPr>
                  </w:pPr>
                  <w:r>
                    <w:rPr>
                      <w:b w:val="0"/>
                      <w:bCs w:val="0"/>
                      <w:sz w:val="18"/>
                      <w:szCs w:val="18"/>
                      <w:highlight w:val="none"/>
                      <w:u w:val="none"/>
                    </w:rPr>
                    <w:t>核算排放浓度/（mg/m</w:t>
                  </w:r>
                  <w:r>
                    <w:rPr>
                      <w:b w:val="0"/>
                      <w:bCs w:val="0"/>
                      <w:sz w:val="18"/>
                      <w:szCs w:val="18"/>
                      <w:highlight w:val="none"/>
                      <w:u w:val="none"/>
                      <w:vertAlign w:val="superscript"/>
                    </w:rPr>
                    <w:t>3</w:t>
                  </w:r>
                  <w:r>
                    <w:rPr>
                      <w:b w:val="0"/>
                      <w:bCs w:val="0"/>
                      <w:sz w:val="18"/>
                      <w:szCs w:val="18"/>
                      <w:highlight w:val="none"/>
                      <w:u w:val="none"/>
                    </w:rPr>
                    <w:t>）</w:t>
                  </w:r>
                </w:p>
              </w:tc>
              <w:tc>
                <w:tcPr>
                  <w:tcW w:w="986" w:type="pct"/>
                  <w:vAlign w:val="center"/>
                </w:tcPr>
                <w:p w14:paraId="5037B5A7">
                  <w:pPr>
                    <w:adjustRightInd w:val="0"/>
                    <w:snapToGrid w:val="0"/>
                    <w:jc w:val="center"/>
                    <w:rPr>
                      <w:b w:val="0"/>
                      <w:bCs w:val="0"/>
                      <w:sz w:val="18"/>
                      <w:szCs w:val="18"/>
                      <w:highlight w:val="none"/>
                      <w:u w:val="none"/>
                    </w:rPr>
                  </w:pPr>
                  <w:r>
                    <w:rPr>
                      <w:b w:val="0"/>
                      <w:bCs w:val="0"/>
                      <w:sz w:val="18"/>
                      <w:szCs w:val="18"/>
                      <w:highlight w:val="none"/>
                      <w:u w:val="none"/>
                    </w:rPr>
                    <w:t>核算排放速率/（kg/h）</w:t>
                  </w:r>
                </w:p>
              </w:tc>
              <w:tc>
                <w:tcPr>
                  <w:tcW w:w="919" w:type="pct"/>
                  <w:vAlign w:val="center"/>
                </w:tcPr>
                <w:p w14:paraId="0440A050">
                  <w:pPr>
                    <w:adjustRightInd w:val="0"/>
                    <w:snapToGrid w:val="0"/>
                    <w:jc w:val="center"/>
                    <w:rPr>
                      <w:b w:val="0"/>
                      <w:bCs w:val="0"/>
                      <w:sz w:val="18"/>
                      <w:szCs w:val="18"/>
                      <w:highlight w:val="none"/>
                      <w:u w:val="none"/>
                    </w:rPr>
                  </w:pPr>
                  <w:r>
                    <w:rPr>
                      <w:b w:val="0"/>
                      <w:bCs w:val="0"/>
                      <w:sz w:val="18"/>
                      <w:szCs w:val="18"/>
                      <w:highlight w:val="none"/>
                      <w:u w:val="none"/>
                    </w:rPr>
                    <w:t>核算年排放量/（t/a）</w:t>
                  </w:r>
                </w:p>
              </w:tc>
            </w:tr>
            <w:tr w14:paraId="6AFEEFE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000" w:type="pct"/>
                  <w:gridSpan w:val="6"/>
                  <w:vAlign w:val="center"/>
                </w:tcPr>
                <w:p w14:paraId="0967B7B2">
                  <w:pPr>
                    <w:adjustRightInd w:val="0"/>
                    <w:snapToGrid w:val="0"/>
                    <w:jc w:val="center"/>
                    <w:rPr>
                      <w:b w:val="0"/>
                      <w:bCs w:val="0"/>
                      <w:sz w:val="18"/>
                      <w:szCs w:val="18"/>
                      <w:highlight w:val="none"/>
                      <w:u w:val="none"/>
                    </w:rPr>
                  </w:pPr>
                  <w:r>
                    <w:rPr>
                      <w:b w:val="0"/>
                      <w:bCs w:val="0"/>
                      <w:sz w:val="18"/>
                      <w:szCs w:val="18"/>
                      <w:highlight w:val="none"/>
                      <w:u w:val="none"/>
                    </w:rPr>
                    <w:t>一般排放口</w:t>
                  </w:r>
                </w:p>
              </w:tc>
            </w:tr>
            <w:tr w14:paraId="1CD4A1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97" w:type="pct"/>
                  <w:vMerge w:val="restart"/>
                  <w:vAlign w:val="center"/>
                </w:tcPr>
                <w:p w14:paraId="514601ED">
                  <w:pPr>
                    <w:adjustRightInd w:val="0"/>
                    <w:snapToGrid w:val="0"/>
                    <w:jc w:val="center"/>
                    <w:rPr>
                      <w:b w:val="0"/>
                      <w:bCs w:val="0"/>
                      <w:kern w:val="0"/>
                      <w:sz w:val="18"/>
                      <w:szCs w:val="18"/>
                      <w:highlight w:val="none"/>
                      <w:u w:val="none"/>
                    </w:rPr>
                  </w:pPr>
                  <w:r>
                    <w:rPr>
                      <w:rFonts w:hint="eastAsia"/>
                      <w:b w:val="0"/>
                      <w:bCs w:val="0"/>
                      <w:kern w:val="0"/>
                      <w:sz w:val="18"/>
                      <w:szCs w:val="18"/>
                      <w:highlight w:val="none"/>
                      <w:u w:val="none"/>
                    </w:rPr>
                    <w:t>1</w:t>
                  </w:r>
                </w:p>
              </w:tc>
              <w:tc>
                <w:tcPr>
                  <w:tcW w:w="972" w:type="pct"/>
                  <w:vMerge w:val="restart"/>
                  <w:vAlign w:val="center"/>
                </w:tcPr>
                <w:p w14:paraId="05C4C3EF">
                  <w:pPr>
                    <w:jc w:val="center"/>
                    <w:rPr>
                      <w:b w:val="0"/>
                      <w:bCs w:val="0"/>
                      <w:sz w:val="18"/>
                      <w:szCs w:val="18"/>
                      <w:highlight w:val="none"/>
                      <w:u w:val="none"/>
                    </w:rPr>
                  </w:pPr>
                  <w:r>
                    <w:rPr>
                      <w:rFonts w:hint="eastAsia"/>
                      <w:b w:val="0"/>
                      <w:bCs w:val="0"/>
                      <w:sz w:val="18"/>
                      <w:szCs w:val="18"/>
                      <w:highlight w:val="none"/>
                      <w:u w:val="none"/>
                    </w:rPr>
                    <w:t>DA001</w:t>
                  </w:r>
                </w:p>
              </w:tc>
              <w:tc>
                <w:tcPr>
                  <w:tcW w:w="639" w:type="pct"/>
                  <w:vAlign w:val="center"/>
                </w:tcPr>
                <w:p w14:paraId="689D4B57">
                  <w:pPr>
                    <w:adjustRightInd w:val="0"/>
                    <w:snapToGrid w:val="0"/>
                    <w:jc w:val="center"/>
                    <w:rPr>
                      <w:b w:val="0"/>
                      <w:bCs w:val="0"/>
                      <w:sz w:val="18"/>
                      <w:szCs w:val="18"/>
                      <w:highlight w:val="none"/>
                      <w:u w:val="none"/>
                    </w:rPr>
                  </w:pPr>
                  <w:r>
                    <w:rPr>
                      <w:rFonts w:hint="eastAsia"/>
                      <w:b w:val="0"/>
                      <w:bCs w:val="0"/>
                      <w:sz w:val="18"/>
                      <w:szCs w:val="18"/>
                      <w:highlight w:val="none"/>
                      <w:u w:val="none"/>
                    </w:rPr>
                    <w:t>VOCs（甲醇）</w:t>
                  </w:r>
                </w:p>
              </w:tc>
              <w:tc>
                <w:tcPr>
                  <w:tcW w:w="1183" w:type="pct"/>
                  <w:vAlign w:val="center"/>
                </w:tcPr>
                <w:p w14:paraId="75602630">
                  <w:pPr>
                    <w:adjustRightInd w:val="0"/>
                    <w:snapToGrid w:val="0"/>
                    <w:jc w:val="center"/>
                    <w:rPr>
                      <w:b w:val="0"/>
                      <w:bCs w:val="0"/>
                      <w:sz w:val="18"/>
                      <w:szCs w:val="18"/>
                      <w:highlight w:val="none"/>
                      <w:u w:val="none"/>
                    </w:rPr>
                  </w:pPr>
                  <w:r>
                    <w:rPr>
                      <w:rFonts w:hint="eastAsia"/>
                      <w:b w:val="0"/>
                      <w:bCs w:val="0"/>
                      <w:sz w:val="18"/>
                      <w:szCs w:val="18"/>
                      <w:highlight w:val="none"/>
                      <w:u w:val="none"/>
                    </w:rPr>
                    <w:t>13.6</w:t>
                  </w:r>
                </w:p>
              </w:tc>
              <w:tc>
                <w:tcPr>
                  <w:tcW w:w="986" w:type="pct"/>
                  <w:vAlign w:val="center"/>
                </w:tcPr>
                <w:p w14:paraId="04A5FAA0">
                  <w:pPr>
                    <w:jc w:val="center"/>
                    <w:rPr>
                      <w:b w:val="0"/>
                      <w:bCs w:val="0"/>
                      <w:sz w:val="18"/>
                      <w:szCs w:val="18"/>
                      <w:highlight w:val="none"/>
                      <w:u w:val="none"/>
                    </w:rPr>
                  </w:pPr>
                  <w:r>
                    <w:rPr>
                      <w:rFonts w:hint="eastAsia"/>
                      <w:b w:val="0"/>
                      <w:bCs w:val="0"/>
                      <w:sz w:val="18"/>
                      <w:szCs w:val="18"/>
                      <w:highlight w:val="none"/>
                      <w:u w:val="none"/>
                    </w:rPr>
                    <w:t>0.05</w:t>
                  </w:r>
                </w:p>
              </w:tc>
              <w:tc>
                <w:tcPr>
                  <w:tcW w:w="919" w:type="pct"/>
                  <w:vAlign w:val="center"/>
                </w:tcPr>
                <w:p w14:paraId="6E8C70EA">
                  <w:pPr>
                    <w:pStyle w:val="68"/>
                    <w:rPr>
                      <w:b w:val="0"/>
                      <w:bCs w:val="0"/>
                      <w:sz w:val="18"/>
                      <w:szCs w:val="18"/>
                      <w:highlight w:val="none"/>
                      <w:u w:val="none"/>
                    </w:rPr>
                  </w:pPr>
                  <w:r>
                    <w:rPr>
                      <w:rFonts w:hint="eastAsia"/>
                      <w:b w:val="0"/>
                      <w:bCs w:val="0"/>
                      <w:sz w:val="18"/>
                      <w:szCs w:val="18"/>
                      <w:highlight w:val="none"/>
                      <w:u w:val="none"/>
                    </w:rPr>
                    <w:t>0.36</w:t>
                  </w:r>
                </w:p>
              </w:tc>
            </w:tr>
            <w:tr w14:paraId="51A484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97" w:type="pct"/>
                  <w:vMerge w:val="continue"/>
                  <w:vAlign w:val="center"/>
                </w:tcPr>
                <w:p w14:paraId="24565C5F">
                  <w:pPr>
                    <w:adjustRightInd w:val="0"/>
                    <w:snapToGrid w:val="0"/>
                    <w:jc w:val="center"/>
                    <w:rPr>
                      <w:b w:val="0"/>
                      <w:bCs w:val="0"/>
                      <w:kern w:val="0"/>
                      <w:sz w:val="18"/>
                      <w:szCs w:val="18"/>
                      <w:highlight w:val="none"/>
                      <w:u w:val="none"/>
                    </w:rPr>
                  </w:pPr>
                </w:p>
              </w:tc>
              <w:tc>
                <w:tcPr>
                  <w:tcW w:w="972" w:type="pct"/>
                  <w:vMerge w:val="continue"/>
                  <w:vAlign w:val="center"/>
                </w:tcPr>
                <w:p w14:paraId="2022619C">
                  <w:pPr>
                    <w:jc w:val="center"/>
                    <w:rPr>
                      <w:b w:val="0"/>
                      <w:bCs w:val="0"/>
                      <w:sz w:val="18"/>
                      <w:szCs w:val="18"/>
                      <w:highlight w:val="none"/>
                      <w:u w:val="none"/>
                    </w:rPr>
                  </w:pPr>
                </w:p>
              </w:tc>
              <w:tc>
                <w:tcPr>
                  <w:tcW w:w="639" w:type="pct"/>
                  <w:vAlign w:val="center"/>
                </w:tcPr>
                <w:p w14:paraId="620760E1">
                  <w:pPr>
                    <w:adjustRightInd w:val="0"/>
                    <w:snapToGrid w:val="0"/>
                    <w:jc w:val="center"/>
                    <w:rPr>
                      <w:b w:val="0"/>
                      <w:bCs w:val="0"/>
                      <w:sz w:val="18"/>
                      <w:szCs w:val="18"/>
                      <w:highlight w:val="none"/>
                      <w:u w:val="none"/>
                    </w:rPr>
                  </w:pPr>
                  <w:r>
                    <w:rPr>
                      <w:rFonts w:hint="eastAsia"/>
                      <w:b w:val="0"/>
                      <w:bCs w:val="0"/>
                      <w:sz w:val="18"/>
                      <w:szCs w:val="18"/>
                      <w:highlight w:val="none"/>
                      <w:u w:val="none"/>
                    </w:rPr>
                    <w:t>硫化氢</w:t>
                  </w:r>
                </w:p>
              </w:tc>
              <w:tc>
                <w:tcPr>
                  <w:tcW w:w="1183" w:type="pct"/>
                  <w:vAlign w:val="center"/>
                </w:tcPr>
                <w:p w14:paraId="501C9551">
                  <w:pPr>
                    <w:adjustRightInd w:val="0"/>
                    <w:snapToGrid w:val="0"/>
                    <w:jc w:val="center"/>
                    <w:rPr>
                      <w:b w:val="0"/>
                      <w:bCs w:val="0"/>
                      <w:sz w:val="18"/>
                      <w:szCs w:val="18"/>
                      <w:highlight w:val="none"/>
                      <w:u w:val="none"/>
                    </w:rPr>
                  </w:pPr>
                  <w:r>
                    <w:rPr>
                      <w:rFonts w:hint="eastAsia"/>
                      <w:b w:val="0"/>
                      <w:bCs w:val="0"/>
                      <w:sz w:val="18"/>
                      <w:szCs w:val="18"/>
                      <w:highlight w:val="none"/>
                      <w:u w:val="none"/>
                    </w:rPr>
                    <w:t>7.07</w:t>
                  </w:r>
                </w:p>
              </w:tc>
              <w:tc>
                <w:tcPr>
                  <w:tcW w:w="986" w:type="pct"/>
                  <w:vAlign w:val="center"/>
                </w:tcPr>
                <w:p w14:paraId="73992EBF">
                  <w:pPr>
                    <w:jc w:val="center"/>
                    <w:rPr>
                      <w:b w:val="0"/>
                      <w:bCs w:val="0"/>
                      <w:sz w:val="18"/>
                      <w:szCs w:val="18"/>
                      <w:highlight w:val="none"/>
                      <w:u w:val="none"/>
                    </w:rPr>
                  </w:pPr>
                  <w:r>
                    <w:rPr>
                      <w:rFonts w:hint="eastAsia"/>
                      <w:b w:val="0"/>
                      <w:bCs w:val="0"/>
                      <w:sz w:val="18"/>
                      <w:szCs w:val="18"/>
                      <w:highlight w:val="none"/>
                      <w:u w:val="none"/>
                    </w:rPr>
                    <w:t>0.026</w:t>
                  </w:r>
                </w:p>
              </w:tc>
              <w:tc>
                <w:tcPr>
                  <w:tcW w:w="919" w:type="pct"/>
                  <w:vAlign w:val="center"/>
                </w:tcPr>
                <w:p w14:paraId="56A34BEC">
                  <w:pPr>
                    <w:pStyle w:val="68"/>
                    <w:rPr>
                      <w:b w:val="0"/>
                      <w:bCs w:val="0"/>
                      <w:sz w:val="18"/>
                      <w:szCs w:val="18"/>
                      <w:highlight w:val="none"/>
                      <w:u w:val="none"/>
                    </w:rPr>
                  </w:pPr>
                  <w:r>
                    <w:rPr>
                      <w:rFonts w:hint="eastAsia"/>
                      <w:b w:val="0"/>
                      <w:bCs w:val="0"/>
                      <w:sz w:val="18"/>
                      <w:szCs w:val="18"/>
                      <w:highlight w:val="none"/>
                      <w:u w:val="none"/>
                    </w:rPr>
                    <w:t>0.19</w:t>
                  </w:r>
                </w:p>
              </w:tc>
            </w:tr>
            <w:tr w14:paraId="14C98E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97" w:type="pct"/>
                  <w:vAlign w:val="center"/>
                </w:tcPr>
                <w:p w14:paraId="2F769F48">
                  <w:pPr>
                    <w:adjustRightInd w:val="0"/>
                    <w:snapToGrid w:val="0"/>
                    <w:jc w:val="center"/>
                    <w:rPr>
                      <w:b w:val="0"/>
                      <w:bCs w:val="0"/>
                      <w:kern w:val="0"/>
                      <w:sz w:val="18"/>
                      <w:szCs w:val="18"/>
                      <w:highlight w:val="none"/>
                      <w:u w:val="none"/>
                    </w:rPr>
                  </w:pPr>
                  <w:r>
                    <w:rPr>
                      <w:rFonts w:hint="eastAsia"/>
                      <w:b w:val="0"/>
                      <w:bCs w:val="0"/>
                      <w:kern w:val="0"/>
                      <w:sz w:val="18"/>
                      <w:szCs w:val="18"/>
                      <w:highlight w:val="none"/>
                      <w:u w:val="none"/>
                    </w:rPr>
                    <w:t>3</w:t>
                  </w:r>
                </w:p>
              </w:tc>
              <w:tc>
                <w:tcPr>
                  <w:tcW w:w="972" w:type="pct"/>
                  <w:vAlign w:val="center"/>
                </w:tcPr>
                <w:p w14:paraId="74C9492C">
                  <w:pPr>
                    <w:jc w:val="center"/>
                    <w:rPr>
                      <w:b w:val="0"/>
                      <w:bCs w:val="0"/>
                      <w:sz w:val="18"/>
                      <w:szCs w:val="18"/>
                      <w:highlight w:val="none"/>
                      <w:u w:val="none"/>
                    </w:rPr>
                  </w:pPr>
                  <w:r>
                    <w:rPr>
                      <w:rFonts w:hint="eastAsia"/>
                      <w:b w:val="0"/>
                      <w:bCs w:val="0"/>
                      <w:sz w:val="18"/>
                      <w:szCs w:val="18"/>
                      <w:highlight w:val="none"/>
                      <w:u w:val="none"/>
                    </w:rPr>
                    <w:t>DA002</w:t>
                  </w:r>
                </w:p>
              </w:tc>
              <w:tc>
                <w:tcPr>
                  <w:tcW w:w="639" w:type="pct"/>
                  <w:vAlign w:val="center"/>
                </w:tcPr>
                <w:p w14:paraId="690909C7">
                  <w:pPr>
                    <w:adjustRightInd w:val="0"/>
                    <w:snapToGrid w:val="0"/>
                    <w:jc w:val="center"/>
                    <w:rPr>
                      <w:b w:val="0"/>
                      <w:bCs w:val="0"/>
                      <w:sz w:val="18"/>
                      <w:szCs w:val="18"/>
                      <w:highlight w:val="none"/>
                      <w:u w:val="none"/>
                    </w:rPr>
                  </w:pPr>
                  <w:r>
                    <w:rPr>
                      <w:rFonts w:hint="eastAsia"/>
                      <w:b w:val="0"/>
                      <w:bCs w:val="0"/>
                      <w:sz w:val="18"/>
                      <w:szCs w:val="18"/>
                      <w:highlight w:val="none"/>
                      <w:u w:val="none"/>
                    </w:rPr>
                    <w:t>氨</w:t>
                  </w:r>
                </w:p>
              </w:tc>
              <w:tc>
                <w:tcPr>
                  <w:tcW w:w="1750" w:type="dxa"/>
                  <w:vAlign w:val="center"/>
                </w:tcPr>
                <w:p w14:paraId="1AC90D9B">
                  <w:pPr>
                    <w:pStyle w:val="45"/>
                    <w:rPr>
                      <w:rFonts w:hint="default" w:eastAsia="宋体"/>
                      <w:b w:val="0"/>
                      <w:bCs w:val="0"/>
                      <w:szCs w:val="18"/>
                      <w:highlight w:val="none"/>
                      <w:u w:val="none"/>
                      <w:lang w:val="en-US" w:eastAsia="zh-CN"/>
                    </w:rPr>
                  </w:pPr>
                  <w:r>
                    <w:rPr>
                      <w:rFonts w:hint="eastAsia"/>
                      <w:b w:val="0"/>
                      <w:bCs w:val="0"/>
                      <w:szCs w:val="18"/>
                      <w:highlight w:val="none"/>
                      <w:u w:val="none"/>
                      <w:lang w:val="en-US" w:eastAsia="zh-CN"/>
                    </w:rPr>
                    <w:t>11.41</w:t>
                  </w:r>
                </w:p>
              </w:tc>
              <w:tc>
                <w:tcPr>
                  <w:tcW w:w="1462" w:type="dxa"/>
                  <w:vAlign w:val="center"/>
                </w:tcPr>
                <w:p w14:paraId="2E1BC5E2">
                  <w:pPr>
                    <w:pStyle w:val="45"/>
                    <w:rPr>
                      <w:rFonts w:hint="default" w:eastAsia="宋体"/>
                      <w:b w:val="0"/>
                      <w:bCs w:val="0"/>
                      <w:szCs w:val="18"/>
                      <w:highlight w:val="none"/>
                      <w:u w:val="none"/>
                      <w:lang w:val="en-US" w:eastAsia="zh-CN"/>
                    </w:rPr>
                  </w:pPr>
                  <w:r>
                    <w:rPr>
                      <w:rFonts w:hint="eastAsia"/>
                      <w:b w:val="0"/>
                      <w:bCs w:val="0"/>
                      <w:szCs w:val="18"/>
                      <w:highlight w:val="none"/>
                      <w:u w:val="none"/>
                      <w:lang w:val="en-US" w:eastAsia="zh-CN"/>
                    </w:rPr>
                    <w:t>0.1141</w:t>
                  </w:r>
                </w:p>
              </w:tc>
              <w:tc>
                <w:tcPr>
                  <w:tcW w:w="1362" w:type="dxa"/>
                  <w:vAlign w:val="center"/>
                </w:tcPr>
                <w:p w14:paraId="7A832905">
                  <w:pPr>
                    <w:pStyle w:val="45"/>
                    <w:rPr>
                      <w:rFonts w:hint="default" w:eastAsia="宋体"/>
                      <w:b w:val="0"/>
                      <w:bCs w:val="0"/>
                      <w:szCs w:val="18"/>
                      <w:highlight w:val="none"/>
                      <w:u w:val="none"/>
                      <w:lang w:val="en-US" w:eastAsia="zh-CN"/>
                    </w:rPr>
                  </w:pPr>
                  <w:r>
                    <w:rPr>
                      <w:rFonts w:hint="eastAsia"/>
                      <w:b w:val="0"/>
                      <w:bCs w:val="0"/>
                      <w:szCs w:val="18"/>
                      <w:highlight w:val="none"/>
                      <w:u w:val="none"/>
                      <w:lang w:val="en-US" w:eastAsia="zh-CN"/>
                    </w:rPr>
                    <w:t>0.8216</w:t>
                  </w:r>
                </w:p>
              </w:tc>
            </w:tr>
            <w:tr w14:paraId="395F79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000" w:type="pct"/>
                  <w:gridSpan w:val="6"/>
                  <w:vAlign w:val="center"/>
                </w:tcPr>
                <w:p w14:paraId="136589AD">
                  <w:pPr>
                    <w:jc w:val="center"/>
                    <w:textAlignment w:val="center"/>
                    <w:rPr>
                      <w:b w:val="0"/>
                      <w:bCs w:val="0"/>
                      <w:sz w:val="18"/>
                      <w:szCs w:val="18"/>
                      <w:highlight w:val="none"/>
                      <w:u w:val="none"/>
                    </w:rPr>
                  </w:pPr>
                  <w:r>
                    <w:rPr>
                      <w:b w:val="0"/>
                      <w:bCs w:val="0"/>
                      <w:kern w:val="0"/>
                      <w:sz w:val="18"/>
                      <w:szCs w:val="18"/>
                      <w:highlight w:val="none"/>
                      <w:u w:val="none"/>
                    </w:rPr>
                    <w:t>有组织排放总计</w:t>
                  </w:r>
                </w:p>
              </w:tc>
            </w:tr>
            <w:tr w14:paraId="13A1C7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70" w:type="pct"/>
                  <w:gridSpan w:val="2"/>
                  <w:vMerge w:val="restart"/>
                  <w:vAlign w:val="center"/>
                </w:tcPr>
                <w:p w14:paraId="1ED56F43">
                  <w:pPr>
                    <w:adjustRightInd w:val="0"/>
                    <w:snapToGrid w:val="0"/>
                    <w:jc w:val="center"/>
                    <w:rPr>
                      <w:b w:val="0"/>
                      <w:bCs w:val="0"/>
                      <w:kern w:val="0"/>
                      <w:sz w:val="18"/>
                      <w:szCs w:val="18"/>
                      <w:highlight w:val="none"/>
                      <w:u w:val="none"/>
                    </w:rPr>
                  </w:pPr>
                  <w:r>
                    <w:rPr>
                      <w:b w:val="0"/>
                      <w:bCs w:val="0"/>
                      <w:kern w:val="0"/>
                      <w:sz w:val="18"/>
                      <w:szCs w:val="18"/>
                      <w:highlight w:val="none"/>
                      <w:u w:val="none"/>
                    </w:rPr>
                    <w:t>有组织排放总计</w:t>
                  </w:r>
                </w:p>
              </w:tc>
              <w:tc>
                <w:tcPr>
                  <w:tcW w:w="2810" w:type="pct"/>
                  <w:gridSpan w:val="3"/>
                  <w:vAlign w:val="center"/>
                </w:tcPr>
                <w:p w14:paraId="7D1A21F9">
                  <w:pPr>
                    <w:adjustRightInd w:val="0"/>
                    <w:snapToGrid w:val="0"/>
                    <w:jc w:val="center"/>
                    <w:rPr>
                      <w:b w:val="0"/>
                      <w:bCs w:val="0"/>
                      <w:sz w:val="18"/>
                      <w:szCs w:val="18"/>
                      <w:highlight w:val="none"/>
                      <w:u w:val="none"/>
                    </w:rPr>
                  </w:pPr>
                  <w:r>
                    <w:rPr>
                      <w:rFonts w:hint="eastAsia"/>
                      <w:b w:val="0"/>
                      <w:bCs w:val="0"/>
                      <w:sz w:val="18"/>
                      <w:szCs w:val="18"/>
                      <w:highlight w:val="none"/>
                      <w:u w:val="none"/>
                    </w:rPr>
                    <w:t>VOCs（甲醇）</w:t>
                  </w:r>
                </w:p>
              </w:tc>
              <w:tc>
                <w:tcPr>
                  <w:tcW w:w="1420" w:type="dxa"/>
                  <w:vAlign w:val="center"/>
                </w:tcPr>
                <w:p w14:paraId="6E9635FB">
                  <w:pPr>
                    <w:pStyle w:val="68"/>
                    <w:rPr>
                      <w:b w:val="0"/>
                      <w:bCs w:val="0"/>
                      <w:sz w:val="18"/>
                      <w:szCs w:val="18"/>
                      <w:highlight w:val="none"/>
                      <w:u w:val="none"/>
                    </w:rPr>
                  </w:pPr>
                  <w:r>
                    <w:rPr>
                      <w:rFonts w:hint="eastAsia"/>
                      <w:b w:val="0"/>
                      <w:bCs w:val="0"/>
                      <w:sz w:val="18"/>
                      <w:szCs w:val="18"/>
                      <w:highlight w:val="none"/>
                      <w:u w:val="none"/>
                    </w:rPr>
                    <w:t>0.36</w:t>
                  </w:r>
                </w:p>
              </w:tc>
            </w:tr>
            <w:tr w14:paraId="7D1A87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70" w:type="pct"/>
                  <w:gridSpan w:val="2"/>
                  <w:vMerge w:val="continue"/>
                  <w:vAlign w:val="center"/>
                </w:tcPr>
                <w:p w14:paraId="405C7610">
                  <w:pPr>
                    <w:adjustRightInd w:val="0"/>
                    <w:snapToGrid w:val="0"/>
                    <w:jc w:val="center"/>
                    <w:rPr>
                      <w:b w:val="0"/>
                      <w:bCs w:val="0"/>
                      <w:kern w:val="0"/>
                      <w:sz w:val="18"/>
                      <w:szCs w:val="18"/>
                      <w:highlight w:val="none"/>
                      <w:u w:val="none"/>
                    </w:rPr>
                  </w:pPr>
                </w:p>
              </w:tc>
              <w:tc>
                <w:tcPr>
                  <w:tcW w:w="2810" w:type="pct"/>
                  <w:gridSpan w:val="3"/>
                  <w:vAlign w:val="center"/>
                </w:tcPr>
                <w:p w14:paraId="362A1197">
                  <w:pPr>
                    <w:adjustRightInd w:val="0"/>
                    <w:snapToGrid w:val="0"/>
                    <w:jc w:val="center"/>
                    <w:rPr>
                      <w:b w:val="0"/>
                      <w:bCs w:val="0"/>
                      <w:sz w:val="18"/>
                      <w:szCs w:val="18"/>
                      <w:highlight w:val="none"/>
                      <w:u w:val="none"/>
                    </w:rPr>
                  </w:pPr>
                  <w:r>
                    <w:rPr>
                      <w:rFonts w:hint="eastAsia"/>
                      <w:b w:val="0"/>
                      <w:bCs w:val="0"/>
                      <w:sz w:val="18"/>
                      <w:szCs w:val="18"/>
                      <w:highlight w:val="none"/>
                      <w:u w:val="none"/>
                    </w:rPr>
                    <w:t>硫化氢</w:t>
                  </w:r>
                </w:p>
              </w:tc>
              <w:tc>
                <w:tcPr>
                  <w:tcW w:w="1420" w:type="dxa"/>
                  <w:vAlign w:val="center"/>
                </w:tcPr>
                <w:p w14:paraId="06F1962A">
                  <w:pPr>
                    <w:pStyle w:val="68"/>
                    <w:rPr>
                      <w:b w:val="0"/>
                      <w:bCs w:val="0"/>
                      <w:kern w:val="0"/>
                      <w:sz w:val="18"/>
                      <w:szCs w:val="18"/>
                      <w:highlight w:val="none"/>
                      <w:u w:val="none"/>
                      <w:lang w:bidi="ar"/>
                    </w:rPr>
                  </w:pPr>
                  <w:r>
                    <w:rPr>
                      <w:rFonts w:hint="eastAsia"/>
                      <w:b w:val="0"/>
                      <w:bCs w:val="0"/>
                      <w:sz w:val="18"/>
                      <w:szCs w:val="18"/>
                      <w:highlight w:val="none"/>
                      <w:u w:val="none"/>
                    </w:rPr>
                    <w:t>0.19</w:t>
                  </w:r>
                </w:p>
              </w:tc>
            </w:tr>
            <w:tr w14:paraId="30070E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70" w:type="pct"/>
                  <w:gridSpan w:val="2"/>
                  <w:vMerge w:val="continue"/>
                  <w:vAlign w:val="center"/>
                </w:tcPr>
                <w:p w14:paraId="7DD0D737">
                  <w:pPr>
                    <w:adjustRightInd w:val="0"/>
                    <w:snapToGrid w:val="0"/>
                    <w:jc w:val="center"/>
                    <w:rPr>
                      <w:b w:val="0"/>
                      <w:bCs w:val="0"/>
                      <w:kern w:val="0"/>
                      <w:sz w:val="18"/>
                      <w:szCs w:val="18"/>
                      <w:highlight w:val="none"/>
                      <w:u w:val="none"/>
                    </w:rPr>
                  </w:pPr>
                </w:p>
              </w:tc>
              <w:tc>
                <w:tcPr>
                  <w:tcW w:w="2810" w:type="pct"/>
                  <w:gridSpan w:val="3"/>
                  <w:vAlign w:val="center"/>
                </w:tcPr>
                <w:p w14:paraId="4FDD42B4">
                  <w:pPr>
                    <w:adjustRightInd w:val="0"/>
                    <w:snapToGrid w:val="0"/>
                    <w:jc w:val="center"/>
                    <w:rPr>
                      <w:b w:val="0"/>
                      <w:bCs w:val="0"/>
                      <w:sz w:val="18"/>
                      <w:szCs w:val="18"/>
                      <w:highlight w:val="none"/>
                      <w:u w:val="none"/>
                    </w:rPr>
                  </w:pPr>
                  <w:r>
                    <w:rPr>
                      <w:rFonts w:hint="eastAsia"/>
                      <w:b w:val="0"/>
                      <w:bCs w:val="0"/>
                      <w:sz w:val="18"/>
                      <w:szCs w:val="18"/>
                      <w:highlight w:val="none"/>
                      <w:u w:val="none"/>
                    </w:rPr>
                    <w:t>氨</w:t>
                  </w:r>
                </w:p>
              </w:tc>
              <w:tc>
                <w:tcPr>
                  <w:tcW w:w="1420" w:type="dxa"/>
                  <w:vAlign w:val="center"/>
                </w:tcPr>
                <w:p w14:paraId="7654D89E">
                  <w:pPr>
                    <w:pStyle w:val="45"/>
                    <w:rPr>
                      <w:rFonts w:hint="default" w:eastAsia="宋体"/>
                      <w:b w:val="0"/>
                      <w:bCs w:val="0"/>
                      <w:kern w:val="0"/>
                      <w:szCs w:val="18"/>
                      <w:highlight w:val="none"/>
                      <w:u w:val="none"/>
                      <w:lang w:val="en-US" w:eastAsia="zh-CN" w:bidi="ar"/>
                    </w:rPr>
                  </w:pPr>
                  <w:r>
                    <w:rPr>
                      <w:rFonts w:hint="eastAsia"/>
                      <w:b w:val="0"/>
                      <w:bCs w:val="0"/>
                      <w:szCs w:val="18"/>
                      <w:highlight w:val="none"/>
                      <w:u w:val="none"/>
                      <w:lang w:val="en-US" w:eastAsia="zh-CN"/>
                    </w:rPr>
                    <w:t>0.8216</w:t>
                  </w:r>
                </w:p>
              </w:tc>
            </w:tr>
          </w:tbl>
          <w:p w14:paraId="19C21EBB">
            <w:pPr>
              <w:spacing w:line="360" w:lineRule="auto"/>
              <w:ind w:firstLine="420" w:firstLineChars="200"/>
              <w:contextualSpacing/>
              <w:rPr>
                <w:b w:val="0"/>
                <w:bCs w:val="0"/>
                <w:snapToGrid w:val="0"/>
                <w:highlight w:val="none"/>
                <w:u w:val="none"/>
              </w:rPr>
            </w:pPr>
            <w:r>
              <w:rPr>
                <w:rFonts w:hint="eastAsia"/>
                <w:b w:val="0"/>
                <w:bCs w:val="0"/>
                <w:snapToGrid w:val="0"/>
                <w:highlight w:val="none"/>
                <w:u w:val="none"/>
              </w:rPr>
              <w:t>（2）</w:t>
            </w:r>
            <w:r>
              <w:rPr>
                <w:b w:val="0"/>
                <w:bCs w:val="0"/>
                <w:snapToGrid w:val="0"/>
                <w:highlight w:val="none"/>
                <w:u w:val="none"/>
              </w:rPr>
              <w:t>无组织排放量核算</w:t>
            </w:r>
          </w:p>
          <w:p w14:paraId="4721B450">
            <w:pPr>
              <w:spacing w:line="360" w:lineRule="auto"/>
              <w:ind w:firstLine="420" w:firstLineChars="200"/>
              <w:contextualSpacing/>
              <w:rPr>
                <w:b w:val="0"/>
                <w:bCs w:val="0"/>
                <w:snapToGrid w:val="0"/>
                <w:sz w:val="24"/>
                <w:highlight w:val="none"/>
                <w:u w:val="none"/>
              </w:rPr>
            </w:pPr>
            <w:r>
              <w:rPr>
                <w:b w:val="0"/>
                <w:bCs w:val="0"/>
                <w:snapToGrid w:val="0"/>
                <w:highlight w:val="none"/>
                <w:u w:val="none"/>
              </w:rPr>
              <w:t>无组织排放量核算见下表。</w:t>
            </w:r>
          </w:p>
          <w:p w14:paraId="730F4CBB">
            <w:pPr>
              <w:pStyle w:val="44"/>
              <w:numPr>
                <w:ilvl w:val="0"/>
                <w:numId w:val="2"/>
              </w:numPr>
              <w:rPr>
                <w:rFonts w:hint="default"/>
                <w:b w:val="0"/>
                <w:bCs w:val="0"/>
                <w:highlight w:val="none"/>
                <w:u w:val="none"/>
              </w:rPr>
            </w:pPr>
            <w:r>
              <w:rPr>
                <w:rFonts w:hint="default"/>
                <w:b w:val="0"/>
                <w:bCs w:val="0"/>
                <w:highlight w:val="none"/>
                <w:u w:val="none"/>
              </w:rPr>
              <w:t>大气污染物无组织排放量核算表</w:t>
            </w:r>
          </w:p>
          <w:tbl>
            <w:tblPr>
              <w:tblStyle w:val="27"/>
              <w:tblW w:w="4994"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36"/>
              <w:gridCol w:w="812"/>
              <w:gridCol w:w="898"/>
              <w:gridCol w:w="870"/>
              <w:gridCol w:w="935"/>
              <w:gridCol w:w="2015"/>
              <w:gridCol w:w="786"/>
              <w:gridCol w:w="645"/>
            </w:tblGrid>
            <w:tr w14:paraId="68AD2FFC">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54" w:hRule="atLeast"/>
                <w:jc w:val="center"/>
              </w:trPr>
              <w:tc>
                <w:tcPr>
                  <w:tcW w:w="294" w:type="pct"/>
                  <w:vMerge w:val="restart"/>
                  <w:vAlign w:val="center"/>
                </w:tcPr>
                <w:p w14:paraId="2CFFA2D0">
                  <w:pPr>
                    <w:spacing w:line="280" w:lineRule="exact"/>
                    <w:jc w:val="center"/>
                    <w:rPr>
                      <w:b w:val="0"/>
                      <w:bCs w:val="0"/>
                      <w:sz w:val="18"/>
                      <w:szCs w:val="18"/>
                      <w:highlight w:val="none"/>
                      <w:u w:val="none"/>
                    </w:rPr>
                  </w:pPr>
                  <w:r>
                    <w:rPr>
                      <w:b w:val="0"/>
                      <w:bCs w:val="0"/>
                      <w:sz w:val="18"/>
                      <w:szCs w:val="18"/>
                      <w:highlight w:val="none"/>
                      <w:u w:val="none"/>
                    </w:rPr>
                    <w:t>序号</w:t>
                  </w:r>
                </w:p>
              </w:tc>
              <w:tc>
                <w:tcPr>
                  <w:tcW w:w="549" w:type="pct"/>
                  <w:vMerge w:val="restart"/>
                  <w:vAlign w:val="center"/>
                </w:tcPr>
                <w:p w14:paraId="6615C939">
                  <w:pPr>
                    <w:spacing w:line="280" w:lineRule="exact"/>
                    <w:jc w:val="center"/>
                    <w:rPr>
                      <w:b w:val="0"/>
                      <w:bCs w:val="0"/>
                      <w:sz w:val="18"/>
                      <w:szCs w:val="18"/>
                      <w:highlight w:val="none"/>
                      <w:u w:val="none"/>
                    </w:rPr>
                  </w:pPr>
                  <w:r>
                    <w:rPr>
                      <w:b w:val="0"/>
                      <w:bCs w:val="0"/>
                      <w:sz w:val="18"/>
                      <w:szCs w:val="18"/>
                      <w:highlight w:val="none"/>
                      <w:u w:val="none"/>
                    </w:rPr>
                    <w:t>排放口编号</w:t>
                  </w:r>
                </w:p>
              </w:tc>
              <w:tc>
                <w:tcPr>
                  <w:tcW w:w="607" w:type="pct"/>
                  <w:vMerge w:val="restart"/>
                  <w:vAlign w:val="center"/>
                </w:tcPr>
                <w:p w14:paraId="6CD56A5E">
                  <w:pPr>
                    <w:spacing w:line="280" w:lineRule="exact"/>
                    <w:jc w:val="center"/>
                    <w:rPr>
                      <w:b w:val="0"/>
                      <w:bCs w:val="0"/>
                      <w:sz w:val="18"/>
                      <w:szCs w:val="18"/>
                      <w:highlight w:val="none"/>
                      <w:u w:val="none"/>
                    </w:rPr>
                  </w:pPr>
                  <w:r>
                    <w:rPr>
                      <w:b w:val="0"/>
                      <w:bCs w:val="0"/>
                      <w:sz w:val="18"/>
                      <w:szCs w:val="18"/>
                      <w:highlight w:val="none"/>
                      <w:u w:val="none"/>
                    </w:rPr>
                    <w:t>产污环节</w:t>
                  </w:r>
                </w:p>
              </w:tc>
              <w:tc>
                <w:tcPr>
                  <w:tcW w:w="585" w:type="pct"/>
                  <w:vMerge w:val="restart"/>
                  <w:vAlign w:val="center"/>
                </w:tcPr>
                <w:p w14:paraId="525E901C">
                  <w:pPr>
                    <w:spacing w:line="280" w:lineRule="exact"/>
                    <w:jc w:val="center"/>
                    <w:rPr>
                      <w:b w:val="0"/>
                      <w:bCs w:val="0"/>
                      <w:sz w:val="18"/>
                      <w:szCs w:val="18"/>
                      <w:highlight w:val="none"/>
                      <w:u w:val="none"/>
                    </w:rPr>
                  </w:pPr>
                  <w:r>
                    <w:rPr>
                      <w:b w:val="0"/>
                      <w:bCs w:val="0"/>
                      <w:sz w:val="18"/>
                      <w:szCs w:val="18"/>
                      <w:highlight w:val="none"/>
                      <w:u w:val="none"/>
                    </w:rPr>
                    <w:t>污染物</w:t>
                  </w:r>
                </w:p>
              </w:tc>
              <w:tc>
                <w:tcPr>
                  <w:tcW w:w="632" w:type="pct"/>
                  <w:vMerge w:val="restart"/>
                  <w:vAlign w:val="center"/>
                </w:tcPr>
                <w:p w14:paraId="10CB54AC">
                  <w:pPr>
                    <w:spacing w:line="280" w:lineRule="exact"/>
                    <w:jc w:val="center"/>
                    <w:rPr>
                      <w:b w:val="0"/>
                      <w:bCs w:val="0"/>
                      <w:sz w:val="18"/>
                      <w:szCs w:val="18"/>
                      <w:highlight w:val="none"/>
                      <w:u w:val="none"/>
                    </w:rPr>
                  </w:pPr>
                  <w:r>
                    <w:rPr>
                      <w:b w:val="0"/>
                      <w:bCs w:val="0"/>
                      <w:sz w:val="18"/>
                      <w:szCs w:val="18"/>
                      <w:highlight w:val="none"/>
                      <w:u w:val="none"/>
                    </w:rPr>
                    <w:t>主要污染防治措施</w:t>
                  </w:r>
                </w:p>
              </w:tc>
              <w:tc>
                <w:tcPr>
                  <w:tcW w:w="1893" w:type="pct"/>
                  <w:gridSpan w:val="2"/>
                  <w:vAlign w:val="center"/>
                </w:tcPr>
                <w:p w14:paraId="637BFD6F">
                  <w:pPr>
                    <w:spacing w:line="280" w:lineRule="exact"/>
                    <w:jc w:val="center"/>
                    <w:rPr>
                      <w:b w:val="0"/>
                      <w:bCs w:val="0"/>
                      <w:sz w:val="18"/>
                      <w:szCs w:val="18"/>
                      <w:highlight w:val="none"/>
                      <w:u w:val="none"/>
                    </w:rPr>
                  </w:pPr>
                  <w:r>
                    <w:rPr>
                      <w:b w:val="0"/>
                      <w:bCs w:val="0"/>
                      <w:sz w:val="18"/>
                      <w:szCs w:val="18"/>
                      <w:highlight w:val="none"/>
                      <w:u w:val="none"/>
                    </w:rPr>
                    <w:t>国家或地方污染物排放标准</w:t>
                  </w:r>
                </w:p>
              </w:tc>
              <w:tc>
                <w:tcPr>
                  <w:tcW w:w="436" w:type="pct"/>
                  <w:vMerge w:val="restart"/>
                  <w:vAlign w:val="center"/>
                </w:tcPr>
                <w:p w14:paraId="26B678F2">
                  <w:pPr>
                    <w:spacing w:line="280" w:lineRule="exact"/>
                    <w:jc w:val="center"/>
                    <w:rPr>
                      <w:b w:val="0"/>
                      <w:bCs w:val="0"/>
                      <w:sz w:val="18"/>
                      <w:szCs w:val="18"/>
                      <w:highlight w:val="none"/>
                      <w:u w:val="none"/>
                    </w:rPr>
                  </w:pPr>
                  <w:r>
                    <w:rPr>
                      <w:b w:val="0"/>
                      <w:bCs w:val="0"/>
                      <w:sz w:val="18"/>
                      <w:szCs w:val="18"/>
                      <w:highlight w:val="none"/>
                      <w:u w:val="none"/>
                    </w:rPr>
                    <w:t>年排放量/</w:t>
                  </w:r>
                </w:p>
                <w:p w14:paraId="414AABCA">
                  <w:pPr>
                    <w:spacing w:line="280" w:lineRule="exact"/>
                    <w:jc w:val="center"/>
                    <w:rPr>
                      <w:b w:val="0"/>
                      <w:bCs w:val="0"/>
                      <w:sz w:val="18"/>
                      <w:szCs w:val="18"/>
                      <w:highlight w:val="none"/>
                      <w:u w:val="none"/>
                    </w:rPr>
                  </w:pPr>
                  <w:r>
                    <w:rPr>
                      <w:b w:val="0"/>
                      <w:bCs w:val="0"/>
                      <w:sz w:val="18"/>
                      <w:szCs w:val="18"/>
                      <w:highlight w:val="none"/>
                      <w:u w:val="none"/>
                    </w:rPr>
                    <w:t>（</w:t>
                  </w:r>
                  <w:r>
                    <w:rPr>
                      <w:rFonts w:hint="eastAsia"/>
                      <w:b w:val="0"/>
                      <w:bCs w:val="0"/>
                      <w:sz w:val="18"/>
                      <w:szCs w:val="18"/>
                      <w:highlight w:val="none"/>
                      <w:u w:val="none"/>
                    </w:rPr>
                    <w:t>t</w:t>
                  </w:r>
                  <w:r>
                    <w:rPr>
                      <w:b w:val="0"/>
                      <w:bCs w:val="0"/>
                      <w:sz w:val="18"/>
                      <w:szCs w:val="18"/>
                      <w:highlight w:val="none"/>
                      <w:u w:val="none"/>
                    </w:rPr>
                    <w:t>/a）</w:t>
                  </w:r>
                </w:p>
              </w:tc>
            </w:tr>
            <w:tr w14:paraId="5680BBEB">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54" w:hRule="atLeast"/>
                <w:jc w:val="center"/>
              </w:trPr>
              <w:tc>
                <w:tcPr>
                  <w:tcW w:w="294" w:type="pct"/>
                  <w:vMerge w:val="continue"/>
                  <w:vAlign w:val="center"/>
                </w:tcPr>
                <w:p w14:paraId="5716BAF3">
                  <w:pPr>
                    <w:spacing w:line="280" w:lineRule="exact"/>
                    <w:jc w:val="center"/>
                    <w:rPr>
                      <w:b w:val="0"/>
                      <w:bCs w:val="0"/>
                      <w:sz w:val="18"/>
                      <w:szCs w:val="18"/>
                      <w:highlight w:val="none"/>
                      <w:u w:val="none"/>
                    </w:rPr>
                  </w:pPr>
                </w:p>
              </w:tc>
              <w:tc>
                <w:tcPr>
                  <w:tcW w:w="549" w:type="pct"/>
                  <w:vMerge w:val="continue"/>
                  <w:vAlign w:val="center"/>
                </w:tcPr>
                <w:p w14:paraId="1E0EE567">
                  <w:pPr>
                    <w:spacing w:line="280" w:lineRule="exact"/>
                    <w:jc w:val="center"/>
                    <w:rPr>
                      <w:b w:val="0"/>
                      <w:bCs w:val="0"/>
                      <w:sz w:val="18"/>
                      <w:szCs w:val="18"/>
                      <w:highlight w:val="none"/>
                      <w:u w:val="none"/>
                    </w:rPr>
                  </w:pPr>
                </w:p>
              </w:tc>
              <w:tc>
                <w:tcPr>
                  <w:tcW w:w="607" w:type="pct"/>
                  <w:vMerge w:val="continue"/>
                  <w:vAlign w:val="center"/>
                </w:tcPr>
                <w:p w14:paraId="3C837430">
                  <w:pPr>
                    <w:spacing w:line="280" w:lineRule="exact"/>
                    <w:jc w:val="center"/>
                    <w:rPr>
                      <w:b w:val="0"/>
                      <w:bCs w:val="0"/>
                      <w:sz w:val="18"/>
                      <w:szCs w:val="18"/>
                      <w:highlight w:val="none"/>
                      <w:u w:val="none"/>
                    </w:rPr>
                  </w:pPr>
                </w:p>
              </w:tc>
              <w:tc>
                <w:tcPr>
                  <w:tcW w:w="585" w:type="pct"/>
                  <w:vMerge w:val="continue"/>
                  <w:vAlign w:val="center"/>
                </w:tcPr>
                <w:p w14:paraId="1A0D3220">
                  <w:pPr>
                    <w:spacing w:line="280" w:lineRule="exact"/>
                    <w:jc w:val="center"/>
                    <w:rPr>
                      <w:b w:val="0"/>
                      <w:bCs w:val="0"/>
                      <w:sz w:val="18"/>
                      <w:szCs w:val="18"/>
                      <w:highlight w:val="none"/>
                      <w:u w:val="none"/>
                    </w:rPr>
                  </w:pPr>
                </w:p>
              </w:tc>
              <w:tc>
                <w:tcPr>
                  <w:tcW w:w="632" w:type="pct"/>
                  <w:vMerge w:val="continue"/>
                  <w:vAlign w:val="center"/>
                </w:tcPr>
                <w:p w14:paraId="0748C38E">
                  <w:pPr>
                    <w:spacing w:line="280" w:lineRule="exact"/>
                    <w:jc w:val="center"/>
                    <w:rPr>
                      <w:b w:val="0"/>
                      <w:bCs w:val="0"/>
                      <w:sz w:val="18"/>
                      <w:szCs w:val="18"/>
                      <w:highlight w:val="none"/>
                      <w:u w:val="none"/>
                    </w:rPr>
                  </w:pPr>
                </w:p>
              </w:tc>
              <w:tc>
                <w:tcPr>
                  <w:tcW w:w="1362" w:type="pct"/>
                  <w:vAlign w:val="center"/>
                </w:tcPr>
                <w:p w14:paraId="0D82CE78">
                  <w:pPr>
                    <w:spacing w:line="280" w:lineRule="exact"/>
                    <w:jc w:val="center"/>
                    <w:rPr>
                      <w:b w:val="0"/>
                      <w:bCs w:val="0"/>
                      <w:sz w:val="18"/>
                      <w:szCs w:val="18"/>
                      <w:highlight w:val="none"/>
                      <w:u w:val="none"/>
                    </w:rPr>
                  </w:pPr>
                  <w:r>
                    <w:rPr>
                      <w:b w:val="0"/>
                      <w:bCs w:val="0"/>
                      <w:sz w:val="18"/>
                      <w:szCs w:val="18"/>
                      <w:highlight w:val="none"/>
                      <w:u w:val="none"/>
                    </w:rPr>
                    <w:t>标准名称</w:t>
                  </w:r>
                </w:p>
              </w:tc>
              <w:tc>
                <w:tcPr>
                  <w:tcW w:w="530" w:type="pct"/>
                  <w:vAlign w:val="center"/>
                </w:tcPr>
                <w:p w14:paraId="6E3787B1">
                  <w:pPr>
                    <w:spacing w:line="280" w:lineRule="exact"/>
                    <w:jc w:val="center"/>
                    <w:rPr>
                      <w:b w:val="0"/>
                      <w:bCs w:val="0"/>
                      <w:sz w:val="18"/>
                      <w:szCs w:val="18"/>
                      <w:highlight w:val="none"/>
                      <w:u w:val="none"/>
                    </w:rPr>
                  </w:pPr>
                  <w:r>
                    <w:rPr>
                      <w:b w:val="0"/>
                      <w:bCs w:val="0"/>
                      <w:sz w:val="18"/>
                      <w:szCs w:val="18"/>
                      <w:highlight w:val="none"/>
                      <w:u w:val="none"/>
                    </w:rPr>
                    <w:t>浓度限值/</w:t>
                  </w:r>
                </w:p>
                <w:p w14:paraId="635D70AF">
                  <w:pPr>
                    <w:spacing w:line="280" w:lineRule="exact"/>
                    <w:jc w:val="center"/>
                    <w:rPr>
                      <w:b w:val="0"/>
                      <w:bCs w:val="0"/>
                      <w:sz w:val="18"/>
                      <w:szCs w:val="18"/>
                      <w:highlight w:val="none"/>
                      <w:u w:val="none"/>
                    </w:rPr>
                  </w:pPr>
                  <w:r>
                    <w:rPr>
                      <w:b w:val="0"/>
                      <w:bCs w:val="0"/>
                      <w:sz w:val="18"/>
                      <w:szCs w:val="18"/>
                      <w:highlight w:val="none"/>
                      <w:u w:val="none"/>
                    </w:rPr>
                    <w:t>（mg/m</w:t>
                  </w:r>
                  <w:r>
                    <w:rPr>
                      <w:b w:val="0"/>
                      <w:bCs w:val="0"/>
                      <w:sz w:val="18"/>
                      <w:szCs w:val="18"/>
                      <w:highlight w:val="none"/>
                      <w:u w:val="none"/>
                      <w:vertAlign w:val="superscript"/>
                    </w:rPr>
                    <w:t>3</w:t>
                  </w:r>
                  <w:r>
                    <w:rPr>
                      <w:b w:val="0"/>
                      <w:bCs w:val="0"/>
                      <w:sz w:val="18"/>
                      <w:szCs w:val="18"/>
                      <w:highlight w:val="none"/>
                      <w:u w:val="none"/>
                    </w:rPr>
                    <w:t>）</w:t>
                  </w:r>
                </w:p>
              </w:tc>
              <w:tc>
                <w:tcPr>
                  <w:tcW w:w="436" w:type="pct"/>
                  <w:vMerge w:val="continue"/>
                  <w:vAlign w:val="center"/>
                </w:tcPr>
                <w:p w14:paraId="12B8CC42">
                  <w:pPr>
                    <w:spacing w:line="280" w:lineRule="exact"/>
                    <w:jc w:val="center"/>
                    <w:rPr>
                      <w:b w:val="0"/>
                      <w:bCs w:val="0"/>
                      <w:sz w:val="18"/>
                      <w:szCs w:val="18"/>
                      <w:highlight w:val="none"/>
                      <w:u w:val="none"/>
                    </w:rPr>
                  </w:pPr>
                </w:p>
              </w:tc>
            </w:tr>
            <w:tr w14:paraId="4DD0663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94" w:type="pct"/>
                  <w:vAlign w:val="center"/>
                </w:tcPr>
                <w:p w14:paraId="23B60C33">
                  <w:pPr>
                    <w:spacing w:line="280" w:lineRule="exact"/>
                    <w:jc w:val="center"/>
                    <w:rPr>
                      <w:b w:val="0"/>
                      <w:bCs w:val="0"/>
                      <w:sz w:val="18"/>
                      <w:szCs w:val="18"/>
                      <w:highlight w:val="none"/>
                      <w:u w:val="none"/>
                    </w:rPr>
                  </w:pPr>
                  <w:r>
                    <w:rPr>
                      <w:rFonts w:hint="eastAsia"/>
                      <w:b w:val="0"/>
                      <w:bCs w:val="0"/>
                      <w:sz w:val="18"/>
                      <w:szCs w:val="18"/>
                      <w:highlight w:val="none"/>
                      <w:u w:val="none"/>
                    </w:rPr>
                    <w:t>1</w:t>
                  </w:r>
                </w:p>
              </w:tc>
              <w:tc>
                <w:tcPr>
                  <w:tcW w:w="549" w:type="pct"/>
                  <w:vAlign w:val="center"/>
                </w:tcPr>
                <w:p w14:paraId="19FED499">
                  <w:pPr>
                    <w:spacing w:line="280" w:lineRule="exact"/>
                    <w:jc w:val="center"/>
                    <w:rPr>
                      <w:b w:val="0"/>
                      <w:bCs w:val="0"/>
                      <w:sz w:val="18"/>
                      <w:szCs w:val="18"/>
                      <w:highlight w:val="none"/>
                      <w:u w:val="none"/>
                    </w:rPr>
                  </w:pPr>
                  <w:r>
                    <w:rPr>
                      <w:rFonts w:hint="eastAsia"/>
                      <w:b w:val="0"/>
                      <w:bCs w:val="0"/>
                      <w:sz w:val="18"/>
                      <w:szCs w:val="18"/>
                      <w:highlight w:val="none"/>
                      <w:u w:val="none"/>
                    </w:rPr>
                    <w:t>氨提纯生产区</w:t>
                  </w:r>
                </w:p>
              </w:tc>
              <w:tc>
                <w:tcPr>
                  <w:tcW w:w="607" w:type="pct"/>
                  <w:vAlign w:val="center"/>
                </w:tcPr>
                <w:p w14:paraId="602EC3C7">
                  <w:pPr>
                    <w:spacing w:line="360" w:lineRule="exact"/>
                    <w:jc w:val="center"/>
                    <w:rPr>
                      <w:b w:val="0"/>
                      <w:bCs w:val="0"/>
                      <w:sz w:val="18"/>
                      <w:szCs w:val="18"/>
                      <w:highlight w:val="none"/>
                      <w:u w:val="none"/>
                    </w:rPr>
                  </w:pPr>
                  <w:r>
                    <w:rPr>
                      <w:rFonts w:hint="eastAsia"/>
                      <w:b w:val="0"/>
                      <w:bCs w:val="0"/>
                      <w:sz w:val="18"/>
                      <w:szCs w:val="18"/>
                      <w:highlight w:val="none"/>
                      <w:u w:val="none"/>
                    </w:rPr>
                    <w:t>生产装置及储罐区</w:t>
                  </w:r>
                </w:p>
              </w:tc>
              <w:tc>
                <w:tcPr>
                  <w:tcW w:w="585" w:type="pct"/>
                  <w:vAlign w:val="center"/>
                </w:tcPr>
                <w:p w14:paraId="7D198D18">
                  <w:pPr>
                    <w:spacing w:line="280" w:lineRule="exact"/>
                    <w:jc w:val="center"/>
                    <w:rPr>
                      <w:b w:val="0"/>
                      <w:bCs w:val="0"/>
                      <w:sz w:val="18"/>
                      <w:szCs w:val="18"/>
                      <w:highlight w:val="none"/>
                      <w:u w:val="none"/>
                    </w:rPr>
                  </w:pPr>
                  <w:r>
                    <w:rPr>
                      <w:rFonts w:hint="eastAsia"/>
                      <w:b w:val="0"/>
                      <w:bCs w:val="0"/>
                      <w:sz w:val="18"/>
                      <w:szCs w:val="18"/>
                      <w:highlight w:val="none"/>
                      <w:u w:val="none"/>
                    </w:rPr>
                    <w:t>氨</w:t>
                  </w:r>
                </w:p>
              </w:tc>
              <w:tc>
                <w:tcPr>
                  <w:tcW w:w="632" w:type="pct"/>
                  <w:vAlign w:val="center"/>
                </w:tcPr>
                <w:p w14:paraId="5846CFD2">
                  <w:pPr>
                    <w:pStyle w:val="9"/>
                    <w:jc w:val="center"/>
                    <w:rPr>
                      <w:b w:val="0"/>
                      <w:bCs w:val="0"/>
                      <w:sz w:val="18"/>
                      <w:szCs w:val="18"/>
                      <w:highlight w:val="none"/>
                      <w:u w:val="none"/>
                    </w:rPr>
                  </w:pPr>
                </w:p>
              </w:tc>
              <w:tc>
                <w:tcPr>
                  <w:tcW w:w="1362" w:type="pct"/>
                  <w:vAlign w:val="center"/>
                </w:tcPr>
                <w:p w14:paraId="2F9FA01B">
                  <w:pPr>
                    <w:spacing w:line="280" w:lineRule="exact"/>
                    <w:jc w:val="center"/>
                    <w:rPr>
                      <w:b w:val="0"/>
                      <w:bCs w:val="0"/>
                      <w:sz w:val="18"/>
                      <w:szCs w:val="18"/>
                      <w:highlight w:val="none"/>
                      <w:u w:val="none"/>
                      <w:lang w:val="fr-FR"/>
                    </w:rPr>
                  </w:pPr>
                  <w:r>
                    <w:rPr>
                      <w:rFonts w:hint="eastAsia"/>
                      <w:b w:val="0"/>
                      <w:bCs w:val="0"/>
                      <w:sz w:val="18"/>
                      <w:szCs w:val="18"/>
                      <w:highlight w:val="none"/>
                      <w:u w:val="none"/>
                      <w:lang w:val="fr-FR"/>
                    </w:rPr>
                    <w:t>《无机化学工业污染物排放标准》（GB31573—2015）及其修改单中表5</w:t>
                  </w:r>
                </w:p>
              </w:tc>
              <w:tc>
                <w:tcPr>
                  <w:tcW w:w="530" w:type="pct"/>
                  <w:vAlign w:val="center"/>
                </w:tcPr>
                <w:p w14:paraId="19CDE61B">
                  <w:pPr>
                    <w:spacing w:line="280" w:lineRule="exact"/>
                    <w:jc w:val="center"/>
                    <w:rPr>
                      <w:b w:val="0"/>
                      <w:bCs w:val="0"/>
                      <w:kern w:val="0"/>
                      <w:sz w:val="18"/>
                      <w:szCs w:val="18"/>
                      <w:highlight w:val="none"/>
                      <w:u w:val="none"/>
                    </w:rPr>
                  </w:pPr>
                  <w:r>
                    <w:rPr>
                      <w:rFonts w:hint="eastAsia"/>
                      <w:b w:val="0"/>
                      <w:bCs w:val="0"/>
                      <w:kern w:val="0"/>
                      <w:sz w:val="18"/>
                      <w:szCs w:val="18"/>
                      <w:highlight w:val="none"/>
                      <w:u w:val="none"/>
                    </w:rPr>
                    <w:t>0.3</w:t>
                  </w:r>
                </w:p>
              </w:tc>
              <w:tc>
                <w:tcPr>
                  <w:tcW w:w="436" w:type="pct"/>
                  <w:vAlign w:val="center"/>
                </w:tcPr>
                <w:p w14:paraId="0B01596D">
                  <w:pPr>
                    <w:pStyle w:val="9"/>
                    <w:jc w:val="center"/>
                    <w:rPr>
                      <w:b w:val="0"/>
                      <w:bCs w:val="0"/>
                      <w:kern w:val="0"/>
                      <w:sz w:val="18"/>
                      <w:szCs w:val="18"/>
                      <w:highlight w:val="none"/>
                      <w:u w:val="none"/>
                    </w:rPr>
                  </w:pPr>
                  <w:r>
                    <w:rPr>
                      <w:rFonts w:hint="eastAsia"/>
                      <w:b w:val="0"/>
                      <w:bCs w:val="0"/>
                      <w:sz w:val="18"/>
                      <w:szCs w:val="18"/>
                      <w:highlight w:val="none"/>
                      <w:u w:val="none"/>
                    </w:rPr>
                    <w:t>0.8554</w:t>
                  </w:r>
                </w:p>
              </w:tc>
            </w:tr>
            <w:tr w14:paraId="63A6746E">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038" w:type="pct"/>
                  <w:gridSpan w:val="4"/>
                  <w:vAlign w:val="center"/>
                </w:tcPr>
                <w:p w14:paraId="4EEF227A">
                  <w:pPr>
                    <w:spacing w:line="280" w:lineRule="exact"/>
                    <w:jc w:val="center"/>
                    <w:rPr>
                      <w:b w:val="0"/>
                      <w:bCs w:val="0"/>
                      <w:sz w:val="18"/>
                      <w:szCs w:val="18"/>
                      <w:highlight w:val="none"/>
                      <w:u w:val="none"/>
                    </w:rPr>
                  </w:pPr>
                  <w:r>
                    <w:rPr>
                      <w:rFonts w:hint="eastAsia"/>
                      <w:b w:val="0"/>
                      <w:bCs w:val="0"/>
                      <w:sz w:val="18"/>
                      <w:szCs w:val="18"/>
                      <w:highlight w:val="none"/>
                      <w:u w:val="none"/>
                    </w:rPr>
                    <w:t>无组织排放总计</w:t>
                  </w:r>
                </w:p>
              </w:tc>
              <w:tc>
                <w:tcPr>
                  <w:tcW w:w="1994" w:type="pct"/>
                  <w:gridSpan w:val="2"/>
                  <w:vAlign w:val="center"/>
                </w:tcPr>
                <w:p w14:paraId="470A86E0">
                  <w:pPr>
                    <w:spacing w:line="280" w:lineRule="exact"/>
                    <w:jc w:val="center"/>
                    <w:rPr>
                      <w:b w:val="0"/>
                      <w:bCs w:val="0"/>
                      <w:sz w:val="18"/>
                      <w:szCs w:val="18"/>
                      <w:highlight w:val="none"/>
                      <w:u w:val="none"/>
                      <w:lang w:val="fr-FR"/>
                    </w:rPr>
                  </w:pPr>
                  <w:r>
                    <w:rPr>
                      <w:rFonts w:hint="eastAsia"/>
                      <w:b w:val="0"/>
                      <w:bCs w:val="0"/>
                      <w:sz w:val="18"/>
                      <w:szCs w:val="18"/>
                      <w:highlight w:val="none"/>
                      <w:u w:val="none"/>
                    </w:rPr>
                    <w:t>氨</w:t>
                  </w:r>
                </w:p>
              </w:tc>
              <w:tc>
                <w:tcPr>
                  <w:tcW w:w="967" w:type="pct"/>
                  <w:gridSpan w:val="2"/>
                  <w:vAlign w:val="center"/>
                </w:tcPr>
                <w:p w14:paraId="79E51012">
                  <w:pPr>
                    <w:pStyle w:val="9"/>
                    <w:jc w:val="center"/>
                    <w:rPr>
                      <w:b w:val="0"/>
                      <w:bCs w:val="0"/>
                      <w:sz w:val="18"/>
                      <w:szCs w:val="18"/>
                      <w:highlight w:val="none"/>
                      <w:u w:val="none"/>
                    </w:rPr>
                  </w:pPr>
                  <w:r>
                    <w:rPr>
                      <w:rFonts w:hint="eastAsia"/>
                      <w:b w:val="0"/>
                      <w:bCs w:val="0"/>
                      <w:sz w:val="18"/>
                      <w:szCs w:val="18"/>
                      <w:highlight w:val="none"/>
                      <w:u w:val="none"/>
                    </w:rPr>
                    <w:t>0.8554</w:t>
                  </w:r>
                </w:p>
              </w:tc>
            </w:tr>
          </w:tbl>
          <w:p w14:paraId="03CD7D67">
            <w:pPr>
              <w:spacing w:line="360" w:lineRule="auto"/>
              <w:ind w:firstLine="420" w:firstLineChars="200"/>
              <w:contextualSpacing/>
              <w:rPr>
                <w:b w:val="0"/>
                <w:bCs w:val="0"/>
                <w:snapToGrid w:val="0"/>
                <w:highlight w:val="none"/>
                <w:u w:val="none"/>
              </w:rPr>
            </w:pPr>
            <w:r>
              <w:rPr>
                <w:rFonts w:hint="eastAsia"/>
                <w:b w:val="0"/>
                <w:bCs w:val="0"/>
                <w:snapToGrid w:val="0"/>
                <w:highlight w:val="none"/>
                <w:u w:val="none"/>
              </w:rPr>
              <w:t>③</w:t>
            </w:r>
            <w:r>
              <w:rPr>
                <w:b w:val="0"/>
                <w:bCs w:val="0"/>
                <w:snapToGrid w:val="0"/>
                <w:highlight w:val="none"/>
                <w:u w:val="none"/>
              </w:rPr>
              <w:t>大气污染物年排放量核算</w:t>
            </w:r>
          </w:p>
          <w:p w14:paraId="7D5078EF">
            <w:pPr>
              <w:spacing w:line="360" w:lineRule="auto"/>
              <w:ind w:firstLine="420" w:firstLineChars="200"/>
              <w:contextualSpacing/>
              <w:rPr>
                <w:b w:val="0"/>
                <w:bCs w:val="0"/>
                <w:snapToGrid w:val="0"/>
                <w:highlight w:val="none"/>
                <w:u w:val="none"/>
              </w:rPr>
            </w:pPr>
            <w:r>
              <w:rPr>
                <w:b w:val="0"/>
                <w:bCs w:val="0"/>
                <w:snapToGrid w:val="0"/>
                <w:highlight w:val="none"/>
                <w:u w:val="none"/>
              </w:rPr>
              <w:t>大气污染物年排放量核算见下表。</w:t>
            </w:r>
          </w:p>
          <w:p w14:paraId="133C6296">
            <w:pPr>
              <w:pStyle w:val="44"/>
              <w:numPr>
                <w:ilvl w:val="0"/>
                <w:numId w:val="2"/>
              </w:numPr>
              <w:rPr>
                <w:rFonts w:hint="default"/>
                <w:b w:val="0"/>
                <w:bCs w:val="0"/>
                <w:highlight w:val="none"/>
                <w:u w:val="none"/>
              </w:rPr>
            </w:pPr>
            <w:r>
              <w:rPr>
                <w:rFonts w:hint="default"/>
                <w:b w:val="0"/>
                <w:bCs w:val="0"/>
                <w:highlight w:val="none"/>
                <w:u w:val="none"/>
              </w:rPr>
              <w:t>大气污染物年排放量核算表</w:t>
            </w:r>
          </w:p>
          <w:tbl>
            <w:tblPr>
              <w:tblStyle w:val="27"/>
              <w:tblW w:w="4997"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637"/>
              <w:gridCol w:w="2770"/>
              <w:gridCol w:w="2995"/>
            </w:tblGrid>
            <w:tr w14:paraId="388BD4F5">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pct"/>
                  <w:vAlign w:val="center"/>
                </w:tcPr>
                <w:p w14:paraId="0E9ECE6A">
                  <w:pPr>
                    <w:spacing w:line="360" w:lineRule="exact"/>
                    <w:jc w:val="center"/>
                    <w:rPr>
                      <w:b w:val="0"/>
                      <w:bCs w:val="0"/>
                      <w:sz w:val="18"/>
                      <w:szCs w:val="18"/>
                      <w:highlight w:val="none"/>
                      <w:u w:val="none"/>
                    </w:rPr>
                  </w:pPr>
                  <w:r>
                    <w:rPr>
                      <w:b w:val="0"/>
                      <w:bCs w:val="0"/>
                      <w:sz w:val="18"/>
                      <w:szCs w:val="18"/>
                      <w:highlight w:val="none"/>
                      <w:u w:val="none"/>
                    </w:rPr>
                    <w:t>序号</w:t>
                  </w:r>
                </w:p>
              </w:tc>
              <w:tc>
                <w:tcPr>
                  <w:tcW w:w="1871" w:type="pct"/>
                  <w:vAlign w:val="center"/>
                </w:tcPr>
                <w:p w14:paraId="7D617BA4">
                  <w:pPr>
                    <w:spacing w:line="360" w:lineRule="exact"/>
                    <w:jc w:val="center"/>
                    <w:rPr>
                      <w:b w:val="0"/>
                      <w:bCs w:val="0"/>
                      <w:sz w:val="18"/>
                      <w:szCs w:val="18"/>
                      <w:highlight w:val="none"/>
                      <w:u w:val="none"/>
                    </w:rPr>
                  </w:pPr>
                  <w:r>
                    <w:rPr>
                      <w:b w:val="0"/>
                      <w:bCs w:val="0"/>
                      <w:sz w:val="18"/>
                      <w:szCs w:val="18"/>
                      <w:highlight w:val="none"/>
                      <w:u w:val="none"/>
                    </w:rPr>
                    <w:t>污染物</w:t>
                  </w:r>
                </w:p>
              </w:tc>
              <w:tc>
                <w:tcPr>
                  <w:tcW w:w="2023" w:type="pct"/>
                  <w:vAlign w:val="center"/>
                </w:tcPr>
                <w:p w14:paraId="1FD13931">
                  <w:pPr>
                    <w:spacing w:line="360" w:lineRule="exact"/>
                    <w:jc w:val="center"/>
                    <w:rPr>
                      <w:b w:val="0"/>
                      <w:bCs w:val="0"/>
                      <w:sz w:val="18"/>
                      <w:szCs w:val="18"/>
                      <w:highlight w:val="none"/>
                      <w:u w:val="none"/>
                    </w:rPr>
                  </w:pPr>
                  <w:r>
                    <w:rPr>
                      <w:b w:val="0"/>
                      <w:bCs w:val="0"/>
                      <w:sz w:val="18"/>
                      <w:szCs w:val="18"/>
                      <w:highlight w:val="none"/>
                      <w:u w:val="none"/>
                    </w:rPr>
                    <w:t>年排放量/（</w:t>
                  </w:r>
                  <w:r>
                    <w:rPr>
                      <w:rFonts w:hint="eastAsia"/>
                      <w:b w:val="0"/>
                      <w:bCs w:val="0"/>
                      <w:sz w:val="18"/>
                      <w:szCs w:val="18"/>
                      <w:highlight w:val="none"/>
                      <w:u w:val="none"/>
                    </w:rPr>
                    <w:t>t</w:t>
                  </w:r>
                  <w:r>
                    <w:rPr>
                      <w:b w:val="0"/>
                      <w:bCs w:val="0"/>
                      <w:sz w:val="18"/>
                      <w:szCs w:val="18"/>
                      <w:highlight w:val="none"/>
                      <w:u w:val="none"/>
                    </w:rPr>
                    <w:t>/a）</w:t>
                  </w:r>
                </w:p>
              </w:tc>
            </w:tr>
            <w:tr w14:paraId="7E910B8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pct"/>
                  <w:vAlign w:val="center"/>
                </w:tcPr>
                <w:p w14:paraId="677591C5">
                  <w:pPr>
                    <w:spacing w:line="360" w:lineRule="exact"/>
                    <w:jc w:val="center"/>
                    <w:rPr>
                      <w:b w:val="0"/>
                      <w:bCs w:val="0"/>
                      <w:sz w:val="18"/>
                      <w:szCs w:val="18"/>
                      <w:highlight w:val="none"/>
                      <w:u w:val="none"/>
                    </w:rPr>
                  </w:pPr>
                  <w:r>
                    <w:rPr>
                      <w:b w:val="0"/>
                      <w:bCs w:val="0"/>
                      <w:sz w:val="18"/>
                      <w:szCs w:val="18"/>
                      <w:highlight w:val="none"/>
                      <w:u w:val="none"/>
                    </w:rPr>
                    <w:t>1</w:t>
                  </w:r>
                </w:p>
              </w:tc>
              <w:tc>
                <w:tcPr>
                  <w:tcW w:w="1871" w:type="pct"/>
                  <w:vAlign w:val="center"/>
                </w:tcPr>
                <w:p w14:paraId="24661972">
                  <w:pPr>
                    <w:adjustRightInd w:val="0"/>
                    <w:snapToGrid w:val="0"/>
                    <w:jc w:val="center"/>
                    <w:rPr>
                      <w:b w:val="0"/>
                      <w:bCs w:val="0"/>
                      <w:sz w:val="18"/>
                      <w:szCs w:val="18"/>
                      <w:highlight w:val="none"/>
                      <w:u w:val="none"/>
                    </w:rPr>
                  </w:pPr>
                  <w:r>
                    <w:rPr>
                      <w:rFonts w:hint="eastAsia"/>
                      <w:b w:val="0"/>
                      <w:bCs w:val="0"/>
                      <w:sz w:val="18"/>
                      <w:szCs w:val="18"/>
                      <w:highlight w:val="none"/>
                      <w:u w:val="none"/>
                    </w:rPr>
                    <w:t>VOCs（甲醇）</w:t>
                  </w:r>
                </w:p>
              </w:tc>
              <w:tc>
                <w:tcPr>
                  <w:tcW w:w="2996" w:type="dxa"/>
                  <w:vAlign w:val="center"/>
                </w:tcPr>
                <w:p w14:paraId="7BEAECF2">
                  <w:pPr>
                    <w:pStyle w:val="68"/>
                    <w:rPr>
                      <w:b w:val="0"/>
                      <w:bCs w:val="0"/>
                      <w:kern w:val="0"/>
                      <w:sz w:val="18"/>
                      <w:szCs w:val="18"/>
                      <w:highlight w:val="none"/>
                      <w:u w:val="none"/>
                    </w:rPr>
                  </w:pPr>
                  <w:r>
                    <w:rPr>
                      <w:rFonts w:hint="eastAsia"/>
                      <w:b w:val="0"/>
                      <w:bCs w:val="0"/>
                      <w:sz w:val="18"/>
                      <w:szCs w:val="18"/>
                      <w:highlight w:val="none"/>
                      <w:u w:val="none"/>
                    </w:rPr>
                    <w:t>0.36</w:t>
                  </w:r>
                </w:p>
              </w:tc>
            </w:tr>
            <w:tr w14:paraId="0F941360">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pct"/>
                  <w:vAlign w:val="center"/>
                </w:tcPr>
                <w:p w14:paraId="1D733CFD">
                  <w:pPr>
                    <w:spacing w:line="360" w:lineRule="exact"/>
                    <w:jc w:val="center"/>
                    <w:rPr>
                      <w:b w:val="0"/>
                      <w:bCs w:val="0"/>
                      <w:sz w:val="18"/>
                      <w:szCs w:val="18"/>
                      <w:highlight w:val="none"/>
                      <w:u w:val="none"/>
                    </w:rPr>
                  </w:pPr>
                  <w:r>
                    <w:rPr>
                      <w:b w:val="0"/>
                      <w:bCs w:val="0"/>
                      <w:sz w:val="18"/>
                      <w:szCs w:val="18"/>
                      <w:highlight w:val="none"/>
                      <w:u w:val="none"/>
                    </w:rPr>
                    <w:t>2</w:t>
                  </w:r>
                </w:p>
              </w:tc>
              <w:tc>
                <w:tcPr>
                  <w:tcW w:w="1871" w:type="pct"/>
                  <w:vAlign w:val="center"/>
                </w:tcPr>
                <w:p w14:paraId="68F789C1">
                  <w:pPr>
                    <w:adjustRightInd w:val="0"/>
                    <w:snapToGrid w:val="0"/>
                    <w:jc w:val="center"/>
                    <w:rPr>
                      <w:b w:val="0"/>
                      <w:bCs w:val="0"/>
                      <w:sz w:val="18"/>
                      <w:szCs w:val="18"/>
                      <w:highlight w:val="none"/>
                      <w:u w:val="none"/>
                    </w:rPr>
                  </w:pPr>
                  <w:r>
                    <w:rPr>
                      <w:rFonts w:hint="eastAsia"/>
                      <w:b w:val="0"/>
                      <w:bCs w:val="0"/>
                      <w:sz w:val="18"/>
                      <w:szCs w:val="18"/>
                      <w:highlight w:val="none"/>
                      <w:u w:val="none"/>
                    </w:rPr>
                    <w:t>硫化氢</w:t>
                  </w:r>
                </w:p>
              </w:tc>
              <w:tc>
                <w:tcPr>
                  <w:tcW w:w="2996" w:type="dxa"/>
                  <w:vAlign w:val="center"/>
                </w:tcPr>
                <w:p w14:paraId="7B6C94C4">
                  <w:pPr>
                    <w:pStyle w:val="68"/>
                    <w:rPr>
                      <w:b w:val="0"/>
                      <w:bCs w:val="0"/>
                      <w:kern w:val="0"/>
                      <w:sz w:val="18"/>
                      <w:szCs w:val="18"/>
                      <w:highlight w:val="none"/>
                      <w:u w:val="none"/>
                      <w:lang w:bidi="ar"/>
                    </w:rPr>
                  </w:pPr>
                  <w:r>
                    <w:rPr>
                      <w:rFonts w:hint="eastAsia"/>
                      <w:b w:val="0"/>
                      <w:bCs w:val="0"/>
                      <w:sz w:val="18"/>
                      <w:szCs w:val="18"/>
                      <w:highlight w:val="none"/>
                      <w:u w:val="none"/>
                    </w:rPr>
                    <w:t>0.19</w:t>
                  </w:r>
                </w:p>
              </w:tc>
            </w:tr>
            <w:tr w14:paraId="4C5C55D7">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5" w:type="pct"/>
                  <w:vAlign w:val="center"/>
                </w:tcPr>
                <w:p w14:paraId="3EB7FA34">
                  <w:pPr>
                    <w:spacing w:line="360" w:lineRule="exact"/>
                    <w:jc w:val="center"/>
                    <w:rPr>
                      <w:b w:val="0"/>
                      <w:bCs w:val="0"/>
                      <w:sz w:val="18"/>
                      <w:szCs w:val="18"/>
                      <w:highlight w:val="none"/>
                      <w:u w:val="none"/>
                    </w:rPr>
                  </w:pPr>
                  <w:r>
                    <w:rPr>
                      <w:b w:val="0"/>
                      <w:bCs w:val="0"/>
                      <w:sz w:val="18"/>
                      <w:szCs w:val="18"/>
                      <w:highlight w:val="none"/>
                      <w:u w:val="none"/>
                    </w:rPr>
                    <w:t>3</w:t>
                  </w:r>
                </w:p>
              </w:tc>
              <w:tc>
                <w:tcPr>
                  <w:tcW w:w="1871" w:type="pct"/>
                  <w:vAlign w:val="center"/>
                </w:tcPr>
                <w:p w14:paraId="33067CCD">
                  <w:pPr>
                    <w:adjustRightInd w:val="0"/>
                    <w:snapToGrid w:val="0"/>
                    <w:jc w:val="center"/>
                    <w:rPr>
                      <w:b w:val="0"/>
                      <w:bCs w:val="0"/>
                      <w:sz w:val="18"/>
                      <w:szCs w:val="18"/>
                      <w:highlight w:val="none"/>
                      <w:u w:val="none"/>
                    </w:rPr>
                  </w:pPr>
                  <w:r>
                    <w:rPr>
                      <w:rFonts w:hint="eastAsia"/>
                      <w:b w:val="0"/>
                      <w:bCs w:val="0"/>
                      <w:sz w:val="18"/>
                      <w:szCs w:val="18"/>
                      <w:highlight w:val="none"/>
                      <w:u w:val="none"/>
                    </w:rPr>
                    <w:t>氨</w:t>
                  </w:r>
                </w:p>
              </w:tc>
              <w:tc>
                <w:tcPr>
                  <w:tcW w:w="2995" w:type="dxa"/>
                  <w:vAlign w:val="center"/>
                </w:tcPr>
                <w:p w14:paraId="1AEE8B22">
                  <w:pPr>
                    <w:pStyle w:val="45"/>
                    <w:rPr>
                      <w:rFonts w:hint="default" w:eastAsia="宋体"/>
                      <w:b w:val="0"/>
                      <w:bCs w:val="0"/>
                      <w:kern w:val="0"/>
                      <w:szCs w:val="18"/>
                      <w:highlight w:val="none"/>
                      <w:u w:val="none"/>
                      <w:lang w:val="en-US" w:eastAsia="zh-CN" w:bidi="ar"/>
                    </w:rPr>
                  </w:pPr>
                  <w:r>
                    <w:rPr>
                      <w:rFonts w:hint="eastAsia"/>
                      <w:b w:val="0"/>
                      <w:bCs w:val="0"/>
                      <w:szCs w:val="18"/>
                      <w:highlight w:val="none"/>
                      <w:u w:val="none"/>
                      <w:lang w:val="en-US" w:eastAsia="zh-CN"/>
                    </w:rPr>
                    <w:t>1.677</w:t>
                  </w:r>
                </w:p>
              </w:tc>
            </w:tr>
          </w:tbl>
          <w:p w14:paraId="0D5605AE">
            <w:pPr>
              <w:pStyle w:val="6"/>
              <w:numPr>
                <w:ilvl w:val="2"/>
                <w:numId w:val="3"/>
              </w:numPr>
              <w:rPr>
                <w:b w:val="0"/>
                <w:bCs w:val="0"/>
                <w:highlight w:val="none"/>
                <w:u w:val="none"/>
              </w:rPr>
            </w:pPr>
            <w:r>
              <w:rPr>
                <w:b w:val="0"/>
                <w:bCs w:val="0"/>
                <w:highlight w:val="none"/>
                <w:u w:val="none"/>
              </w:rPr>
              <w:t>废气自行监测计划</w:t>
            </w:r>
          </w:p>
          <w:p w14:paraId="38249F41">
            <w:pPr>
              <w:pStyle w:val="5"/>
              <w:rPr>
                <w:rFonts w:hint="default"/>
                <w:b w:val="0"/>
                <w:bCs w:val="0"/>
                <w:u w:val="none"/>
              </w:rPr>
            </w:pPr>
            <w:r>
              <w:rPr>
                <w:b w:val="0"/>
                <w:bCs w:val="0"/>
                <w:u w:val="none"/>
              </w:rPr>
              <w:t>根据《排污单位自行监测技术指南 总则》（HJ819-2017）、《排污单位自行监测技术指南 无机化学工业》（HJ 1138—2020），本项目自行监测计划见下表。</w:t>
            </w:r>
          </w:p>
          <w:p w14:paraId="6FFE5F8B">
            <w:pPr>
              <w:pStyle w:val="44"/>
              <w:numPr>
                <w:ilvl w:val="0"/>
                <w:numId w:val="2"/>
              </w:numPr>
              <w:rPr>
                <w:rFonts w:hint="default"/>
                <w:b w:val="0"/>
                <w:bCs w:val="0"/>
                <w:u w:val="none"/>
              </w:rPr>
            </w:pPr>
            <w:r>
              <w:rPr>
                <w:rFonts w:hint="default"/>
                <w:b w:val="0"/>
                <w:bCs w:val="0"/>
                <w:u w:val="none"/>
              </w:rPr>
              <w:t>本项目废气监测计划</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
            <w:tblGrid>
              <w:gridCol w:w="565"/>
              <w:gridCol w:w="1528"/>
              <w:gridCol w:w="1185"/>
              <w:gridCol w:w="1158"/>
              <w:gridCol w:w="2970"/>
            </w:tblGrid>
            <w:tr w14:paraId="7230D6D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tblHeader/>
                <w:jc w:val="center"/>
              </w:trPr>
              <w:tc>
                <w:tcPr>
                  <w:tcW w:w="381" w:type="pct"/>
                  <w:tcBorders>
                    <w:tl2br w:val="nil"/>
                    <w:tr2bl w:val="nil"/>
                  </w:tcBorders>
                  <w:vAlign w:val="center"/>
                </w:tcPr>
                <w:p w14:paraId="0CA45D06">
                  <w:pPr>
                    <w:pStyle w:val="45"/>
                    <w:rPr>
                      <w:rFonts w:hint="default"/>
                      <w:b/>
                      <w:bCs/>
                      <w:u w:val="single"/>
                    </w:rPr>
                  </w:pPr>
                  <w:r>
                    <w:rPr>
                      <w:b/>
                      <w:bCs/>
                      <w:u w:val="single"/>
                    </w:rPr>
                    <w:t>类别</w:t>
                  </w:r>
                </w:p>
              </w:tc>
              <w:tc>
                <w:tcPr>
                  <w:tcW w:w="1031" w:type="pct"/>
                  <w:tcBorders>
                    <w:tl2br w:val="nil"/>
                    <w:tr2bl w:val="nil"/>
                  </w:tcBorders>
                  <w:vAlign w:val="center"/>
                </w:tcPr>
                <w:p w14:paraId="189156AB">
                  <w:pPr>
                    <w:pStyle w:val="45"/>
                    <w:rPr>
                      <w:rFonts w:hint="default"/>
                      <w:b/>
                      <w:bCs/>
                      <w:u w:val="single"/>
                    </w:rPr>
                  </w:pPr>
                  <w:r>
                    <w:rPr>
                      <w:b/>
                      <w:bCs/>
                      <w:u w:val="single"/>
                    </w:rPr>
                    <w:t>监测点位</w:t>
                  </w:r>
                </w:p>
              </w:tc>
              <w:tc>
                <w:tcPr>
                  <w:tcW w:w="800" w:type="pct"/>
                  <w:tcBorders>
                    <w:tl2br w:val="nil"/>
                    <w:tr2bl w:val="nil"/>
                  </w:tcBorders>
                  <w:vAlign w:val="center"/>
                </w:tcPr>
                <w:p w14:paraId="1AB6AD66">
                  <w:pPr>
                    <w:pStyle w:val="45"/>
                    <w:rPr>
                      <w:rFonts w:hint="default"/>
                      <w:b/>
                      <w:bCs/>
                      <w:u w:val="single"/>
                    </w:rPr>
                  </w:pPr>
                  <w:r>
                    <w:rPr>
                      <w:b/>
                      <w:bCs/>
                      <w:u w:val="single"/>
                    </w:rPr>
                    <w:t>监测项目</w:t>
                  </w:r>
                </w:p>
              </w:tc>
              <w:tc>
                <w:tcPr>
                  <w:tcW w:w="782" w:type="pct"/>
                  <w:tcBorders>
                    <w:tl2br w:val="nil"/>
                    <w:tr2bl w:val="nil"/>
                  </w:tcBorders>
                  <w:vAlign w:val="center"/>
                </w:tcPr>
                <w:p w14:paraId="6D26DC46">
                  <w:pPr>
                    <w:pStyle w:val="45"/>
                    <w:rPr>
                      <w:rFonts w:hint="default"/>
                      <w:b/>
                      <w:bCs/>
                      <w:u w:val="single"/>
                    </w:rPr>
                  </w:pPr>
                  <w:r>
                    <w:rPr>
                      <w:b/>
                      <w:bCs/>
                      <w:u w:val="single"/>
                    </w:rPr>
                    <w:t>监测频率</w:t>
                  </w:r>
                </w:p>
              </w:tc>
              <w:tc>
                <w:tcPr>
                  <w:tcW w:w="2004" w:type="pct"/>
                  <w:tcBorders>
                    <w:tl2br w:val="nil"/>
                    <w:tr2bl w:val="nil"/>
                  </w:tcBorders>
                  <w:vAlign w:val="center"/>
                </w:tcPr>
                <w:p w14:paraId="06DD4871">
                  <w:pPr>
                    <w:pStyle w:val="45"/>
                    <w:rPr>
                      <w:rFonts w:hint="default"/>
                      <w:b/>
                      <w:bCs/>
                      <w:u w:val="single"/>
                    </w:rPr>
                  </w:pPr>
                  <w:r>
                    <w:rPr>
                      <w:b/>
                      <w:bCs/>
                      <w:u w:val="single"/>
                    </w:rPr>
                    <w:t>执行标准</w:t>
                  </w:r>
                </w:p>
              </w:tc>
            </w:tr>
            <w:tr w14:paraId="29D4478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40" w:hRule="atLeast"/>
                <w:tblHeader/>
                <w:jc w:val="center"/>
              </w:trPr>
              <w:tc>
                <w:tcPr>
                  <w:tcW w:w="381" w:type="pct"/>
                  <w:vMerge w:val="restart"/>
                  <w:tcBorders>
                    <w:tl2br w:val="nil"/>
                    <w:tr2bl w:val="nil"/>
                  </w:tcBorders>
                  <w:vAlign w:val="center"/>
                </w:tcPr>
                <w:p w14:paraId="56ADD981">
                  <w:pPr>
                    <w:pStyle w:val="45"/>
                    <w:rPr>
                      <w:rFonts w:hint="default"/>
                      <w:b/>
                      <w:bCs/>
                      <w:u w:val="single"/>
                    </w:rPr>
                  </w:pPr>
                  <w:r>
                    <w:rPr>
                      <w:b/>
                      <w:bCs/>
                      <w:u w:val="single"/>
                    </w:rPr>
                    <w:t>废气</w:t>
                  </w:r>
                </w:p>
              </w:tc>
              <w:tc>
                <w:tcPr>
                  <w:tcW w:w="1031" w:type="pct"/>
                  <w:vMerge w:val="restart"/>
                  <w:tcBorders>
                    <w:tl2br w:val="nil"/>
                    <w:tr2bl w:val="nil"/>
                  </w:tcBorders>
                  <w:vAlign w:val="center"/>
                </w:tcPr>
                <w:p w14:paraId="667E1216">
                  <w:pPr>
                    <w:pStyle w:val="45"/>
                    <w:rPr>
                      <w:rFonts w:hint="default"/>
                      <w:b/>
                      <w:bCs/>
                      <w:u w:val="single"/>
                    </w:rPr>
                  </w:pPr>
                  <w:r>
                    <w:rPr>
                      <w:b/>
                      <w:bCs/>
                      <w:u w:val="single"/>
                    </w:rPr>
                    <w:t>DA001排气筒</w:t>
                  </w:r>
                </w:p>
              </w:tc>
              <w:tc>
                <w:tcPr>
                  <w:tcW w:w="800" w:type="pct"/>
                  <w:tcBorders>
                    <w:tl2br w:val="nil"/>
                    <w:tr2bl w:val="nil"/>
                  </w:tcBorders>
                  <w:vAlign w:val="center"/>
                </w:tcPr>
                <w:p w14:paraId="0D88C93C">
                  <w:pPr>
                    <w:pStyle w:val="45"/>
                    <w:rPr>
                      <w:rFonts w:hint="default"/>
                      <w:b/>
                      <w:bCs/>
                      <w:u w:val="single"/>
                    </w:rPr>
                  </w:pPr>
                  <w:r>
                    <w:rPr>
                      <w:b/>
                      <w:bCs/>
                      <w:u w:val="single"/>
                    </w:rPr>
                    <w:t>甲醇</w:t>
                  </w:r>
                </w:p>
              </w:tc>
              <w:tc>
                <w:tcPr>
                  <w:tcW w:w="782" w:type="pct"/>
                  <w:tcBorders>
                    <w:tl2br w:val="nil"/>
                    <w:tr2bl w:val="nil"/>
                  </w:tcBorders>
                  <w:vAlign w:val="center"/>
                </w:tcPr>
                <w:p w14:paraId="539CC435">
                  <w:pPr>
                    <w:pStyle w:val="45"/>
                    <w:rPr>
                      <w:rFonts w:hint="default"/>
                      <w:b/>
                      <w:bCs/>
                      <w:u w:val="single"/>
                    </w:rPr>
                  </w:pPr>
                  <w:r>
                    <w:rPr>
                      <w:b/>
                      <w:bCs/>
                      <w:u w:val="single"/>
                    </w:rPr>
                    <w:t>1次/半年</w:t>
                  </w:r>
                </w:p>
              </w:tc>
              <w:tc>
                <w:tcPr>
                  <w:tcW w:w="2004" w:type="pct"/>
                  <w:tcBorders>
                    <w:tl2br w:val="nil"/>
                    <w:tr2bl w:val="nil"/>
                  </w:tcBorders>
                  <w:vAlign w:val="center"/>
                </w:tcPr>
                <w:p w14:paraId="4020150C">
                  <w:pPr>
                    <w:pStyle w:val="45"/>
                    <w:rPr>
                      <w:rFonts w:hint="default"/>
                      <w:b/>
                      <w:bCs/>
                      <w:u w:val="single"/>
                    </w:rPr>
                  </w:pPr>
                  <w:r>
                    <w:rPr>
                      <w:b/>
                      <w:bCs/>
                      <w:u w:val="single"/>
                    </w:rPr>
                    <w:t>《大气污染物综合排放标准》（GB16297-1996）</w:t>
                  </w:r>
                </w:p>
              </w:tc>
            </w:tr>
            <w:tr w14:paraId="49396CD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40" w:hRule="atLeast"/>
                <w:tblHeader/>
                <w:jc w:val="center"/>
              </w:trPr>
              <w:tc>
                <w:tcPr>
                  <w:tcW w:w="381" w:type="pct"/>
                  <w:vMerge w:val="continue"/>
                  <w:tcBorders>
                    <w:tl2br w:val="nil"/>
                    <w:tr2bl w:val="nil"/>
                  </w:tcBorders>
                  <w:vAlign w:val="center"/>
                </w:tcPr>
                <w:p w14:paraId="4FC7C0AE">
                  <w:pPr>
                    <w:pStyle w:val="45"/>
                    <w:rPr>
                      <w:rFonts w:hint="default"/>
                      <w:b/>
                      <w:bCs/>
                      <w:u w:val="single"/>
                    </w:rPr>
                  </w:pPr>
                </w:p>
              </w:tc>
              <w:tc>
                <w:tcPr>
                  <w:tcW w:w="1031" w:type="pct"/>
                  <w:vMerge w:val="continue"/>
                  <w:tcBorders>
                    <w:tl2br w:val="nil"/>
                    <w:tr2bl w:val="nil"/>
                  </w:tcBorders>
                  <w:vAlign w:val="center"/>
                </w:tcPr>
                <w:p w14:paraId="3D37C27B">
                  <w:pPr>
                    <w:pStyle w:val="45"/>
                    <w:rPr>
                      <w:rFonts w:hint="default"/>
                      <w:b/>
                      <w:bCs/>
                      <w:u w:val="single"/>
                    </w:rPr>
                  </w:pPr>
                </w:p>
              </w:tc>
              <w:tc>
                <w:tcPr>
                  <w:tcW w:w="800" w:type="pct"/>
                  <w:tcBorders>
                    <w:tl2br w:val="nil"/>
                    <w:tr2bl w:val="nil"/>
                  </w:tcBorders>
                  <w:vAlign w:val="center"/>
                </w:tcPr>
                <w:p w14:paraId="1F2CB869">
                  <w:pPr>
                    <w:pStyle w:val="45"/>
                    <w:rPr>
                      <w:rFonts w:hint="default"/>
                      <w:b/>
                      <w:bCs/>
                      <w:u w:val="single"/>
                    </w:rPr>
                  </w:pPr>
                  <w:r>
                    <w:rPr>
                      <w:b/>
                      <w:bCs/>
                      <w:u w:val="single"/>
                    </w:rPr>
                    <w:t>硫化氢</w:t>
                  </w:r>
                </w:p>
              </w:tc>
              <w:tc>
                <w:tcPr>
                  <w:tcW w:w="782" w:type="pct"/>
                  <w:tcBorders>
                    <w:tl2br w:val="nil"/>
                    <w:tr2bl w:val="nil"/>
                  </w:tcBorders>
                  <w:vAlign w:val="center"/>
                </w:tcPr>
                <w:p w14:paraId="11AB51D0">
                  <w:pPr>
                    <w:pStyle w:val="45"/>
                    <w:rPr>
                      <w:rFonts w:hint="default"/>
                      <w:b/>
                      <w:bCs/>
                      <w:u w:val="single"/>
                    </w:rPr>
                  </w:pPr>
                  <w:r>
                    <w:rPr>
                      <w:b/>
                      <w:bCs/>
                      <w:u w:val="single"/>
                    </w:rPr>
                    <w:t>1次/半年</w:t>
                  </w:r>
                </w:p>
              </w:tc>
              <w:tc>
                <w:tcPr>
                  <w:tcW w:w="2004" w:type="pct"/>
                  <w:tcBorders>
                    <w:tl2br w:val="nil"/>
                    <w:tr2bl w:val="nil"/>
                  </w:tcBorders>
                  <w:vAlign w:val="center"/>
                </w:tcPr>
                <w:p w14:paraId="746E5ED8">
                  <w:pPr>
                    <w:pStyle w:val="45"/>
                    <w:rPr>
                      <w:rFonts w:hint="default"/>
                      <w:b/>
                      <w:bCs/>
                      <w:u w:val="single"/>
                    </w:rPr>
                  </w:pPr>
                  <w:r>
                    <w:rPr>
                      <w:b/>
                      <w:bCs/>
                      <w:u w:val="single"/>
                    </w:rPr>
                    <w:t>《无机化学工业污染物排放标准》（GB31573—2015）及其修改单中表4排放限值</w:t>
                  </w:r>
                </w:p>
              </w:tc>
            </w:tr>
            <w:tr w14:paraId="703E0E9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40" w:hRule="atLeast"/>
                <w:tblHeader/>
                <w:jc w:val="center"/>
              </w:trPr>
              <w:tc>
                <w:tcPr>
                  <w:tcW w:w="381" w:type="pct"/>
                  <w:vMerge w:val="continue"/>
                  <w:tcBorders>
                    <w:tl2br w:val="nil"/>
                    <w:tr2bl w:val="nil"/>
                  </w:tcBorders>
                  <w:vAlign w:val="center"/>
                </w:tcPr>
                <w:p w14:paraId="3B11755B">
                  <w:pPr>
                    <w:pStyle w:val="45"/>
                    <w:rPr>
                      <w:rFonts w:hint="default"/>
                      <w:b/>
                      <w:bCs/>
                      <w:u w:val="single"/>
                    </w:rPr>
                  </w:pPr>
                </w:p>
              </w:tc>
              <w:tc>
                <w:tcPr>
                  <w:tcW w:w="1031" w:type="pct"/>
                  <w:tcBorders>
                    <w:tl2br w:val="nil"/>
                    <w:tr2bl w:val="nil"/>
                  </w:tcBorders>
                  <w:vAlign w:val="center"/>
                </w:tcPr>
                <w:p w14:paraId="27D00A90">
                  <w:pPr>
                    <w:pStyle w:val="45"/>
                    <w:rPr>
                      <w:rFonts w:hint="default"/>
                      <w:b/>
                      <w:bCs/>
                      <w:u w:val="single"/>
                    </w:rPr>
                  </w:pPr>
                  <w:r>
                    <w:rPr>
                      <w:b/>
                      <w:bCs/>
                      <w:u w:val="single"/>
                    </w:rPr>
                    <w:t>DA002排气筒</w:t>
                  </w:r>
                </w:p>
              </w:tc>
              <w:tc>
                <w:tcPr>
                  <w:tcW w:w="800" w:type="pct"/>
                  <w:tcBorders>
                    <w:tl2br w:val="nil"/>
                    <w:tr2bl w:val="nil"/>
                  </w:tcBorders>
                  <w:vAlign w:val="center"/>
                </w:tcPr>
                <w:p w14:paraId="7331FC5E">
                  <w:pPr>
                    <w:pStyle w:val="45"/>
                    <w:rPr>
                      <w:rFonts w:hint="default"/>
                      <w:b/>
                      <w:bCs/>
                      <w:u w:val="single"/>
                    </w:rPr>
                  </w:pPr>
                  <w:r>
                    <w:rPr>
                      <w:b/>
                      <w:bCs/>
                      <w:u w:val="single"/>
                    </w:rPr>
                    <w:t>氨</w:t>
                  </w:r>
                </w:p>
              </w:tc>
              <w:tc>
                <w:tcPr>
                  <w:tcW w:w="782" w:type="pct"/>
                  <w:tcBorders>
                    <w:tl2br w:val="nil"/>
                    <w:tr2bl w:val="nil"/>
                  </w:tcBorders>
                  <w:vAlign w:val="center"/>
                </w:tcPr>
                <w:p w14:paraId="5FAB9BFB">
                  <w:pPr>
                    <w:pStyle w:val="45"/>
                    <w:rPr>
                      <w:rFonts w:hint="default"/>
                      <w:b/>
                      <w:bCs/>
                      <w:u w:val="single"/>
                    </w:rPr>
                  </w:pPr>
                  <w:r>
                    <w:rPr>
                      <w:b/>
                      <w:bCs/>
                      <w:u w:val="single"/>
                    </w:rPr>
                    <w:t>1次/半年</w:t>
                  </w:r>
                </w:p>
              </w:tc>
              <w:tc>
                <w:tcPr>
                  <w:tcW w:w="2004" w:type="pct"/>
                  <w:tcBorders>
                    <w:tl2br w:val="nil"/>
                    <w:tr2bl w:val="nil"/>
                  </w:tcBorders>
                  <w:vAlign w:val="center"/>
                </w:tcPr>
                <w:p w14:paraId="558BD382">
                  <w:pPr>
                    <w:pStyle w:val="45"/>
                    <w:rPr>
                      <w:rFonts w:hint="default"/>
                      <w:b/>
                      <w:bCs/>
                      <w:u w:val="single"/>
                    </w:rPr>
                  </w:pPr>
                  <w:r>
                    <w:rPr>
                      <w:b/>
                      <w:bCs/>
                      <w:u w:val="single"/>
                    </w:rPr>
                    <w:t>《无机化学工业污染物排放标准》（GB31573—2015）及其修改单中表4排放限值</w:t>
                  </w:r>
                </w:p>
              </w:tc>
            </w:tr>
            <w:tr w14:paraId="4729B36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40" w:hRule="atLeast"/>
                <w:tblHeader/>
                <w:jc w:val="center"/>
              </w:trPr>
              <w:tc>
                <w:tcPr>
                  <w:tcW w:w="381" w:type="pct"/>
                  <w:vMerge w:val="continue"/>
                  <w:tcBorders>
                    <w:tl2br w:val="nil"/>
                    <w:tr2bl w:val="nil"/>
                  </w:tcBorders>
                  <w:vAlign w:val="center"/>
                </w:tcPr>
                <w:p w14:paraId="17C1E9E8">
                  <w:pPr>
                    <w:pStyle w:val="45"/>
                    <w:rPr>
                      <w:rFonts w:hint="default"/>
                      <w:b/>
                      <w:bCs/>
                      <w:u w:val="single"/>
                    </w:rPr>
                  </w:pPr>
                </w:p>
              </w:tc>
              <w:tc>
                <w:tcPr>
                  <w:tcW w:w="1031" w:type="pct"/>
                  <w:tcBorders>
                    <w:tl2br w:val="nil"/>
                    <w:tr2bl w:val="nil"/>
                  </w:tcBorders>
                  <w:vAlign w:val="center"/>
                </w:tcPr>
                <w:p w14:paraId="05372E4B">
                  <w:pPr>
                    <w:pStyle w:val="45"/>
                    <w:rPr>
                      <w:rFonts w:hint="default"/>
                      <w:b/>
                      <w:bCs/>
                      <w:u w:val="single"/>
                    </w:rPr>
                  </w:pPr>
                  <w:r>
                    <w:rPr>
                      <w:b/>
                      <w:bCs/>
                      <w:u w:val="single"/>
                    </w:rPr>
                    <w:t>厂界</w:t>
                  </w:r>
                </w:p>
              </w:tc>
              <w:tc>
                <w:tcPr>
                  <w:tcW w:w="800" w:type="pct"/>
                  <w:tcBorders>
                    <w:tl2br w:val="nil"/>
                    <w:tr2bl w:val="nil"/>
                  </w:tcBorders>
                  <w:vAlign w:val="center"/>
                </w:tcPr>
                <w:p w14:paraId="30F7B1E3">
                  <w:pPr>
                    <w:pStyle w:val="45"/>
                    <w:rPr>
                      <w:rFonts w:hint="default"/>
                      <w:b/>
                      <w:bCs/>
                      <w:u w:val="single"/>
                    </w:rPr>
                  </w:pPr>
                  <w:r>
                    <w:rPr>
                      <w:b/>
                      <w:bCs/>
                      <w:u w:val="single"/>
                    </w:rPr>
                    <w:t>氨</w:t>
                  </w:r>
                </w:p>
              </w:tc>
              <w:tc>
                <w:tcPr>
                  <w:tcW w:w="782" w:type="pct"/>
                  <w:tcBorders>
                    <w:tl2br w:val="nil"/>
                    <w:tr2bl w:val="nil"/>
                  </w:tcBorders>
                  <w:vAlign w:val="center"/>
                </w:tcPr>
                <w:p w14:paraId="2970259C">
                  <w:pPr>
                    <w:pStyle w:val="45"/>
                    <w:rPr>
                      <w:rFonts w:hint="default"/>
                      <w:b/>
                      <w:bCs/>
                      <w:u w:val="single"/>
                    </w:rPr>
                  </w:pPr>
                  <w:r>
                    <w:rPr>
                      <w:b/>
                      <w:bCs/>
                      <w:u w:val="single"/>
                    </w:rPr>
                    <w:t>1年/次</w:t>
                  </w:r>
                </w:p>
              </w:tc>
              <w:tc>
                <w:tcPr>
                  <w:tcW w:w="2004" w:type="pct"/>
                  <w:tcBorders>
                    <w:tl2br w:val="nil"/>
                    <w:tr2bl w:val="nil"/>
                  </w:tcBorders>
                  <w:vAlign w:val="center"/>
                </w:tcPr>
                <w:p w14:paraId="4E5FAAD6">
                  <w:pPr>
                    <w:pStyle w:val="45"/>
                    <w:rPr>
                      <w:rFonts w:hint="default"/>
                      <w:b/>
                      <w:bCs/>
                      <w:u w:val="single"/>
                    </w:rPr>
                  </w:pPr>
                  <w:r>
                    <w:rPr>
                      <w:b/>
                      <w:bCs/>
                      <w:u w:val="single"/>
                    </w:rPr>
                    <w:t>《无机化学工业污染物排放标准》（GB31573—2015）及其修改单中表5排放限值</w:t>
                  </w:r>
                </w:p>
              </w:tc>
            </w:tr>
          </w:tbl>
          <w:p w14:paraId="25D534B7">
            <w:pPr>
              <w:pStyle w:val="4"/>
              <w:numPr>
                <w:ilvl w:val="1"/>
                <w:numId w:val="3"/>
              </w:numPr>
              <w:tabs>
                <w:tab w:val="left" w:pos="0"/>
              </w:tabs>
              <w:rPr>
                <w:b w:val="0"/>
                <w:bCs w:val="0"/>
                <w:u w:val="none"/>
              </w:rPr>
            </w:pPr>
            <w:r>
              <w:rPr>
                <w:rFonts w:hint="eastAsia"/>
                <w:b w:val="0"/>
                <w:bCs w:val="0"/>
                <w:u w:val="none"/>
              </w:rPr>
              <w:t>废水</w:t>
            </w:r>
          </w:p>
          <w:p w14:paraId="7F541B55">
            <w:pPr>
              <w:pStyle w:val="5"/>
              <w:rPr>
                <w:rFonts w:hint="default"/>
                <w:b w:val="0"/>
                <w:bCs w:val="0"/>
                <w:u w:val="none"/>
              </w:rPr>
            </w:pPr>
            <w:r>
              <w:rPr>
                <w:rFonts w:hint="default"/>
                <w:b w:val="0"/>
                <w:bCs w:val="0"/>
                <w:u w:val="none"/>
              </w:rPr>
              <w:t>本项目营运期</w:t>
            </w:r>
            <w:r>
              <w:rPr>
                <w:b w:val="0"/>
                <w:bCs w:val="0"/>
                <w:u w:val="none"/>
              </w:rPr>
              <w:t>主要废水为生活污水、冷却塔排水。</w:t>
            </w:r>
          </w:p>
          <w:p w14:paraId="58A97753">
            <w:pPr>
              <w:pStyle w:val="6"/>
              <w:numPr>
                <w:ilvl w:val="2"/>
                <w:numId w:val="3"/>
              </w:numPr>
              <w:rPr>
                <w:b w:val="0"/>
                <w:bCs w:val="0"/>
                <w:u w:val="none"/>
              </w:rPr>
            </w:pPr>
            <w:r>
              <w:rPr>
                <w:b w:val="0"/>
                <w:bCs w:val="0"/>
                <w:u w:val="none"/>
              </w:rPr>
              <w:t>废水源强核算</w:t>
            </w:r>
          </w:p>
          <w:p w14:paraId="78539745">
            <w:pPr>
              <w:pStyle w:val="5"/>
              <w:rPr>
                <w:rFonts w:hint="default"/>
                <w:b w:val="0"/>
                <w:bCs w:val="0"/>
                <w:u w:val="none"/>
              </w:rPr>
            </w:pPr>
            <w:r>
              <w:rPr>
                <w:b w:val="0"/>
                <w:bCs w:val="0"/>
                <w:u w:val="none"/>
              </w:rPr>
              <w:t>（1）生活污水</w:t>
            </w:r>
          </w:p>
          <w:p w14:paraId="39DF3664">
            <w:pPr>
              <w:spacing w:line="360" w:lineRule="auto"/>
              <w:ind w:firstLine="420" w:firstLineChars="200"/>
              <w:rPr>
                <w:b w:val="0"/>
                <w:bCs w:val="0"/>
                <w:u w:val="none"/>
              </w:rPr>
            </w:pPr>
            <w:r>
              <w:rPr>
                <w:b w:val="0"/>
                <w:bCs w:val="0"/>
                <w:u w:val="none"/>
              </w:rPr>
              <w:t>项目营运期间共有员工35人，均不在厂区食宿。根据《河南省地方标准工业与城镇生活用水定额》（DB41/T385-2020）中的相关标准及结合本项目实际情况，员工按照50L/人·d计，项目年工作300天，则本项目员工生活用水量为1.75m</w:t>
            </w:r>
            <w:r>
              <w:rPr>
                <w:b w:val="0"/>
                <w:bCs w:val="0"/>
                <w:u w:val="none"/>
                <w:vertAlign w:val="superscript"/>
              </w:rPr>
              <w:t>3</w:t>
            </w:r>
            <w:r>
              <w:rPr>
                <w:b w:val="0"/>
                <w:bCs w:val="0"/>
                <w:u w:val="none"/>
              </w:rPr>
              <w:t>/d（525m</w:t>
            </w:r>
            <w:r>
              <w:rPr>
                <w:b w:val="0"/>
                <w:bCs w:val="0"/>
                <w:u w:val="none"/>
                <w:vertAlign w:val="superscript"/>
              </w:rPr>
              <w:t>3</w:t>
            </w:r>
            <w:r>
              <w:rPr>
                <w:b w:val="0"/>
                <w:bCs w:val="0"/>
                <w:u w:val="none"/>
              </w:rPr>
              <w:t>/a）。排污系数按0.8计，则本项目生活污水排放量为1.4m</w:t>
            </w:r>
            <w:r>
              <w:rPr>
                <w:b w:val="0"/>
                <w:bCs w:val="0"/>
                <w:u w:val="none"/>
                <w:vertAlign w:val="superscript"/>
              </w:rPr>
              <w:t>3</w:t>
            </w:r>
            <w:r>
              <w:rPr>
                <w:b w:val="0"/>
                <w:bCs w:val="0"/>
                <w:u w:val="none"/>
              </w:rPr>
              <w:t>/d（420m</w:t>
            </w:r>
            <w:r>
              <w:rPr>
                <w:b w:val="0"/>
                <w:bCs w:val="0"/>
                <w:u w:val="none"/>
                <w:vertAlign w:val="superscript"/>
              </w:rPr>
              <w:t>3</w:t>
            </w:r>
            <w:r>
              <w:rPr>
                <w:b w:val="0"/>
                <w:bCs w:val="0"/>
                <w:u w:val="none"/>
              </w:rPr>
              <w:t xml:space="preserve">/a）。生活污水中各污染物产生浓度分别为：COD </w:t>
            </w:r>
            <w:r>
              <w:rPr>
                <w:rFonts w:hint="eastAsia"/>
                <w:b w:val="0"/>
                <w:bCs w:val="0"/>
                <w:u w:val="none"/>
              </w:rPr>
              <w:t>25</w:t>
            </w:r>
            <w:r>
              <w:rPr>
                <w:b w:val="0"/>
                <w:bCs w:val="0"/>
                <w:u w:val="none"/>
              </w:rPr>
              <w:t>0mg/L、SS 2</w:t>
            </w:r>
            <w:r>
              <w:rPr>
                <w:rFonts w:hint="eastAsia"/>
                <w:b w:val="0"/>
                <w:bCs w:val="0"/>
                <w:u w:val="none"/>
                <w:lang w:val="en-US" w:eastAsia="zh-CN"/>
              </w:rPr>
              <w:t>0</w:t>
            </w:r>
            <w:r>
              <w:rPr>
                <w:b w:val="0"/>
                <w:bCs w:val="0"/>
                <w:u w:val="none"/>
              </w:rPr>
              <w:t>0mg/L、氨氮30mg/L。</w:t>
            </w:r>
            <w:r>
              <w:rPr>
                <w:rFonts w:hint="eastAsia"/>
                <w:b w:val="0"/>
                <w:bCs w:val="0"/>
                <w:u w:val="none"/>
              </w:rPr>
              <w:t>采取化粪池处理后，</w:t>
            </w:r>
            <w:r>
              <w:rPr>
                <w:b w:val="0"/>
                <w:bCs w:val="0"/>
                <w:u w:val="none"/>
              </w:rPr>
              <w:t>生活污水排放的主要污染物为COD</w:t>
            </w:r>
            <w:r>
              <w:rPr>
                <w:rFonts w:hint="eastAsia"/>
                <w:b w:val="0"/>
                <w:bCs w:val="0"/>
                <w:u w:val="none"/>
                <w:lang w:val="en-US" w:eastAsia="zh-CN"/>
              </w:rPr>
              <w:t>175</w:t>
            </w:r>
            <w:r>
              <w:rPr>
                <w:b w:val="0"/>
                <w:bCs w:val="0"/>
                <w:u w:val="none"/>
              </w:rPr>
              <w:t>mg/L</w:t>
            </w:r>
            <w:r>
              <w:rPr>
                <w:rFonts w:hint="eastAsia"/>
                <w:b w:val="0"/>
                <w:bCs w:val="0"/>
                <w:u w:val="none"/>
              </w:rPr>
              <w:t>、</w:t>
            </w:r>
            <w:r>
              <w:rPr>
                <w:b w:val="0"/>
                <w:bCs w:val="0"/>
                <w:u w:val="none"/>
              </w:rPr>
              <w:t xml:space="preserve">SS </w:t>
            </w:r>
            <w:r>
              <w:rPr>
                <w:rFonts w:hint="eastAsia"/>
                <w:b w:val="0"/>
                <w:bCs w:val="0"/>
                <w:u w:val="none"/>
                <w:lang w:val="en-US" w:eastAsia="zh-CN"/>
              </w:rPr>
              <w:t>1</w:t>
            </w:r>
            <w:r>
              <w:rPr>
                <w:rFonts w:hint="eastAsia"/>
                <w:b w:val="0"/>
                <w:bCs w:val="0"/>
                <w:u w:val="none"/>
              </w:rPr>
              <w:t>0</w:t>
            </w:r>
            <w:r>
              <w:rPr>
                <w:b w:val="0"/>
                <w:bCs w:val="0"/>
                <w:u w:val="none"/>
              </w:rPr>
              <w:t>0mg/L</w:t>
            </w:r>
            <w:r>
              <w:rPr>
                <w:rFonts w:hint="eastAsia"/>
                <w:b w:val="0"/>
                <w:bCs w:val="0"/>
                <w:u w:val="none"/>
              </w:rPr>
              <w:t>、</w:t>
            </w:r>
            <w:r>
              <w:rPr>
                <w:b w:val="0"/>
                <w:bCs w:val="0"/>
                <w:u w:val="none"/>
              </w:rPr>
              <w:t>氨氮：</w:t>
            </w:r>
            <w:r>
              <w:rPr>
                <w:rFonts w:hint="eastAsia"/>
                <w:b w:val="0"/>
                <w:bCs w:val="0"/>
                <w:u w:val="none"/>
              </w:rPr>
              <w:t>30</w:t>
            </w:r>
            <w:r>
              <w:rPr>
                <w:b w:val="0"/>
                <w:bCs w:val="0"/>
                <w:u w:val="none"/>
              </w:rPr>
              <w:t>mg/L</w:t>
            </w:r>
            <w:r>
              <w:rPr>
                <w:rFonts w:hint="eastAsia"/>
                <w:b w:val="0"/>
                <w:bCs w:val="0"/>
                <w:u w:val="none"/>
              </w:rPr>
              <w:t>。</w:t>
            </w:r>
            <w:r>
              <w:rPr>
                <w:b w:val="0"/>
                <w:bCs w:val="0"/>
                <w:u w:val="none"/>
              </w:rPr>
              <w:t>满足《无机化学工业污染物排放标准》（GB31573—2015）</w:t>
            </w:r>
            <w:r>
              <w:rPr>
                <w:rFonts w:hint="eastAsia"/>
                <w:b w:val="0"/>
                <w:bCs w:val="0"/>
                <w:u w:val="none"/>
              </w:rPr>
              <w:t>间接排放标准</w:t>
            </w:r>
            <w:r>
              <w:rPr>
                <w:b w:val="0"/>
                <w:bCs w:val="0"/>
                <w:u w:val="none"/>
              </w:rPr>
              <w:t>及</w:t>
            </w:r>
            <w:r>
              <w:rPr>
                <w:b w:val="0"/>
                <w:bCs w:val="0"/>
                <w:u w:val="none"/>
                <w:lang w:val="zh-CN"/>
              </w:rPr>
              <w:t>平顶山首创水务有限公司（平顶山市第三污水处理厂）</w:t>
            </w:r>
            <w:r>
              <w:rPr>
                <w:b w:val="0"/>
                <w:bCs w:val="0"/>
                <w:u w:val="none"/>
              </w:rPr>
              <w:t>进水水质要求，废水经</w:t>
            </w:r>
            <w:r>
              <w:rPr>
                <w:b w:val="0"/>
                <w:bCs w:val="0"/>
                <w:u w:val="none"/>
                <w:lang w:val="zh-CN"/>
              </w:rPr>
              <w:t>平顶山首创水务有限公司（平顶山市第三污水处理厂）</w:t>
            </w:r>
            <w:r>
              <w:rPr>
                <w:b w:val="0"/>
                <w:bCs w:val="0"/>
                <w:u w:val="none"/>
              </w:rPr>
              <w:t>进一步处理，处理达标后排入关庙沟，进而汇入灰河。</w:t>
            </w:r>
          </w:p>
          <w:p w14:paraId="43366BC6">
            <w:pPr>
              <w:pStyle w:val="5"/>
              <w:rPr>
                <w:rFonts w:hint="default"/>
                <w:b w:val="0"/>
                <w:bCs w:val="0"/>
                <w:u w:val="none"/>
              </w:rPr>
            </w:pPr>
            <w:r>
              <w:rPr>
                <w:b w:val="0"/>
                <w:bCs w:val="0"/>
                <w:u w:val="none"/>
              </w:rPr>
              <w:t>（2）冷却塔排水</w:t>
            </w:r>
          </w:p>
          <w:p w14:paraId="19D175C8">
            <w:pPr>
              <w:pStyle w:val="5"/>
              <w:rPr>
                <w:rFonts w:hint="default"/>
                <w:b w:val="0"/>
                <w:bCs w:val="0"/>
                <w:u w:val="none"/>
              </w:rPr>
            </w:pPr>
            <w:r>
              <w:rPr>
                <w:b w:val="0"/>
                <w:bCs w:val="0"/>
                <w:u w:val="none"/>
              </w:rPr>
              <w:t>经核算，循环冷却水系统排污水量为24m</w:t>
            </w:r>
            <w:r>
              <w:rPr>
                <w:b w:val="0"/>
                <w:bCs w:val="0"/>
                <w:u w:val="none"/>
                <w:vertAlign w:val="superscript"/>
              </w:rPr>
              <w:t>3</w:t>
            </w:r>
            <w:r>
              <w:rPr>
                <w:b w:val="0"/>
                <w:bCs w:val="0"/>
                <w:u w:val="none"/>
              </w:rPr>
              <w:t>/d（7200m</w:t>
            </w:r>
            <w:r>
              <w:rPr>
                <w:b w:val="0"/>
                <w:bCs w:val="0"/>
                <w:u w:val="none"/>
                <w:vertAlign w:val="superscript"/>
              </w:rPr>
              <w:t>3</w:t>
            </w:r>
            <w:r>
              <w:rPr>
                <w:b w:val="0"/>
                <w:bCs w:val="0"/>
                <w:u w:val="none"/>
              </w:rPr>
              <w:t>/a），主要污染因子为COD、SS，主要污染物产生浓度COD50mg/L，SS50mg/L。通过厂区总排放口排入平顶山首创水务有限公司（平顶山市第三污水处理厂）集中处理。</w:t>
            </w:r>
          </w:p>
          <w:p w14:paraId="13A02DE2">
            <w:pPr>
              <w:tabs>
                <w:tab w:val="left" w:pos="2865"/>
              </w:tabs>
              <w:spacing w:line="360" w:lineRule="auto"/>
              <w:ind w:firstLine="420" w:firstLineChars="200"/>
              <w:rPr>
                <w:b w:val="0"/>
                <w:bCs w:val="0"/>
                <w:u w:val="none"/>
              </w:rPr>
            </w:pPr>
            <w:r>
              <w:rPr>
                <w:rFonts w:hint="eastAsia"/>
                <w:b w:val="0"/>
                <w:bCs w:val="0"/>
                <w:u w:val="none"/>
              </w:rPr>
              <w:t>本项目废水产排情况见下表。</w:t>
            </w:r>
          </w:p>
          <w:p w14:paraId="030D01BC">
            <w:pPr>
              <w:pStyle w:val="44"/>
              <w:numPr>
                <w:ilvl w:val="0"/>
                <w:numId w:val="2"/>
              </w:numPr>
              <w:rPr>
                <w:rFonts w:hint="default"/>
                <w:b w:val="0"/>
                <w:bCs w:val="0"/>
                <w:u w:val="none"/>
              </w:rPr>
            </w:pPr>
            <w:r>
              <w:rPr>
                <w:b w:val="0"/>
                <w:bCs w:val="0"/>
                <w:u w:val="none"/>
              </w:rPr>
              <w:t>项目工程污水产排情况一览表</w:t>
            </w:r>
          </w:p>
          <w:tbl>
            <w:tblPr>
              <w:tblStyle w:val="2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626"/>
              <w:gridCol w:w="731"/>
              <w:gridCol w:w="731"/>
              <w:gridCol w:w="1177"/>
              <w:gridCol w:w="689"/>
              <w:gridCol w:w="781"/>
              <w:gridCol w:w="1238"/>
            </w:tblGrid>
            <w:tr w14:paraId="213117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33" w:type="dxa"/>
                  <w:vMerge w:val="restart"/>
                  <w:vAlign w:val="center"/>
                </w:tcPr>
                <w:p w14:paraId="2508397A">
                  <w:pPr>
                    <w:jc w:val="center"/>
                    <w:textAlignment w:val="center"/>
                    <w:rPr>
                      <w:b w:val="0"/>
                      <w:bCs w:val="0"/>
                      <w:sz w:val="18"/>
                      <w:szCs w:val="18"/>
                      <w:u w:val="none"/>
                    </w:rPr>
                  </w:pPr>
                  <w:r>
                    <w:rPr>
                      <w:b w:val="0"/>
                      <w:bCs w:val="0"/>
                      <w:kern w:val="0"/>
                      <w:sz w:val="18"/>
                      <w:szCs w:val="18"/>
                      <w:u w:val="none"/>
                      <w:lang w:bidi="ar"/>
                    </w:rPr>
                    <w:t>废水量（t/a</w:t>
                  </w:r>
                  <w:r>
                    <w:rPr>
                      <w:rStyle w:val="66"/>
                      <w:rFonts w:hint="default" w:ascii="Times New Roman" w:hAnsi="Times New Roman" w:cs="Times New Roman"/>
                      <w:b w:val="0"/>
                      <w:bCs w:val="0"/>
                      <w:color w:val="auto"/>
                      <w:u w:val="none"/>
                      <w:lang w:bidi="ar"/>
                    </w:rPr>
                    <w:t>）</w:t>
                  </w:r>
                </w:p>
              </w:tc>
              <w:tc>
                <w:tcPr>
                  <w:tcW w:w="626" w:type="dxa"/>
                  <w:vMerge w:val="restart"/>
                  <w:vAlign w:val="center"/>
                </w:tcPr>
                <w:p w14:paraId="4791CF4B">
                  <w:pPr>
                    <w:jc w:val="center"/>
                    <w:textAlignment w:val="center"/>
                    <w:rPr>
                      <w:b w:val="0"/>
                      <w:bCs w:val="0"/>
                      <w:sz w:val="18"/>
                      <w:szCs w:val="18"/>
                      <w:u w:val="none"/>
                    </w:rPr>
                  </w:pPr>
                  <w:r>
                    <w:rPr>
                      <w:b w:val="0"/>
                      <w:bCs w:val="0"/>
                      <w:kern w:val="0"/>
                      <w:sz w:val="18"/>
                      <w:szCs w:val="18"/>
                      <w:u w:val="none"/>
                      <w:lang w:bidi="ar"/>
                    </w:rPr>
                    <w:t>污染因子</w:t>
                  </w:r>
                </w:p>
              </w:tc>
              <w:tc>
                <w:tcPr>
                  <w:tcW w:w="1462" w:type="dxa"/>
                  <w:gridSpan w:val="2"/>
                  <w:vAlign w:val="center"/>
                </w:tcPr>
                <w:p w14:paraId="3FCA5626">
                  <w:pPr>
                    <w:jc w:val="center"/>
                    <w:textAlignment w:val="center"/>
                    <w:rPr>
                      <w:b w:val="0"/>
                      <w:bCs w:val="0"/>
                      <w:sz w:val="18"/>
                      <w:szCs w:val="18"/>
                      <w:u w:val="none"/>
                    </w:rPr>
                  </w:pPr>
                  <w:r>
                    <w:rPr>
                      <w:b w:val="0"/>
                      <w:bCs w:val="0"/>
                      <w:kern w:val="0"/>
                      <w:sz w:val="18"/>
                      <w:szCs w:val="18"/>
                      <w:u w:val="none"/>
                      <w:lang w:bidi="ar"/>
                    </w:rPr>
                    <w:t>污水产生情况</w:t>
                  </w:r>
                </w:p>
              </w:tc>
              <w:tc>
                <w:tcPr>
                  <w:tcW w:w="1177" w:type="dxa"/>
                  <w:vMerge w:val="restart"/>
                  <w:vAlign w:val="center"/>
                </w:tcPr>
                <w:p w14:paraId="5057CAD8">
                  <w:pPr>
                    <w:jc w:val="center"/>
                    <w:textAlignment w:val="center"/>
                    <w:rPr>
                      <w:b w:val="0"/>
                      <w:bCs w:val="0"/>
                      <w:sz w:val="18"/>
                      <w:szCs w:val="18"/>
                      <w:u w:val="none"/>
                    </w:rPr>
                  </w:pPr>
                  <w:r>
                    <w:rPr>
                      <w:b w:val="0"/>
                      <w:bCs w:val="0"/>
                      <w:kern w:val="0"/>
                      <w:sz w:val="18"/>
                      <w:szCs w:val="18"/>
                      <w:u w:val="none"/>
                      <w:lang w:bidi="ar"/>
                    </w:rPr>
                    <w:t>拟采取的处理方案</w:t>
                  </w:r>
                </w:p>
              </w:tc>
              <w:tc>
                <w:tcPr>
                  <w:tcW w:w="1470" w:type="dxa"/>
                  <w:gridSpan w:val="2"/>
                  <w:vAlign w:val="center"/>
                </w:tcPr>
                <w:p w14:paraId="530D8E8B">
                  <w:pPr>
                    <w:jc w:val="center"/>
                    <w:textAlignment w:val="center"/>
                    <w:rPr>
                      <w:b w:val="0"/>
                      <w:bCs w:val="0"/>
                      <w:sz w:val="18"/>
                      <w:szCs w:val="18"/>
                      <w:u w:val="none"/>
                    </w:rPr>
                  </w:pPr>
                  <w:r>
                    <w:rPr>
                      <w:b w:val="0"/>
                      <w:bCs w:val="0"/>
                      <w:kern w:val="0"/>
                      <w:sz w:val="18"/>
                      <w:szCs w:val="18"/>
                      <w:u w:val="none"/>
                      <w:lang w:bidi="ar"/>
                    </w:rPr>
                    <w:t>厂排口排放情况</w:t>
                  </w:r>
                </w:p>
              </w:tc>
              <w:tc>
                <w:tcPr>
                  <w:tcW w:w="1238" w:type="dxa"/>
                  <w:vMerge w:val="restart"/>
                  <w:vAlign w:val="center"/>
                </w:tcPr>
                <w:p w14:paraId="4A224EAD">
                  <w:pPr>
                    <w:jc w:val="center"/>
                    <w:textAlignment w:val="center"/>
                    <w:rPr>
                      <w:b w:val="0"/>
                      <w:bCs w:val="0"/>
                      <w:sz w:val="18"/>
                      <w:szCs w:val="18"/>
                      <w:u w:val="none"/>
                    </w:rPr>
                  </w:pPr>
                  <w:r>
                    <w:rPr>
                      <w:b w:val="0"/>
                      <w:bCs w:val="0"/>
                      <w:kern w:val="0"/>
                      <w:sz w:val="18"/>
                      <w:szCs w:val="18"/>
                      <w:u w:val="none"/>
                      <w:lang w:bidi="ar"/>
                    </w:rPr>
                    <w:t>排放去向</w:t>
                  </w:r>
                </w:p>
              </w:tc>
            </w:tr>
            <w:tr w14:paraId="620C093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33" w:type="dxa"/>
                  <w:vMerge w:val="continue"/>
                  <w:vAlign w:val="center"/>
                </w:tcPr>
                <w:p w14:paraId="734EC74E">
                  <w:pPr>
                    <w:jc w:val="center"/>
                    <w:rPr>
                      <w:b w:val="0"/>
                      <w:bCs w:val="0"/>
                      <w:sz w:val="18"/>
                      <w:szCs w:val="18"/>
                      <w:u w:val="none"/>
                    </w:rPr>
                  </w:pPr>
                </w:p>
              </w:tc>
              <w:tc>
                <w:tcPr>
                  <w:tcW w:w="626" w:type="dxa"/>
                  <w:vMerge w:val="continue"/>
                  <w:vAlign w:val="center"/>
                </w:tcPr>
                <w:p w14:paraId="3040FD43">
                  <w:pPr>
                    <w:jc w:val="center"/>
                    <w:rPr>
                      <w:b w:val="0"/>
                      <w:bCs w:val="0"/>
                      <w:sz w:val="18"/>
                      <w:szCs w:val="18"/>
                      <w:u w:val="none"/>
                    </w:rPr>
                  </w:pPr>
                </w:p>
              </w:tc>
              <w:tc>
                <w:tcPr>
                  <w:tcW w:w="731" w:type="dxa"/>
                  <w:vAlign w:val="center"/>
                </w:tcPr>
                <w:p w14:paraId="4840CBFB">
                  <w:pPr>
                    <w:jc w:val="center"/>
                    <w:textAlignment w:val="center"/>
                    <w:rPr>
                      <w:b w:val="0"/>
                      <w:bCs w:val="0"/>
                      <w:sz w:val="18"/>
                      <w:szCs w:val="18"/>
                      <w:u w:val="none"/>
                    </w:rPr>
                  </w:pPr>
                  <w:r>
                    <w:rPr>
                      <w:b w:val="0"/>
                      <w:bCs w:val="0"/>
                      <w:kern w:val="0"/>
                      <w:sz w:val="18"/>
                      <w:szCs w:val="18"/>
                      <w:u w:val="none"/>
                      <w:lang w:bidi="ar"/>
                    </w:rPr>
                    <w:t>mg/L</w:t>
                  </w:r>
                </w:p>
              </w:tc>
              <w:tc>
                <w:tcPr>
                  <w:tcW w:w="731" w:type="dxa"/>
                  <w:vAlign w:val="center"/>
                </w:tcPr>
                <w:p w14:paraId="78DE3173">
                  <w:pPr>
                    <w:jc w:val="center"/>
                    <w:textAlignment w:val="center"/>
                    <w:rPr>
                      <w:b w:val="0"/>
                      <w:bCs w:val="0"/>
                      <w:sz w:val="18"/>
                      <w:szCs w:val="18"/>
                      <w:u w:val="none"/>
                    </w:rPr>
                  </w:pPr>
                  <w:r>
                    <w:rPr>
                      <w:b w:val="0"/>
                      <w:bCs w:val="0"/>
                      <w:kern w:val="0"/>
                      <w:sz w:val="18"/>
                      <w:szCs w:val="18"/>
                      <w:u w:val="none"/>
                      <w:lang w:bidi="ar"/>
                    </w:rPr>
                    <w:t>t/a</w:t>
                  </w:r>
                </w:p>
              </w:tc>
              <w:tc>
                <w:tcPr>
                  <w:tcW w:w="1177" w:type="dxa"/>
                  <w:vMerge w:val="continue"/>
                  <w:vAlign w:val="center"/>
                </w:tcPr>
                <w:p w14:paraId="7F1BFDBD">
                  <w:pPr>
                    <w:jc w:val="center"/>
                    <w:rPr>
                      <w:b w:val="0"/>
                      <w:bCs w:val="0"/>
                      <w:sz w:val="18"/>
                      <w:szCs w:val="18"/>
                      <w:u w:val="none"/>
                    </w:rPr>
                  </w:pPr>
                </w:p>
              </w:tc>
              <w:tc>
                <w:tcPr>
                  <w:tcW w:w="689" w:type="dxa"/>
                  <w:vAlign w:val="center"/>
                </w:tcPr>
                <w:p w14:paraId="6FE22A54">
                  <w:pPr>
                    <w:jc w:val="center"/>
                    <w:textAlignment w:val="center"/>
                    <w:rPr>
                      <w:b w:val="0"/>
                      <w:bCs w:val="0"/>
                      <w:sz w:val="18"/>
                      <w:szCs w:val="18"/>
                      <w:u w:val="none"/>
                    </w:rPr>
                  </w:pPr>
                  <w:r>
                    <w:rPr>
                      <w:b w:val="0"/>
                      <w:bCs w:val="0"/>
                      <w:kern w:val="0"/>
                      <w:sz w:val="18"/>
                      <w:szCs w:val="18"/>
                      <w:u w:val="none"/>
                      <w:lang w:bidi="ar"/>
                    </w:rPr>
                    <w:t>mg/L</w:t>
                  </w:r>
                </w:p>
              </w:tc>
              <w:tc>
                <w:tcPr>
                  <w:tcW w:w="781" w:type="dxa"/>
                  <w:vAlign w:val="center"/>
                </w:tcPr>
                <w:p w14:paraId="527EBD4B">
                  <w:pPr>
                    <w:jc w:val="center"/>
                    <w:textAlignment w:val="center"/>
                    <w:rPr>
                      <w:b w:val="0"/>
                      <w:bCs w:val="0"/>
                      <w:sz w:val="18"/>
                      <w:szCs w:val="18"/>
                      <w:u w:val="none"/>
                    </w:rPr>
                  </w:pPr>
                  <w:r>
                    <w:rPr>
                      <w:b w:val="0"/>
                      <w:bCs w:val="0"/>
                      <w:kern w:val="0"/>
                      <w:sz w:val="18"/>
                      <w:szCs w:val="18"/>
                      <w:u w:val="none"/>
                      <w:lang w:bidi="ar"/>
                    </w:rPr>
                    <w:t>t/a</w:t>
                  </w:r>
                </w:p>
              </w:tc>
              <w:tc>
                <w:tcPr>
                  <w:tcW w:w="1238" w:type="dxa"/>
                  <w:vMerge w:val="continue"/>
                  <w:vAlign w:val="center"/>
                </w:tcPr>
                <w:p w14:paraId="6330CBEC">
                  <w:pPr>
                    <w:jc w:val="center"/>
                    <w:rPr>
                      <w:b w:val="0"/>
                      <w:bCs w:val="0"/>
                      <w:sz w:val="18"/>
                      <w:szCs w:val="18"/>
                      <w:u w:val="none"/>
                    </w:rPr>
                  </w:pPr>
                </w:p>
              </w:tc>
            </w:tr>
            <w:tr w14:paraId="23FAF8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33" w:type="dxa"/>
                  <w:vMerge w:val="restart"/>
                  <w:vAlign w:val="center"/>
                </w:tcPr>
                <w:p w14:paraId="02CAF6E0">
                  <w:pPr>
                    <w:jc w:val="center"/>
                    <w:textAlignment w:val="center"/>
                    <w:rPr>
                      <w:b w:val="0"/>
                      <w:bCs w:val="0"/>
                      <w:sz w:val="18"/>
                      <w:szCs w:val="18"/>
                      <w:u w:val="none"/>
                    </w:rPr>
                  </w:pPr>
                  <w:r>
                    <w:rPr>
                      <w:b w:val="0"/>
                      <w:bCs w:val="0"/>
                      <w:kern w:val="0"/>
                      <w:sz w:val="18"/>
                      <w:szCs w:val="18"/>
                      <w:u w:val="none"/>
                      <w:lang w:bidi="ar"/>
                    </w:rPr>
                    <w:t>生活污水</w:t>
                  </w:r>
                  <w:r>
                    <w:rPr>
                      <w:rStyle w:val="66"/>
                      <w:rFonts w:hint="default" w:ascii="Times New Roman" w:hAnsi="Times New Roman" w:cs="Times New Roman"/>
                      <w:b w:val="0"/>
                      <w:bCs w:val="0"/>
                      <w:color w:val="auto"/>
                      <w:u w:val="none"/>
                      <w:lang w:bidi="ar"/>
                    </w:rPr>
                    <w:t>（</w:t>
                  </w:r>
                  <w:r>
                    <w:rPr>
                      <w:rFonts w:hint="eastAsia"/>
                      <w:b w:val="0"/>
                      <w:bCs w:val="0"/>
                      <w:kern w:val="0"/>
                      <w:sz w:val="18"/>
                      <w:szCs w:val="18"/>
                      <w:u w:val="none"/>
                      <w:lang w:bidi="ar"/>
                    </w:rPr>
                    <w:t>420</w:t>
                  </w:r>
                  <w:r>
                    <w:rPr>
                      <w:b w:val="0"/>
                      <w:bCs w:val="0"/>
                      <w:kern w:val="0"/>
                      <w:sz w:val="18"/>
                      <w:szCs w:val="18"/>
                      <w:u w:val="none"/>
                      <w:lang w:bidi="ar"/>
                    </w:rPr>
                    <w:t>m</w:t>
                  </w:r>
                  <w:r>
                    <w:rPr>
                      <w:rStyle w:val="57"/>
                      <w:b w:val="0"/>
                      <w:bCs w:val="0"/>
                      <w:color w:val="auto"/>
                      <w:u w:val="none"/>
                      <w:lang w:bidi="ar"/>
                    </w:rPr>
                    <w:t>3</w:t>
                  </w:r>
                  <w:r>
                    <w:rPr>
                      <w:b w:val="0"/>
                      <w:bCs w:val="0"/>
                      <w:kern w:val="0"/>
                      <w:sz w:val="18"/>
                      <w:szCs w:val="18"/>
                      <w:u w:val="none"/>
                      <w:lang w:bidi="ar"/>
                    </w:rPr>
                    <w:t>/</w:t>
                  </w:r>
                  <w:r>
                    <w:rPr>
                      <w:rFonts w:hint="eastAsia"/>
                      <w:b w:val="0"/>
                      <w:bCs w:val="0"/>
                      <w:kern w:val="0"/>
                      <w:sz w:val="18"/>
                      <w:szCs w:val="18"/>
                      <w:u w:val="none"/>
                      <w:lang w:bidi="ar"/>
                    </w:rPr>
                    <w:t>a</w:t>
                  </w:r>
                  <w:r>
                    <w:rPr>
                      <w:rStyle w:val="66"/>
                      <w:rFonts w:hint="default" w:ascii="Times New Roman" w:hAnsi="Times New Roman" w:cs="Times New Roman"/>
                      <w:b w:val="0"/>
                      <w:bCs w:val="0"/>
                      <w:color w:val="auto"/>
                      <w:u w:val="none"/>
                      <w:lang w:bidi="ar"/>
                    </w:rPr>
                    <w:t>）</w:t>
                  </w:r>
                </w:p>
              </w:tc>
              <w:tc>
                <w:tcPr>
                  <w:tcW w:w="626" w:type="dxa"/>
                  <w:vAlign w:val="center"/>
                </w:tcPr>
                <w:p w14:paraId="3F6DAC11">
                  <w:pPr>
                    <w:jc w:val="center"/>
                    <w:textAlignment w:val="center"/>
                    <w:rPr>
                      <w:b w:val="0"/>
                      <w:bCs w:val="0"/>
                      <w:sz w:val="18"/>
                      <w:szCs w:val="18"/>
                      <w:u w:val="none"/>
                    </w:rPr>
                  </w:pPr>
                  <w:r>
                    <w:rPr>
                      <w:b w:val="0"/>
                      <w:bCs w:val="0"/>
                      <w:kern w:val="0"/>
                      <w:sz w:val="18"/>
                      <w:szCs w:val="18"/>
                      <w:u w:val="none"/>
                      <w:lang w:bidi="ar"/>
                    </w:rPr>
                    <w:t>COD</w:t>
                  </w:r>
                </w:p>
              </w:tc>
              <w:tc>
                <w:tcPr>
                  <w:tcW w:w="731" w:type="dxa"/>
                  <w:vAlign w:val="center"/>
                </w:tcPr>
                <w:p w14:paraId="6D6EE6F6">
                  <w:pPr>
                    <w:jc w:val="center"/>
                    <w:textAlignment w:val="center"/>
                    <w:rPr>
                      <w:b w:val="0"/>
                      <w:bCs w:val="0"/>
                      <w:sz w:val="18"/>
                      <w:szCs w:val="18"/>
                      <w:u w:val="none"/>
                    </w:rPr>
                  </w:pPr>
                  <w:r>
                    <w:rPr>
                      <w:rFonts w:hint="eastAsia"/>
                      <w:b w:val="0"/>
                      <w:bCs w:val="0"/>
                      <w:kern w:val="0"/>
                      <w:sz w:val="18"/>
                      <w:szCs w:val="18"/>
                      <w:u w:val="none"/>
                      <w:lang w:bidi="ar"/>
                    </w:rPr>
                    <w:t>250</w:t>
                  </w:r>
                </w:p>
              </w:tc>
              <w:tc>
                <w:tcPr>
                  <w:tcW w:w="731" w:type="dxa"/>
                  <w:vAlign w:val="center"/>
                </w:tcPr>
                <w:p w14:paraId="529F5397">
                  <w:pPr>
                    <w:jc w:val="center"/>
                    <w:textAlignment w:val="center"/>
                    <w:rPr>
                      <w:b w:val="0"/>
                      <w:bCs w:val="0"/>
                      <w:sz w:val="18"/>
                      <w:szCs w:val="18"/>
                      <w:u w:val="none"/>
                    </w:rPr>
                  </w:pPr>
                  <w:r>
                    <w:rPr>
                      <w:rFonts w:hint="eastAsia"/>
                      <w:b w:val="0"/>
                      <w:bCs w:val="0"/>
                      <w:sz w:val="18"/>
                      <w:szCs w:val="18"/>
                      <w:u w:val="none"/>
                    </w:rPr>
                    <w:t>0.105</w:t>
                  </w:r>
                </w:p>
              </w:tc>
              <w:tc>
                <w:tcPr>
                  <w:tcW w:w="1177" w:type="dxa"/>
                  <w:vMerge w:val="restart"/>
                  <w:vAlign w:val="center"/>
                </w:tcPr>
                <w:p w14:paraId="4556BB2C">
                  <w:pPr>
                    <w:jc w:val="center"/>
                    <w:textAlignment w:val="center"/>
                    <w:rPr>
                      <w:b w:val="0"/>
                      <w:bCs w:val="0"/>
                      <w:sz w:val="18"/>
                      <w:szCs w:val="18"/>
                      <w:u w:val="none"/>
                    </w:rPr>
                  </w:pPr>
                  <w:r>
                    <w:rPr>
                      <w:rStyle w:val="66"/>
                      <w:rFonts w:hint="default" w:ascii="Times New Roman" w:hAnsi="Times New Roman" w:cs="Times New Roman"/>
                      <w:b w:val="0"/>
                      <w:bCs w:val="0"/>
                      <w:color w:val="auto"/>
                      <w:u w:val="none"/>
                      <w:lang w:bidi="ar"/>
                    </w:rPr>
                    <w:t>化粪池处理</w:t>
                  </w:r>
                </w:p>
              </w:tc>
              <w:tc>
                <w:tcPr>
                  <w:tcW w:w="689" w:type="dxa"/>
                  <w:vAlign w:val="center"/>
                </w:tcPr>
                <w:p w14:paraId="2B574F5E">
                  <w:pPr>
                    <w:jc w:val="center"/>
                    <w:textAlignment w:val="center"/>
                    <w:rPr>
                      <w:rFonts w:hint="default" w:eastAsia="宋体"/>
                      <w:b w:val="0"/>
                      <w:bCs w:val="0"/>
                      <w:sz w:val="18"/>
                      <w:szCs w:val="18"/>
                      <w:u w:val="none"/>
                      <w:lang w:val="en-US" w:eastAsia="zh-CN"/>
                    </w:rPr>
                  </w:pPr>
                  <w:r>
                    <w:rPr>
                      <w:rFonts w:hint="eastAsia"/>
                      <w:b w:val="0"/>
                      <w:bCs w:val="0"/>
                      <w:kern w:val="0"/>
                      <w:sz w:val="18"/>
                      <w:szCs w:val="18"/>
                      <w:u w:val="none"/>
                      <w:lang w:val="en-US" w:eastAsia="zh-CN" w:bidi="ar"/>
                    </w:rPr>
                    <w:t>175</w:t>
                  </w:r>
                </w:p>
              </w:tc>
              <w:tc>
                <w:tcPr>
                  <w:tcW w:w="781" w:type="dxa"/>
                  <w:vAlign w:val="center"/>
                </w:tcPr>
                <w:p w14:paraId="4F8C8E75">
                  <w:pPr>
                    <w:jc w:val="center"/>
                    <w:textAlignment w:val="center"/>
                    <w:rPr>
                      <w:b w:val="0"/>
                      <w:bCs w:val="0"/>
                      <w:sz w:val="18"/>
                      <w:szCs w:val="18"/>
                      <w:u w:val="none"/>
                    </w:rPr>
                  </w:pPr>
                  <w:r>
                    <w:rPr>
                      <w:rFonts w:hint="eastAsia"/>
                      <w:b w:val="0"/>
                      <w:bCs w:val="0"/>
                      <w:sz w:val="18"/>
                      <w:szCs w:val="18"/>
                      <w:u w:val="none"/>
                    </w:rPr>
                    <w:t>0.1008</w:t>
                  </w:r>
                </w:p>
              </w:tc>
              <w:tc>
                <w:tcPr>
                  <w:tcW w:w="1238" w:type="dxa"/>
                  <w:vMerge w:val="restart"/>
                  <w:vAlign w:val="center"/>
                </w:tcPr>
                <w:p w14:paraId="5E41F904">
                  <w:pPr>
                    <w:jc w:val="center"/>
                    <w:textAlignment w:val="center"/>
                    <w:rPr>
                      <w:b w:val="0"/>
                      <w:bCs w:val="0"/>
                      <w:sz w:val="18"/>
                      <w:szCs w:val="18"/>
                      <w:u w:val="none"/>
                    </w:rPr>
                  </w:pPr>
                  <w:r>
                    <w:rPr>
                      <w:b w:val="0"/>
                      <w:bCs w:val="0"/>
                      <w:kern w:val="0"/>
                      <w:sz w:val="18"/>
                      <w:szCs w:val="18"/>
                      <w:u w:val="none"/>
                      <w:lang w:bidi="ar"/>
                    </w:rPr>
                    <w:t>经厂区</w:t>
                  </w:r>
                  <w:r>
                    <w:rPr>
                      <w:rFonts w:hint="eastAsia"/>
                      <w:b w:val="0"/>
                      <w:bCs w:val="0"/>
                      <w:kern w:val="0"/>
                      <w:sz w:val="18"/>
                      <w:szCs w:val="18"/>
                      <w:u w:val="none"/>
                      <w:lang w:eastAsia="zh-CN" w:bidi="ar"/>
                    </w:rPr>
                    <w:t>西侧市政管网排入</w:t>
                  </w:r>
                  <w:r>
                    <w:rPr>
                      <w:rFonts w:hint="default" w:ascii="Times New Roman" w:hAnsi="Times New Roman" w:cs="Times New Roman"/>
                      <w:b w:val="0"/>
                      <w:bCs w:val="0"/>
                      <w:sz w:val="18"/>
                      <w:szCs w:val="18"/>
                      <w:u w:val="none"/>
                      <w:lang w:val="zh-CN"/>
                    </w:rPr>
                    <w:t>平顶山首创水务有限公司（平顶山市第三污水处理厂）</w:t>
                  </w:r>
                  <w:r>
                    <w:rPr>
                      <w:rFonts w:hint="default" w:ascii="Times New Roman" w:hAnsi="Times New Roman" w:cs="Times New Roman"/>
                      <w:b w:val="0"/>
                      <w:bCs w:val="0"/>
                      <w:kern w:val="0"/>
                      <w:sz w:val="18"/>
                      <w:szCs w:val="18"/>
                      <w:u w:val="none"/>
                      <w:lang w:bidi="ar"/>
                    </w:rPr>
                    <w:t>进一步处理</w:t>
                  </w:r>
                </w:p>
              </w:tc>
            </w:tr>
            <w:tr w14:paraId="5C9090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33" w:type="dxa"/>
                  <w:vMerge w:val="continue"/>
                  <w:vAlign w:val="center"/>
                </w:tcPr>
                <w:p w14:paraId="6E1B3AFB">
                  <w:pPr>
                    <w:jc w:val="center"/>
                    <w:rPr>
                      <w:b w:val="0"/>
                      <w:bCs w:val="0"/>
                      <w:sz w:val="18"/>
                      <w:szCs w:val="18"/>
                      <w:u w:val="none"/>
                    </w:rPr>
                  </w:pPr>
                </w:p>
              </w:tc>
              <w:tc>
                <w:tcPr>
                  <w:tcW w:w="626" w:type="dxa"/>
                  <w:vAlign w:val="center"/>
                </w:tcPr>
                <w:p w14:paraId="25B2A725">
                  <w:pPr>
                    <w:jc w:val="center"/>
                    <w:textAlignment w:val="center"/>
                    <w:rPr>
                      <w:b w:val="0"/>
                      <w:bCs w:val="0"/>
                      <w:sz w:val="18"/>
                      <w:szCs w:val="18"/>
                      <w:u w:val="none"/>
                    </w:rPr>
                  </w:pPr>
                  <w:r>
                    <w:rPr>
                      <w:b w:val="0"/>
                      <w:bCs w:val="0"/>
                      <w:kern w:val="0"/>
                      <w:sz w:val="18"/>
                      <w:szCs w:val="18"/>
                      <w:u w:val="none"/>
                      <w:lang w:bidi="ar"/>
                    </w:rPr>
                    <w:t>SS</w:t>
                  </w:r>
                </w:p>
              </w:tc>
              <w:tc>
                <w:tcPr>
                  <w:tcW w:w="731" w:type="dxa"/>
                  <w:vAlign w:val="center"/>
                </w:tcPr>
                <w:p w14:paraId="51C308F0">
                  <w:pPr>
                    <w:jc w:val="center"/>
                    <w:textAlignment w:val="center"/>
                    <w:rPr>
                      <w:b w:val="0"/>
                      <w:bCs w:val="0"/>
                      <w:sz w:val="18"/>
                      <w:szCs w:val="18"/>
                      <w:u w:val="none"/>
                    </w:rPr>
                  </w:pPr>
                  <w:r>
                    <w:rPr>
                      <w:b w:val="0"/>
                      <w:bCs w:val="0"/>
                      <w:kern w:val="0"/>
                      <w:sz w:val="18"/>
                      <w:szCs w:val="18"/>
                      <w:u w:val="none"/>
                      <w:lang w:bidi="ar"/>
                    </w:rPr>
                    <w:t>2</w:t>
                  </w:r>
                  <w:r>
                    <w:rPr>
                      <w:rFonts w:hint="eastAsia"/>
                      <w:b w:val="0"/>
                      <w:bCs w:val="0"/>
                      <w:kern w:val="0"/>
                      <w:sz w:val="18"/>
                      <w:szCs w:val="18"/>
                      <w:u w:val="none"/>
                      <w:lang w:val="en-US" w:eastAsia="zh-CN" w:bidi="ar"/>
                    </w:rPr>
                    <w:t>0</w:t>
                  </w:r>
                  <w:r>
                    <w:rPr>
                      <w:b w:val="0"/>
                      <w:bCs w:val="0"/>
                      <w:kern w:val="0"/>
                      <w:sz w:val="18"/>
                      <w:szCs w:val="18"/>
                      <w:u w:val="none"/>
                      <w:lang w:bidi="ar"/>
                    </w:rPr>
                    <w:t>0</w:t>
                  </w:r>
                </w:p>
              </w:tc>
              <w:tc>
                <w:tcPr>
                  <w:tcW w:w="731" w:type="dxa"/>
                  <w:vAlign w:val="center"/>
                </w:tcPr>
                <w:p w14:paraId="423AB881">
                  <w:pPr>
                    <w:jc w:val="center"/>
                    <w:textAlignment w:val="center"/>
                    <w:rPr>
                      <w:rFonts w:hint="default" w:eastAsia="宋体"/>
                      <w:b w:val="0"/>
                      <w:bCs w:val="0"/>
                      <w:sz w:val="18"/>
                      <w:szCs w:val="18"/>
                      <w:u w:val="none"/>
                      <w:lang w:val="en-US" w:eastAsia="zh-CN"/>
                    </w:rPr>
                  </w:pPr>
                  <w:r>
                    <w:rPr>
                      <w:rFonts w:hint="eastAsia"/>
                      <w:b w:val="0"/>
                      <w:bCs w:val="0"/>
                      <w:sz w:val="18"/>
                      <w:szCs w:val="18"/>
                      <w:u w:val="none"/>
                      <w:lang w:val="en-US" w:eastAsia="zh-CN"/>
                    </w:rPr>
                    <w:t>0.084</w:t>
                  </w:r>
                </w:p>
              </w:tc>
              <w:tc>
                <w:tcPr>
                  <w:tcW w:w="1177" w:type="dxa"/>
                  <w:vMerge w:val="continue"/>
                  <w:vAlign w:val="center"/>
                </w:tcPr>
                <w:p w14:paraId="61C4F41E">
                  <w:pPr>
                    <w:jc w:val="center"/>
                    <w:rPr>
                      <w:b w:val="0"/>
                      <w:bCs w:val="0"/>
                      <w:sz w:val="18"/>
                      <w:szCs w:val="18"/>
                      <w:u w:val="none"/>
                    </w:rPr>
                  </w:pPr>
                </w:p>
              </w:tc>
              <w:tc>
                <w:tcPr>
                  <w:tcW w:w="689" w:type="dxa"/>
                  <w:vAlign w:val="center"/>
                </w:tcPr>
                <w:p w14:paraId="5BD61922">
                  <w:pPr>
                    <w:jc w:val="center"/>
                    <w:textAlignment w:val="center"/>
                    <w:rPr>
                      <w:b w:val="0"/>
                      <w:bCs w:val="0"/>
                      <w:sz w:val="18"/>
                      <w:szCs w:val="18"/>
                      <w:u w:val="none"/>
                    </w:rPr>
                  </w:pPr>
                  <w:r>
                    <w:rPr>
                      <w:rFonts w:hint="eastAsia"/>
                      <w:b w:val="0"/>
                      <w:bCs w:val="0"/>
                      <w:kern w:val="0"/>
                      <w:sz w:val="18"/>
                      <w:szCs w:val="18"/>
                      <w:u w:val="none"/>
                      <w:lang w:val="en-US" w:eastAsia="zh-CN" w:bidi="ar"/>
                    </w:rPr>
                    <w:t>1</w:t>
                  </w:r>
                  <w:r>
                    <w:rPr>
                      <w:rFonts w:hint="eastAsia"/>
                      <w:b w:val="0"/>
                      <w:bCs w:val="0"/>
                      <w:kern w:val="0"/>
                      <w:sz w:val="18"/>
                      <w:szCs w:val="18"/>
                      <w:u w:val="none"/>
                      <w:lang w:bidi="ar"/>
                    </w:rPr>
                    <w:t>00</w:t>
                  </w:r>
                </w:p>
              </w:tc>
              <w:tc>
                <w:tcPr>
                  <w:tcW w:w="781" w:type="dxa"/>
                  <w:vAlign w:val="center"/>
                </w:tcPr>
                <w:p w14:paraId="3F8F1F51">
                  <w:pPr>
                    <w:jc w:val="center"/>
                    <w:textAlignment w:val="center"/>
                    <w:rPr>
                      <w:rFonts w:hint="default" w:eastAsia="宋体"/>
                      <w:b w:val="0"/>
                      <w:bCs w:val="0"/>
                      <w:sz w:val="18"/>
                      <w:szCs w:val="18"/>
                      <w:u w:val="none"/>
                      <w:lang w:val="en-US" w:eastAsia="zh-CN"/>
                    </w:rPr>
                  </w:pPr>
                  <w:r>
                    <w:rPr>
                      <w:rFonts w:hint="eastAsia"/>
                      <w:b w:val="0"/>
                      <w:bCs w:val="0"/>
                      <w:sz w:val="18"/>
                      <w:szCs w:val="18"/>
                      <w:u w:val="none"/>
                    </w:rPr>
                    <w:t>0.0</w:t>
                  </w:r>
                  <w:r>
                    <w:rPr>
                      <w:rFonts w:hint="eastAsia"/>
                      <w:b w:val="0"/>
                      <w:bCs w:val="0"/>
                      <w:sz w:val="18"/>
                      <w:szCs w:val="18"/>
                      <w:u w:val="none"/>
                      <w:lang w:val="en-US" w:eastAsia="zh-CN"/>
                    </w:rPr>
                    <w:t>42</w:t>
                  </w:r>
                </w:p>
              </w:tc>
              <w:tc>
                <w:tcPr>
                  <w:tcW w:w="1238" w:type="dxa"/>
                  <w:vMerge w:val="continue"/>
                  <w:vAlign w:val="center"/>
                </w:tcPr>
                <w:p w14:paraId="70B14AD4">
                  <w:pPr>
                    <w:jc w:val="center"/>
                    <w:rPr>
                      <w:b w:val="0"/>
                      <w:bCs w:val="0"/>
                      <w:sz w:val="18"/>
                      <w:szCs w:val="18"/>
                      <w:u w:val="none"/>
                    </w:rPr>
                  </w:pPr>
                </w:p>
              </w:tc>
            </w:tr>
            <w:tr w14:paraId="11C261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33" w:type="dxa"/>
                  <w:vMerge w:val="continue"/>
                  <w:vAlign w:val="center"/>
                </w:tcPr>
                <w:p w14:paraId="30F688ED">
                  <w:pPr>
                    <w:jc w:val="center"/>
                    <w:rPr>
                      <w:b w:val="0"/>
                      <w:bCs w:val="0"/>
                      <w:sz w:val="18"/>
                      <w:szCs w:val="18"/>
                      <w:u w:val="none"/>
                    </w:rPr>
                  </w:pPr>
                </w:p>
              </w:tc>
              <w:tc>
                <w:tcPr>
                  <w:tcW w:w="626" w:type="dxa"/>
                  <w:vAlign w:val="center"/>
                </w:tcPr>
                <w:p w14:paraId="7CEFA963">
                  <w:pPr>
                    <w:jc w:val="center"/>
                    <w:textAlignment w:val="center"/>
                    <w:rPr>
                      <w:b w:val="0"/>
                      <w:bCs w:val="0"/>
                      <w:sz w:val="18"/>
                      <w:szCs w:val="18"/>
                      <w:u w:val="none"/>
                    </w:rPr>
                  </w:pPr>
                  <w:r>
                    <w:rPr>
                      <w:b w:val="0"/>
                      <w:bCs w:val="0"/>
                      <w:kern w:val="0"/>
                      <w:sz w:val="18"/>
                      <w:szCs w:val="18"/>
                      <w:u w:val="none"/>
                      <w:lang w:bidi="ar"/>
                    </w:rPr>
                    <w:t>氨氮</w:t>
                  </w:r>
                </w:p>
              </w:tc>
              <w:tc>
                <w:tcPr>
                  <w:tcW w:w="731" w:type="dxa"/>
                  <w:vAlign w:val="center"/>
                </w:tcPr>
                <w:p w14:paraId="11422B23">
                  <w:pPr>
                    <w:jc w:val="center"/>
                    <w:textAlignment w:val="center"/>
                    <w:rPr>
                      <w:b w:val="0"/>
                      <w:bCs w:val="0"/>
                      <w:sz w:val="18"/>
                      <w:szCs w:val="18"/>
                      <w:u w:val="none"/>
                    </w:rPr>
                  </w:pPr>
                  <w:r>
                    <w:rPr>
                      <w:rFonts w:hint="eastAsia"/>
                      <w:b w:val="0"/>
                      <w:bCs w:val="0"/>
                      <w:kern w:val="0"/>
                      <w:sz w:val="18"/>
                      <w:szCs w:val="18"/>
                      <w:u w:val="none"/>
                      <w:lang w:bidi="ar"/>
                    </w:rPr>
                    <w:t>30</w:t>
                  </w:r>
                </w:p>
              </w:tc>
              <w:tc>
                <w:tcPr>
                  <w:tcW w:w="731" w:type="dxa"/>
                  <w:vAlign w:val="center"/>
                </w:tcPr>
                <w:p w14:paraId="327D8E0B">
                  <w:pPr>
                    <w:jc w:val="center"/>
                    <w:textAlignment w:val="center"/>
                    <w:rPr>
                      <w:b w:val="0"/>
                      <w:bCs w:val="0"/>
                      <w:sz w:val="18"/>
                      <w:szCs w:val="18"/>
                      <w:u w:val="none"/>
                    </w:rPr>
                  </w:pPr>
                  <w:r>
                    <w:rPr>
                      <w:rFonts w:hint="eastAsia"/>
                      <w:b w:val="0"/>
                      <w:bCs w:val="0"/>
                      <w:sz w:val="18"/>
                      <w:szCs w:val="18"/>
                      <w:u w:val="none"/>
                    </w:rPr>
                    <w:t>0.0126</w:t>
                  </w:r>
                </w:p>
              </w:tc>
              <w:tc>
                <w:tcPr>
                  <w:tcW w:w="1177" w:type="dxa"/>
                  <w:vMerge w:val="continue"/>
                  <w:vAlign w:val="center"/>
                </w:tcPr>
                <w:p w14:paraId="15BF1BE8">
                  <w:pPr>
                    <w:jc w:val="center"/>
                    <w:rPr>
                      <w:b w:val="0"/>
                      <w:bCs w:val="0"/>
                      <w:sz w:val="18"/>
                      <w:szCs w:val="18"/>
                      <w:u w:val="none"/>
                    </w:rPr>
                  </w:pPr>
                </w:p>
              </w:tc>
              <w:tc>
                <w:tcPr>
                  <w:tcW w:w="689" w:type="dxa"/>
                  <w:vAlign w:val="center"/>
                </w:tcPr>
                <w:p w14:paraId="5F9E59F0">
                  <w:pPr>
                    <w:jc w:val="center"/>
                    <w:textAlignment w:val="center"/>
                    <w:rPr>
                      <w:b w:val="0"/>
                      <w:bCs w:val="0"/>
                      <w:sz w:val="18"/>
                      <w:szCs w:val="18"/>
                      <w:u w:val="none"/>
                    </w:rPr>
                  </w:pPr>
                  <w:r>
                    <w:rPr>
                      <w:rFonts w:hint="eastAsia"/>
                      <w:b w:val="0"/>
                      <w:bCs w:val="0"/>
                      <w:kern w:val="0"/>
                      <w:sz w:val="18"/>
                      <w:szCs w:val="18"/>
                      <w:u w:val="none"/>
                      <w:lang w:bidi="ar"/>
                    </w:rPr>
                    <w:t>30</w:t>
                  </w:r>
                </w:p>
              </w:tc>
              <w:tc>
                <w:tcPr>
                  <w:tcW w:w="781" w:type="dxa"/>
                  <w:vAlign w:val="center"/>
                </w:tcPr>
                <w:p w14:paraId="58ED310A">
                  <w:pPr>
                    <w:jc w:val="center"/>
                    <w:textAlignment w:val="center"/>
                    <w:rPr>
                      <w:b w:val="0"/>
                      <w:bCs w:val="0"/>
                      <w:sz w:val="18"/>
                      <w:szCs w:val="18"/>
                      <w:u w:val="none"/>
                    </w:rPr>
                  </w:pPr>
                  <w:r>
                    <w:rPr>
                      <w:rFonts w:hint="eastAsia"/>
                      <w:b w:val="0"/>
                      <w:bCs w:val="0"/>
                      <w:sz w:val="18"/>
                      <w:szCs w:val="18"/>
                      <w:u w:val="none"/>
                    </w:rPr>
                    <w:t>0.0126</w:t>
                  </w:r>
                </w:p>
              </w:tc>
              <w:tc>
                <w:tcPr>
                  <w:tcW w:w="1238" w:type="dxa"/>
                  <w:vMerge w:val="continue"/>
                  <w:vAlign w:val="center"/>
                </w:tcPr>
                <w:p w14:paraId="1E7F3935">
                  <w:pPr>
                    <w:jc w:val="center"/>
                    <w:rPr>
                      <w:b w:val="0"/>
                      <w:bCs w:val="0"/>
                      <w:sz w:val="18"/>
                      <w:szCs w:val="18"/>
                      <w:u w:val="none"/>
                    </w:rPr>
                  </w:pPr>
                </w:p>
              </w:tc>
            </w:tr>
            <w:tr w14:paraId="0F432F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33" w:type="dxa"/>
                  <w:vMerge w:val="restart"/>
                  <w:vAlign w:val="center"/>
                </w:tcPr>
                <w:p w14:paraId="691B7F8B">
                  <w:pPr>
                    <w:jc w:val="center"/>
                    <w:textAlignment w:val="center"/>
                    <w:rPr>
                      <w:b w:val="0"/>
                      <w:bCs w:val="0"/>
                      <w:kern w:val="0"/>
                      <w:sz w:val="18"/>
                      <w:szCs w:val="18"/>
                      <w:u w:val="none"/>
                      <w:lang w:bidi="ar"/>
                    </w:rPr>
                  </w:pPr>
                  <w:r>
                    <w:rPr>
                      <w:rFonts w:hint="eastAsia"/>
                      <w:b w:val="0"/>
                      <w:bCs w:val="0"/>
                      <w:kern w:val="0"/>
                      <w:sz w:val="18"/>
                      <w:szCs w:val="18"/>
                      <w:u w:val="none"/>
                      <w:lang w:bidi="ar"/>
                    </w:rPr>
                    <w:t>循环冷却水排水</w:t>
                  </w:r>
                </w:p>
                <w:p w14:paraId="5EF8D6A7">
                  <w:pPr>
                    <w:jc w:val="center"/>
                    <w:textAlignment w:val="center"/>
                    <w:rPr>
                      <w:b w:val="0"/>
                      <w:bCs w:val="0"/>
                      <w:u w:val="none"/>
                    </w:rPr>
                  </w:pPr>
                  <w:r>
                    <w:rPr>
                      <w:rFonts w:hint="eastAsia"/>
                      <w:b w:val="0"/>
                      <w:bCs w:val="0"/>
                      <w:kern w:val="0"/>
                      <w:sz w:val="18"/>
                      <w:szCs w:val="18"/>
                      <w:u w:val="none"/>
                      <w:lang w:bidi="ar"/>
                    </w:rPr>
                    <w:t>（7200m</w:t>
                  </w:r>
                  <w:r>
                    <w:rPr>
                      <w:rFonts w:hint="eastAsia"/>
                      <w:b w:val="0"/>
                      <w:bCs w:val="0"/>
                      <w:kern w:val="0"/>
                      <w:sz w:val="18"/>
                      <w:szCs w:val="18"/>
                      <w:u w:val="none"/>
                      <w:vertAlign w:val="superscript"/>
                      <w:lang w:bidi="ar"/>
                    </w:rPr>
                    <w:t>3</w:t>
                  </w:r>
                  <w:r>
                    <w:rPr>
                      <w:rFonts w:hint="eastAsia"/>
                      <w:b w:val="0"/>
                      <w:bCs w:val="0"/>
                      <w:kern w:val="0"/>
                      <w:sz w:val="18"/>
                      <w:szCs w:val="18"/>
                      <w:u w:val="none"/>
                      <w:lang w:bidi="ar"/>
                    </w:rPr>
                    <w:t>/a）</w:t>
                  </w:r>
                </w:p>
              </w:tc>
              <w:tc>
                <w:tcPr>
                  <w:tcW w:w="626" w:type="dxa"/>
                  <w:vAlign w:val="center"/>
                </w:tcPr>
                <w:p w14:paraId="0B4FB8BC">
                  <w:pPr>
                    <w:jc w:val="center"/>
                    <w:textAlignment w:val="center"/>
                    <w:rPr>
                      <w:b w:val="0"/>
                      <w:bCs w:val="0"/>
                      <w:kern w:val="0"/>
                      <w:sz w:val="18"/>
                      <w:szCs w:val="18"/>
                      <w:u w:val="none"/>
                      <w:lang w:bidi="ar"/>
                    </w:rPr>
                  </w:pPr>
                  <w:r>
                    <w:rPr>
                      <w:b w:val="0"/>
                      <w:bCs w:val="0"/>
                      <w:kern w:val="0"/>
                      <w:sz w:val="18"/>
                      <w:szCs w:val="18"/>
                      <w:u w:val="none"/>
                      <w:lang w:bidi="ar"/>
                    </w:rPr>
                    <w:t>COD</w:t>
                  </w:r>
                </w:p>
              </w:tc>
              <w:tc>
                <w:tcPr>
                  <w:tcW w:w="731" w:type="dxa"/>
                  <w:vAlign w:val="center"/>
                </w:tcPr>
                <w:p w14:paraId="0C6EC5A3">
                  <w:pPr>
                    <w:jc w:val="center"/>
                    <w:textAlignment w:val="center"/>
                    <w:rPr>
                      <w:b w:val="0"/>
                      <w:bCs w:val="0"/>
                      <w:kern w:val="0"/>
                      <w:sz w:val="18"/>
                      <w:szCs w:val="18"/>
                      <w:u w:val="none"/>
                      <w:lang w:bidi="ar"/>
                    </w:rPr>
                  </w:pPr>
                  <w:r>
                    <w:rPr>
                      <w:rFonts w:hint="eastAsia"/>
                      <w:b w:val="0"/>
                      <w:bCs w:val="0"/>
                      <w:kern w:val="0"/>
                      <w:sz w:val="18"/>
                      <w:szCs w:val="18"/>
                      <w:u w:val="none"/>
                      <w:lang w:bidi="ar"/>
                    </w:rPr>
                    <w:t>50</w:t>
                  </w:r>
                </w:p>
              </w:tc>
              <w:tc>
                <w:tcPr>
                  <w:tcW w:w="731" w:type="dxa"/>
                  <w:vAlign w:val="center"/>
                </w:tcPr>
                <w:p w14:paraId="10A0C0AE">
                  <w:pPr>
                    <w:jc w:val="center"/>
                    <w:textAlignment w:val="center"/>
                    <w:rPr>
                      <w:b w:val="0"/>
                      <w:bCs w:val="0"/>
                      <w:sz w:val="18"/>
                      <w:szCs w:val="18"/>
                      <w:u w:val="none"/>
                    </w:rPr>
                  </w:pPr>
                  <w:r>
                    <w:rPr>
                      <w:rFonts w:hint="eastAsia"/>
                      <w:b w:val="0"/>
                      <w:bCs w:val="0"/>
                      <w:sz w:val="18"/>
                      <w:szCs w:val="18"/>
                      <w:u w:val="none"/>
                    </w:rPr>
                    <w:t>0.36</w:t>
                  </w:r>
                </w:p>
              </w:tc>
              <w:tc>
                <w:tcPr>
                  <w:tcW w:w="1177" w:type="dxa"/>
                  <w:vMerge w:val="restart"/>
                  <w:vAlign w:val="center"/>
                </w:tcPr>
                <w:p w14:paraId="020C8B1D">
                  <w:pPr>
                    <w:jc w:val="center"/>
                    <w:rPr>
                      <w:b w:val="0"/>
                      <w:bCs w:val="0"/>
                      <w:sz w:val="18"/>
                      <w:szCs w:val="18"/>
                      <w:u w:val="none"/>
                    </w:rPr>
                  </w:pPr>
                  <w:r>
                    <w:rPr>
                      <w:rFonts w:hint="eastAsia"/>
                      <w:b w:val="0"/>
                      <w:bCs w:val="0"/>
                      <w:sz w:val="18"/>
                      <w:szCs w:val="18"/>
                      <w:u w:val="none"/>
                    </w:rPr>
                    <w:t>/</w:t>
                  </w:r>
                </w:p>
              </w:tc>
              <w:tc>
                <w:tcPr>
                  <w:tcW w:w="689" w:type="dxa"/>
                  <w:vAlign w:val="center"/>
                </w:tcPr>
                <w:p w14:paraId="364177FB">
                  <w:pPr>
                    <w:jc w:val="center"/>
                    <w:textAlignment w:val="center"/>
                    <w:rPr>
                      <w:b w:val="0"/>
                      <w:bCs w:val="0"/>
                      <w:kern w:val="0"/>
                      <w:sz w:val="18"/>
                      <w:szCs w:val="18"/>
                      <w:u w:val="none"/>
                      <w:lang w:bidi="ar"/>
                    </w:rPr>
                  </w:pPr>
                  <w:r>
                    <w:rPr>
                      <w:rFonts w:hint="eastAsia"/>
                      <w:b w:val="0"/>
                      <w:bCs w:val="0"/>
                      <w:kern w:val="0"/>
                      <w:sz w:val="18"/>
                      <w:szCs w:val="18"/>
                      <w:u w:val="none"/>
                      <w:lang w:bidi="ar"/>
                    </w:rPr>
                    <w:t>50</w:t>
                  </w:r>
                </w:p>
              </w:tc>
              <w:tc>
                <w:tcPr>
                  <w:tcW w:w="781" w:type="dxa"/>
                  <w:vAlign w:val="center"/>
                </w:tcPr>
                <w:p w14:paraId="08A4A49E">
                  <w:pPr>
                    <w:jc w:val="center"/>
                    <w:textAlignment w:val="center"/>
                    <w:rPr>
                      <w:b w:val="0"/>
                      <w:bCs w:val="0"/>
                      <w:kern w:val="0"/>
                      <w:sz w:val="18"/>
                      <w:szCs w:val="18"/>
                      <w:u w:val="none"/>
                      <w:lang w:bidi="ar"/>
                    </w:rPr>
                  </w:pPr>
                  <w:r>
                    <w:rPr>
                      <w:rFonts w:hint="eastAsia"/>
                      <w:b w:val="0"/>
                      <w:bCs w:val="0"/>
                      <w:sz w:val="18"/>
                      <w:szCs w:val="18"/>
                      <w:u w:val="none"/>
                    </w:rPr>
                    <w:t>0.36</w:t>
                  </w:r>
                </w:p>
              </w:tc>
              <w:tc>
                <w:tcPr>
                  <w:tcW w:w="1238" w:type="dxa"/>
                  <w:vMerge w:val="restart"/>
                  <w:vAlign w:val="center"/>
                </w:tcPr>
                <w:p w14:paraId="2F4BF001">
                  <w:pPr>
                    <w:jc w:val="center"/>
                    <w:rPr>
                      <w:b w:val="0"/>
                      <w:bCs w:val="0"/>
                      <w:sz w:val="18"/>
                      <w:szCs w:val="18"/>
                      <w:u w:val="none"/>
                    </w:rPr>
                  </w:pPr>
                  <w:r>
                    <w:rPr>
                      <w:b w:val="0"/>
                      <w:bCs w:val="0"/>
                      <w:kern w:val="0"/>
                      <w:sz w:val="18"/>
                      <w:szCs w:val="18"/>
                      <w:u w:val="none"/>
                      <w:lang w:bidi="ar"/>
                    </w:rPr>
                    <w:t>经厂区</w:t>
                  </w:r>
                  <w:r>
                    <w:rPr>
                      <w:rFonts w:hint="eastAsia"/>
                      <w:b w:val="0"/>
                      <w:bCs w:val="0"/>
                      <w:kern w:val="0"/>
                      <w:sz w:val="18"/>
                      <w:szCs w:val="18"/>
                      <w:u w:val="none"/>
                      <w:lang w:eastAsia="zh-CN" w:bidi="ar"/>
                    </w:rPr>
                    <w:t>东侧市政管网排入</w:t>
                  </w:r>
                  <w:r>
                    <w:rPr>
                      <w:rFonts w:hint="default" w:ascii="Times New Roman" w:hAnsi="Times New Roman" w:cs="Times New Roman"/>
                      <w:b w:val="0"/>
                      <w:bCs w:val="0"/>
                      <w:sz w:val="18"/>
                      <w:szCs w:val="18"/>
                      <w:u w:val="none"/>
                      <w:lang w:val="zh-CN"/>
                    </w:rPr>
                    <w:t>平顶山首创水务有限公司（平顶山市第三污水处理厂）</w:t>
                  </w:r>
                  <w:r>
                    <w:rPr>
                      <w:rFonts w:hint="default" w:ascii="Times New Roman" w:hAnsi="Times New Roman" w:cs="Times New Roman"/>
                      <w:b w:val="0"/>
                      <w:bCs w:val="0"/>
                      <w:kern w:val="0"/>
                      <w:sz w:val="18"/>
                      <w:szCs w:val="18"/>
                      <w:u w:val="none"/>
                      <w:lang w:bidi="ar"/>
                    </w:rPr>
                    <w:t>进一步处理</w:t>
                  </w:r>
                </w:p>
              </w:tc>
            </w:tr>
            <w:tr w14:paraId="5B7B0B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33" w:type="dxa"/>
                  <w:vMerge w:val="continue"/>
                  <w:vAlign w:val="center"/>
                </w:tcPr>
                <w:p w14:paraId="1F804DDC">
                  <w:pPr>
                    <w:pStyle w:val="34"/>
                    <w:rPr>
                      <w:b w:val="0"/>
                      <w:bCs w:val="0"/>
                      <w:color w:val="auto"/>
                      <w:u w:val="none"/>
                    </w:rPr>
                  </w:pPr>
                </w:p>
              </w:tc>
              <w:tc>
                <w:tcPr>
                  <w:tcW w:w="626" w:type="dxa"/>
                  <w:vAlign w:val="center"/>
                </w:tcPr>
                <w:p w14:paraId="1837A6CC">
                  <w:pPr>
                    <w:jc w:val="center"/>
                    <w:textAlignment w:val="center"/>
                    <w:rPr>
                      <w:b w:val="0"/>
                      <w:bCs w:val="0"/>
                      <w:kern w:val="0"/>
                      <w:sz w:val="18"/>
                      <w:szCs w:val="18"/>
                      <w:u w:val="none"/>
                      <w:lang w:bidi="ar"/>
                    </w:rPr>
                  </w:pPr>
                  <w:r>
                    <w:rPr>
                      <w:b w:val="0"/>
                      <w:bCs w:val="0"/>
                      <w:kern w:val="0"/>
                      <w:sz w:val="18"/>
                      <w:szCs w:val="18"/>
                      <w:u w:val="none"/>
                      <w:lang w:bidi="ar"/>
                    </w:rPr>
                    <w:t>SS</w:t>
                  </w:r>
                </w:p>
              </w:tc>
              <w:tc>
                <w:tcPr>
                  <w:tcW w:w="731" w:type="dxa"/>
                  <w:vAlign w:val="center"/>
                </w:tcPr>
                <w:p w14:paraId="2A06AA97">
                  <w:pPr>
                    <w:jc w:val="center"/>
                    <w:textAlignment w:val="center"/>
                    <w:rPr>
                      <w:b w:val="0"/>
                      <w:bCs w:val="0"/>
                      <w:kern w:val="0"/>
                      <w:sz w:val="18"/>
                      <w:szCs w:val="18"/>
                      <w:u w:val="none"/>
                      <w:lang w:bidi="ar"/>
                    </w:rPr>
                  </w:pPr>
                  <w:r>
                    <w:rPr>
                      <w:rFonts w:hint="eastAsia"/>
                      <w:b w:val="0"/>
                      <w:bCs w:val="0"/>
                      <w:kern w:val="0"/>
                      <w:sz w:val="18"/>
                      <w:szCs w:val="18"/>
                      <w:u w:val="none"/>
                      <w:lang w:bidi="ar"/>
                    </w:rPr>
                    <w:t>50</w:t>
                  </w:r>
                </w:p>
              </w:tc>
              <w:tc>
                <w:tcPr>
                  <w:tcW w:w="731" w:type="dxa"/>
                  <w:vAlign w:val="center"/>
                </w:tcPr>
                <w:p w14:paraId="5CCB2B76">
                  <w:pPr>
                    <w:jc w:val="center"/>
                    <w:textAlignment w:val="center"/>
                    <w:rPr>
                      <w:b w:val="0"/>
                      <w:bCs w:val="0"/>
                      <w:sz w:val="18"/>
                      <w:szCs w:val="18"/>
                      <w:u w:val="none"/>
                    </w:rPr>
                  </w:pPr>
                  <w:r>
                    <w:rPr>
                      <w:rFonts w:hint="eastAsia"/>
                      <w:b w:val="0"/>
                      <w:bCs w:val="0"/>
                      <w:sz w:val="18"/>
                      <w:szCs w:val="18"/>
                      <w:u w:val="none"/>
                    </w:rPr>
                    <w:t>0.36</w:t>
                  </w:r>
                </w:p>
              </w:tc>
              <w:tc>
                <w:tcPr>
                  <w:tcW w:w="1177" w:type="dxa"/>
                  <w:vMerge w:val="continue"/>
                  <w:vAlign w:val="center"/>
                </w:tcPr>
                <w:p w14:paraId="794F2814">
                  <w:pPr>
                    <w:jc w:val="center"/>
                    <w:rPr>
                      <w:b w:val="0"/>
                      <w:bCs w:val="0"/>
                      <w:sz w:val="18"/>
                      <w:szCs w:val="18"/>
                      <w:u w:val="none"/>
                    </w:rPr>
                  </w:pPr>
                </w:p>
              </w:tc>
              <w:tc>
                <w:tcPr>
                  <w:tcW w:w="689" w:type="dxa"/>
                  <w:vAlign w:val="center"/>
                </w:tcPr>
                <w:p w14:paraId="6CC17BC7">
                  <w:pPr>
                    <w:jc w:val="center"/>
                    <w:textAlignment w:val="center"/>
                    <w:rPr>
                      <w:b w:val="0"/>
                      <w:bCs w:val="0"/>
                      <w:kern w:val="0"/>
                      <w:sz w:val="18"/>
                      <w:szCs w:val="18"/>
                      <w:u w:val="none"/>
                      <w:lang w:bidi="ar"/>
                    </w:rPr>
                  </w:pPr>
                  <w:r>
                    <w:rPr>
                      <w:rFonts w:hint="eastAsia"/>
                      <w:b w:val="0"/>
                      <w:bCs w:val="0"/>
                      <w:kern w:val="0"/>
                      <w:sz w:val="18"/>
                      <w:szCs w:val="18"/>
                      <w:u w:val="none"/>
                      <w:lang w:bidi="ar"/>
                    </w:rPr>
                    <w:t>50</w:t>
                  </w:r>
                </w:p>
              </w:tc>
              <w:tc>
                <w:tcPr>
                  <w:tcW w:w="781" w:type="dxa"/>
                  <w:vAlign w:val="center"/>
                </w:tcPr>
                <w:p w14:paraId="55B66C84">
                  <w:pPr>
                    <w:jc w:val="center"/>
                    <w:textAlignment w:val="center"/>
                    <w:rPr>
                      <w:b w:val="0"/>
                      <w:bCs w:val="0"/>
                      <w:kern w:val="0"/>
                      <w:sz w:val="18"/>
                      <w:szCs w:val="18"/>
                      <w:u w:val="none"/>
                      <w:lang w:bidi="ar"/>
                    </w:rPr>
                  </w:pPr>
                  <w:r>
                    <w:rPr>
                      <w:rFonts w:hint="eastAsia"/>
                      <w:b w:val="0"/>
                      <w:bCs w:val="0"/>
                      <w:sz w:val="18"/>
                      <w:szCs w:val="18"/>
                      <w:u w:val="none"/>
                    </w:rPr>
                    <w:t>0.36</w:t>
                  </w:r>
                </w:p>
              </w:tc>
              <w:tc>
                <w:tcPr>
                  <w:tcW w:w="1238" w:type="dxa"/>
                  <w:vMerge w:val="continue"/>
                  <w:vAlign w:val="center"/>
                </w:tcPr>
                <w:p w14:paraId="526DDB18">
                  <w:pPr>
                    <w:jc w:val="center"/>
                    <w:rPr>
                      <w:b w:val="0"/>
                      <w:bCs w:val="0"/>
                      <w:sz w:val="18"/>
                      <w:szCs w:val="18"/>
                      <w:u w:val="none"/>
                    </w:rPr>
                  </w:pPr>
                </w:p>
              </w:tc>
            </w:tr>
          </w:tbl>
          <w:p w14:paraId="57FFA440">
            <w:pPr>
              <w:spacing w:line="360" w:lineRule="auto"/>
              <w:ind w:firstLine="420" w:firstLineChars="200"/>
              <w:rPr>
                <w:b w:val="0"/>
                <w:bCs w:val="0"/>
                <w:u w:val="none"/>
              </w:rPr>
            </w:pPr>
            <w:r>
              <w:rPr>
                <w:b w:val="0"/>
                <w:bCs w:val="0"/>
                <w:u w:val="none"/>
              </w:rPr>
              <w:t>项目</w:t>
            </w:r>
            <w:r>
              <w:rPr>
                <w:rFonts w:hint="eastAsia"/>
                <w:b w:val="0"/>
                <w:bCs w:val="0"/>
                <w:u w:val="none"/>
              </w:rPr>
              <w:t>废水</w:t>
            </w:r>
            <w:r>
              <w:rPr>
                <w:b w:val="0"/>
                <w:bCs w:val="0"/>
                <w:u w:val="none"/>
              </w:rPr>
              <w:t>满足《无机化学工业污染物排放标准》（GB31573—2015）</w:t>
            </w:r>
            <w:r>
              <w:rPr>
                <w:rFonts w:hint="eastAsia"/>
                <w:b w:val="0"/>
                <w:bCs w:val="0"/>
                <w:u w:val="none"/>
              </w:rPr>
              <w:t>间接排放标准</w:t>
            </w:r>
            <w:r>
              <w:rPr>
                <w:b w:val="0"/>
                <w:bCs w:val="0"/>
                <w:u w:val="none"/>
              </w:rPr>
              <w:t>及</w:t>
            </w:r>
            <w:r>
              <w:rPr>
                <w:b w:val="0"/>
                <w:bCs w:val="0"/>
                <w:u w:val="none"/>
                <w:lang w:val="zh-CN"/>
              </w:rPr>
              <w:t>平顶山首创水务有限公司（平顶山市第三污水处理厂）</w:t>
            </w:r>
            <w:r>
              <w:rPr>
                <w:b w:val="0"/>
                <w:bCs w:val="0"/>
                <w:u w:val="none"/>
              </w:rPr>
              <w:t>进水水质要求，废水经</w:t>
            </w:r>
            <w:r>
              <w:rPr>
                <w:b w:val="0"/>
                <w:bCs w:val="0"/>
                <w:u w:val="none"/>
                <w:lang w:val="zh-CN"/>
              </w:rPr>
              <w:t>平顶山首创水务有限公司（平顶山市第三污水处理厂）</w:t>
            </w:r>
            <w:r>
              <w:rPr>
                <w:b w:val="0"/>
                <w:bCs w:val="0"/>
                <w:u w:val="none"/>
              </w:rPr>
              <w:t>进一步处理，处理达标后排入关庙沟，进而汇入灰河。</w:t>
            </w:r>
          </w:p>
          <w:p w14:paraId="054D19FF">
            <w:pPr>
              <w:pStyle w:val="6"/>
              <w:numPr>
                <w:ilvl w:val="2"/>
                <w:numId w:val="3"/>
              </w:numPr>
              <w:rPr>
                <w:b w:val="0"/>
                <w:bCs w:val="0"/>
                <w:u w:val="none"/>
              </w:rPr>
            </w:pPr>
            <w:r>
              <w:rPr>
                <w:rFonts w:hint="eastAsia"/>
                <w:b w:val="0"/>
                <w:bCs w:val="0"/>
                <w:u w:val="none"/>
              </w:rPr>
              <w:t>项目废水入</w:t>
            </w:r>
            <w:r>
              <w:rPr>
                <w:b w:val="0"/>
                <w:bCs w:val="0"/>
                <w:u w:val="none"/>
                <w:lang w:val="zh-CN"/>
              </w:rPr>
              <w:t>平顶山首创水务有限公司（平顶山市第三污水处理厂）</w:t>
            </w:r>
            <w:r>
              <w:rPr>
                <w:rFonts w:hint="eastAsia"/>
                <w:b w:val="0"/>
                <w:bCs w:val="0"/>
                <w:u w:val="none"/>
              </w:rPr>
              <w:t>可行性分析</w:t>
            </w:r>
          </w:p>
          <w:p w14:paraId="79EB10F1">
            <w:pPr>
              <w:pStyle w:val="5"/>
              <w:rPr>
                <w:rFonts w:hint="default"/>
                <w:b w:val="0"/>
                <w:bCs w:val="0"/>
                <w:u w:val="none"/>
              </w:rPr>
            </w:pPr>
            <w:r>
              <w:rPr>
                <w:rFonts w:hint="default"/>
                <w:b w:val="0"/>
                <w:bCs w:val="0"/>
                <w:u w:val="none"/>
              </w:rPr>
              <w:t>经调查，</w:t>
            </w:r>
            <w:r>
              <w:rPr>
                <w:rFonts w:hint="default"/>
                <w:b w:val="0"/>
                <w:bCs w:val="0"/>
                <w:u w:val="none"/>
                <w:lang w:val="zh-CN"/>
              </w:rPr>
              <w:t>平顶山首创水务有限公司（平顶山市第三污水处理厂）</w:t>
            </w:r>
            <w:r>
              <w:rPr>
                <w:rFonts w:hint="default"/>
                <w:b w:val="0"/>
                <w:bCs w:val="0"/>
                <w:u w:val="none"/>
              </w:rPr>
              <w:t>为平顶山尼龙新材料产业集聚区配套的园区污水处理厂，建设地点位于平顶山尼龙新材料产业集聚区的东南角，主要接纳处理该产业集聚区内企业废水。污水管网布置根据园区的地形条件为沿沙河二路、沙河四路、沙河五路、沙河六路东西向布置，污水主干管沿竹园五路南北向布置。一期设计处理规模3.0万m</w:t>
            </w:r>
            <w:r>
              <w:rPr>
                <w:rFonts w:hint="default"/>
                <w:b w:val="0"/>
                <w:bCs w:val="0"/>
                <w:u w:val="none"/>
                <w:vertAlign w:val="superscript"/>
              </w:rPr>
              <w:t>3</w:t>
            </w:r>
            <w:r>
              <w:rPr>
                <w:rFonts w:hint="default"/>
                <w:b w:val="0"/>
                <w:bCs w:val="0"/>
                <w:u w:val="none"/>
              </w:rPr>
              <w:t>/d，服务范围为竹园五路以西的产业集聚区范围，面积为8.01km</w:t>
            </w:r>
            <w:r>
              <w:rPr>
                <w:rFonts w:hint="default"/>
                <w:b w:val="0"/>
                <w:bCs w:val="0"/>
                <w:u w:val="none"/>
                <w:vertAlign w:val="superscript"/>
              </w:rPr>
              <w:t>2</w:t>
            </w:r>
            <w:r>
              <w:rPr>
                <w:rFonts w:hint="default"/>
                <w:b w:val="0"/>
                <w:bCs w:val="0"/>
                <w:u w:val="none"/>
              </w:rPr>
              <w:t>，采用“水解酸化+选择厌氧+改良型卡鲁赛尔氧化沟+深度处理+二氧化氯消毒”工艺，2016年11月经平顶山市环境监测中心站对该项目进行环保竣工验收监测，尾水排放符合《城镇污水处理厂污染物排放标准》（GB18918-2002）表1中一级A标准，排入关庙沟，经灰河排入沙河。</w:t>
            </w:r>
          </w:p>
          <w:p w14:paraId="49F5EE6D">
            <w:pPr>
              <w:pStyle w:val="5"/>
              <w:rPr>
                <w:rFonts w:hint="default"/>
                <w:b w:val="0"/>
                <w:bCs w:val="0"/>
                <w:u w:val="none"/>
              </w:rPr>
            </w:pPr>
            <w:r>
              <w:rPr>
                <w:rFonts w:hint="default"/>
                <w:b w:val="0"/>
                <w:bCs w:val="0"/>
                <w:u w:val="none"/>
              </w:rPr>
              <w:t>2022年10月</w:t>
            </w:r>
            <w:r>
              <w:rPr>
                <w:rFonts w:hint="default"/>
                <w:b w:val="0"/>
                <w:bCs w:val="0"/>
                <w:u w:val="none"/>
                <w:lang w:val="zh-CN"/>
              </w:rPr>
              <w:t>平顶山首创水务有限公司（平顶山市第三污水处理厂）</w:t>
            </w:r>
            <w:r>
              <w:rPr>
                <w:rFonts w:hint="default"/>
                <w:b w:val="0"/>
                <w:bCs w:val="0"/>
                <w:u w:val="none"/>
              </w:rPr>
              <w:t>扩建工程和提标改造工程投入运行。扩建工程建设规模为5万m</w:t>
            </w:r>
            <w:r>
              <w:rPr>
                <w:rFonts w:hint="default"/>
                <w:b w:val="0"/>
                <w:bCs w:val="0"/>
                <w:u w:val="none"/>
                <w:vertAlign w:val="superscript"/>
              </w:rPr>
              <w:t>3</w:t>
            </w:r>
            <w:r>
              <w:rPr>
                <w:rFonts w:hint="default"/>
                <w:b w:val="0"/>
                <w:bCs w:val="0"/>
                <w:u w:val="none"/>
              </w:rPr>
              <w:t>/d，采用二级生物处理（改良AAO）+三级深度处理（混合反应沉淀+反硝化深床滤池+臭氧高级催化氧化）工艺，扩建后和提标改造后，</w:t>
            </w:r>
            <w:r>
              <w:rPr>
                <w:rFonts w:hint="default"/>
                <w:b w:val="0"/>
                <w:bCs w:val="0"/>
                <w:u w:val="none"/>
                <w:lang w:val="zh-CN"/>
              </w:rPr>
              <w:t>平顶山首创水务有限公司</w:t>
            </w:r>
            <w:r>
              <w:rPr>
                <w:rFonts w:hint="default"/>
                <w:b w:val="0"/>
                <w:bCs w:val="0"/>
                <w:u w:val="none"/>
              </w:rPr>
              <w:t>全厂排水水质满足《城镇污水处理厂污染物排放标准》（GB18918-2002）表1中一级A标准（COD≤20mg/L，氨氮≤1mg/L，总磷≤0.2mg/L）。</w:t>
            </w:r>
          </w:p>
          <w:p w14:paraId="7AC8B59E">
            <w:pPr>
              <w:pStyle w:val="5"/>
              <w:rPr>
                <w:rFonts w:hint="default"/>
                <w:b w:val="0"/>
                <w:bCs w:val="0"/>
                <w:u w:val="none"/>
              </w:rPr>
            </w:pPr>
            <w:r>
              <w:rPr>
                <w:rFonts w:hint="default"/>
                <w:b w:val="0"/>
                <w:bCs w:val="0"/>
                <w:u w:val="none"/>
              </w:rPr>
              <w:t>本项目选址位于平顶山尼龙新材料产业集聚区，在</w:t>
            </w:r>
            <w:r>
              <w:rPr>
                <w:rFonts w:hint="default"/>
                <w:b w:val="0"/>
                <w:bCs w:val="0"/>
                <w:u w:val="none"/>
                <w:lang w:val="zh-CN"/>
              </w:rPr>
              <w:t>平顶山首创水务有限公司（平顶山市第三污水处理厂）</w:t>
            </w:r>
            <w:r>
              <w:rPr>
                <w:rFonts w:hint="default"/>
                <w:b w:val="0"/>
                <w:bCs w:val="0"/>
                <w:u w:val="none"/>
              </w:rPr>
              <w:t>的收水范围内，其营运后废水产生总量为</w:t>
            </w:r>
            <w:r>
              <w:rPr>
                <w:b w:val="0"/>
                <w:bCs w:val="0"/>
                <w:u w:val="none"/>
              </w:rPr>
              <w:t>25.4</w:t>
            </w:r>
            <w:r>
              <w:rPr>
                <w:rFonts w:hint="default"/>
                <w:b w:val="0"/>
                <w:bCs w:val="0"/>
                <w:u w:val="none"/>
              </w:rPr>
              <w:t>m</w:t>
            </w:r>
            <w:r>
              <w:rPr>
                <w:rFonts w:hint="default"/>
                <w:b w:val="0"/>
                <w:bCs w:val="0"/>
                <w:u w:val="none"/>
                <w:vertAlign w:val="superscript"/>
              </w:rPr>
              <w:t>3</w:t>
            </w:r>
            <w:r>
              <w:rPr>
                <w:rFonts w:hint="default"/>
                <w:b w:val="0"/>
                <w:bCs w:val="0"/>
                <w:u w:val="none"/>
              </w:rPr>
              <w:t>/d（</w:t>
            </w:r>
            <w:r>
              <w:rPr>
                <w:b w:val="0"/>
                <w:bCs w:val="0"/>
                <w:u w:val="none"/>
              </w:rPr>
              <w:t>7620</w:t>
            </w:r>
            <w:r>
              <w:rPr>
                <w:rFonts w:hint="default"/>
                <w:b w:val="0"/>
                <w:bCs w:val="0"/>
                <w:u w:val="none"/>
              </w:rPr>
              <w:t>m</w:t>
            </w:r>
            <w:r>
              <w:rPr>
                <w:rFonts w:hint="default"/>
                <w:b w:val="0"/>
                <w:bCs w:val="0"/>
                <w:u w:val="none"/>
                <w:vertAlign w:val="superscript"/>
              </w:rPr>
              <w:t>3</w:t>
            </w:r>
            <w:r>
              <w:rPr>
                <w:rFonts w:hint="default"/>
                <w:b w:val="0"/>
                <w:bCs w:val="0"/>
                <w:u w:val="none"/>
              </w:rPr>
              <w:t>/a），占污水处理厂扩建工程设计进水量的</w:t>
            </w:r>
            <w:r>
              <w:rPr>
                <w:b w:val="0"/>
                <w:bCs w:val="0"/>
                <w:u w:val="none"/>
              </w:rPr>
              <w:t>0.0508</w:t>
            </w:r>
            <w:r>
              <w:rPr>
                <w:rFonts w:hint="default"/>
                <w:b w:val="0"/>
                <w:bCs w:val="0"/>
                <w:u w:val="none"/>
              </w:rPr>
              <w:t>%，从</w:t>
            </w:r>
            <w:r>
              <w:rPr>
                <w:rFonts w:hint="default"/>
                <w:b w:val="0"/>
                <w:bCs w:val="0"/>
                <w:u w:val="none"/>
                <w:lang w:val="zh-CN"/>
              </w:rPr>
              <w:t>平顶山首创水务有限公司（平顶山市第三污水处理厂）</w:t>
            </w:r>
            <w:r>
              <w:rPr>
                <w:rFonts w:hint="default"/>
                <w:b w:val="0"/>
                <w:bCs w:val="0"/>
                <w:u w:val="none"/>
              </w:rPr>
              <w:t>服务功能及工程废水量上分析，接纳本项目污水可行。根据当地环境管理要求，</w:t>
            </w:r>
            <w:r>
              <w:rPr>
                <w:rFonts w:hint="default"/>
                <w:b w:val="0"/>
                <w:bCs w:val="0"/>
                <w:u w:val="none"/>
                <w:lang w:val="zh-CN"/>
              </w:rPr>
              <w:t>平顶山首创水务有限公司（平顶山市第三污水处理厂）</w:t>
            </w:r>
            <w:r>
              <w:rPr>
                <w:rFonts w:hint="default"/>
                <w:b w:val="0"/>
                <w:bCs w:val="0"/>
                <w:u w:val="none"/>
              </w:rPr>
              <w:t>提标改造后出水可以达到《地表水环境质量标准》（GB3838-2002）Ⅲ类标准要求。平顶山市第三污水处理厂主要污染物进出水浓度见下表：</w:t>
            </w:r>
          </w:p>
          <w:p w14:paraId="00EC6F6E">
            <w:pPr>
              <w:pStyle w:val="44"/>
              <w:numPr>
                <w:ilvl w:val="0"/>
                <w:numId w:val="2"/>
              </w:numPr>
              <w:rPr>
                <w:rFonts w:hint="default"/>
                <w:b w:val="0"/>
                <w:bCs w:val="0"/>
                <w:u w:val="none"/>
              </w:rPr>
            </w:pPr>
            <w:r>
              <w:rPr>
                <w:rFonts w:hint="default"/>
                <w:b w:val="0"/>
                <w:bCs w:val="0"/>
                <w:u w:val="none"/>
              </w:rPr>
              <w:t>平顶山市第三污水处理厂进出水水质情况一览表</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106"/>
              <w:gridCol w:w="2154"/>
              <w:gridCol w:w="3146"/>
            </w:tblGrid>
            <w:tr w14:paraId="6355AE1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21" w:type="pct"/>
                  <w:tcBorders>
                    <w:tl2br w:val="nil"/>
                    <w:tr2bl w:val="nil"/>
                  </w:tcBorders>
                  <w:vAlign w:val="center"/>
                </w:tcPr>
                <w:p w14:paraId="097B7A59">
                  <w:pPr>
                    <w:pStyle w:val="45"/>
                    <w:rPr>
                      <w:rFonts w:hint="default"/>
                      <w:b w:val="0"/>
                      <w:bCs w:val="0"/>
                      <w:u w:val="none"/>
                    </w:rPr>
                  </w:pPr>
                  <w:r>
                    <w:rPr>
                      <w:rFonts w:hint="default"/>
                      <w:b w:val="0"/>
                      <w:bCs w:val="0"/>
                      <w:u w:val="none"/>
                    </w:rPr>
                    <w:t>项目</w:t>
                  </w:r>
                </w:p>
              </w:tc>
              <w:tc>
                <w:tcPr>
                  <w:tcW w:w="1454" w:type="pct"/>
                  <w:tcBorders>
                    <w:tl2br w:val="nil"/>
                    <w:tr2bl w:val="nil"/>
                  </w:tcBorders>
                  <w:vAlign w:val="center"/>
                </w:tcPr>
                <w:p w14:paraId="61116253">
                  <w:pPr>
                    <w:pStyle w:val="45"/>
                    <w:rPr>
                      <w:rFonts w:hint="default"/>
                      <w:b w:val="0"/>
                      <w:bCs w:val="0"/>
                      <w:u w:val="none"/>
                    </w:rPr>
                  </w:pPr>
                  <w:r>
                    <w:rPr>
                      <w:rFonts w:hint="default"/>
                      <w:b w:val="0"/>
                      <w:bCs w:val="0"/>
                      <w:u w:val="none"/>
                    </w:rPr>
                    <w:t>进水水质mg/L</w:t>
                  </w:r>
                </w:p>
              </w:tc>
              <w:tc>
                <w:tcPr>
                  <w:tcW w:w="2124" w:type="pct"/>
                  <w:tcBorders>
                    <w:tl2br w:val="nil"/>
                    <w:tr2bl w:val="nil"/>
                  </w:tcBorders>
                  <w:vAlign w:val="center"/>
                </w:tcPr>
                <w:p w14:paraId="72F6061E">
                  <w:pPr>
                    <w:pStyle w:val="45"/>
                    <w:rPr>
                      <w:rFonts w:hint="default"/>
                      <w:b w:val="0"/>
                      <w:bCs w:val="0"/>
                      <w:u w:val="none"/>
                    </w:rPr>
                  </w:pPr>
                  <w:r>
                    <w:rPr>
                      <w:rFonts w:hint="default"/>
                      <w:b w:val="0"/>
                      <w:bCs w:val="0"/>
                      <w:u w:val="none"/>
                    </w:rPr>
                    <w:t>出水水质mg/L</w:t>
                  </w:r>
                </w:p>
              </w:tc>
            </w:tr>
            <w:tr w14:paraId="285706B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21" w:type="pct"/>
                  <w:tcBorders>
                    <w:tl2br w:val="nil"/>
                    <w:tr2bl w:val="nil"/>
                  </w:tcBorders>
                  <w:vAlign w:val="center"/>
                </w:tcPr>
                <w:p w14:paraId="6903EE6F">
                  <w:pPr>
                    <w:pStyle w:val="45"/>
                    <w:rPr>
                      <w:rFonts w:hint="default"/>
                      <w:b w:val="0"/>
                      <w:bCs w:val="0"/>
                      <w:u w:val="none"/>
                    </w:rPr>
                  </w:pPr>
                  <w:r>
                    <w:rPr>
                      <w:rFonts w:hint="default"/>
                      <w:b w:val="0"/>
                      <w:bCs w:val="0"/>
                      <w:u w:val="none"/>
                    </w:rPr>
                    <w:t>BOD</w:t>
                  </w:r>
                </w:p>
              </w:tc>
              <w:tc>
                <w:tcPr>
                  <w:tcW w:w="1454" w:type="pct"/>
                  <w:tcBorders>
                    <w:tl2br w:val="nil"/>
                    <w:tr2bl w:val="nil"/>
                  </w:tcBorders>
                  <w:vAlign w:val="center"/>
                </w:tcPr>
                <w:p w14:paraId="56DF08DE">
                  <w:pPr>
                    <w:pStyle w:val="45"/>
                    <w:rPr>
                      <w:rFonts w:hint="default"/>
                      <w:b w:val="0"/>
                      <w:bCs w:val="0"/>
                      <w:u w:val="none"/>
                    </w:rPr>
                  </w:pPr>
                  <w:r>
                    <w:rPr>
                      <w:rFonts w:hint="default"/>
                      <w:b w:val="0"/>
                      <w:bCs w:val="0"/>
                      <w:u w:val="none"/>
                    </w:rPr>
                    <w:t>150</w:t>
                  </w:r>
                </w:p>
              </w:tc>
              <w:tc>
                <w:tcPr>
                  <w:tcW w:w="2124" w:type="pct"/>
                  <w:tcBorders>
                    <w:tl2br w:val="nil"/>
                    <w:tr2bl w:val="nil"/>
                  </w:tcBorders>
                  <w:vAlign w:val="center"/>
                </w:tcPr>
                <w:p w14:paraId="4563FFBE">
                  <w:pPr>
                    <w:pStyle w:val="45"/>
                    <w:rPr>
                      <w:rFonts w:hint="default"/>
                      <w:b w:val="0"/>
                      <w:bCs w:val="0"/>
                      <w:u w:val="none"/>
                    </w:rPr>
                  </w:pPr>
                  <w:r>
                    <w:rPr>
                      <w:rFonts w:hint="default"/>
                      <w:b w:val="0"/>
                      <w:bCs w:val="0"/>
                      <w:u w:val="none"/>
                    </w:rPr>
                    <w:t>≤10</w:t>
                  </w:r>
                </w:p>
              </w:tc>
            </w:tr>
            <w:tr w14:paraId="41BC3D2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21" w:type="pct"/>
                  <w:tcBorders>
                    <w:tl2br w:val="nil"/>
                    <w:tr2bl w:val="nil"/>
                  </w:tcBorders>
                  <w:vAlign w:val="center"/>
                </w:tcPr>
                <w:p w14:paraId="2DA9B3DC">
                  <w:pPr>
                    <w:pStyle w:val="45"/>
                    <w:rPr>
                      <w:rFonts w:hint="default"/>
                      <w:b w:val="0"/>
                      <w:bCs w:val="0"/>
                      <w:u w:val="none"/>
                    </w:rPr>
                  </w:pPr>
                  <w:r>
                    <w:rPr>
                      <w:rFonts w:hint="default"/>
                      <w:b w:val="0"/>
                      <w:bCs w:val="0"/>
                      <w:u w:val="none"/>
                    </w:rPr>
                    <w:t>COD</w:t>
                  </w:r>
                </w:p>
              </w:tc>
              <w:tc>
                <w:tcPr>
                  <w:tcW w:w="1454" w:type="pct"/>
                  <w:tcBorders>
                    <w:tl2br w:val="nil"/>
                    <w:tr2bl w:val="nil"/>
                  </w:tcBorders>
                  <w:vAlign w:val="center"/>
                </w:tcPr>
                <w:p w14:paraId="6265D1CA">
                  <w:pPr>
                    <w:pStyle w:val="45"/>
                    <w:rPr>
                      <w:rFonts w:hint="default"/>
                      <w:b w:val="0"/>
                      <w:bCs w:val="0"/>
                      <w:u w:val="none"/>
                    </w:rPr>
                  </w:pPr>
                  <w:r>
                    <w:rPr>
                      <w:rFonts w:hint="default"/>
                      <w:b w:val="0"/>
                      <w:bCs w:val="0"/>
                      <w:u w:val="none"/>
                    </w:rPr>
                    <w:t>400</w:t>
                  </w:r>
                </w:p>
              </w:tc>
              <w:tc>
                <w:tcPr>
                  <w:tcW w:w="2124" w:type="pct"/>
                  <w:tcBorders>
                    <w:tl2br w:val="nil"/>
                    <w:tr2bl w:val="nil"/>
                  </w:tcBorders>
                  <w:vAlign w:val="center"/>
                </w:tcPr>
                <w:p w14:paraId="772E2E89">
                  <w:pPr>
                    <w:pStyle w:val="45"/>
                    <w:rPr>
                      <w:rFonts w:hint="default"/>
                      <w:b w:val="0"/>
                      <w:bCs w:val="0"/>
                      <w:u w:val="none"/>
                    </w:rPr>
                  </w:pPr>
                  <w:r>
                    <w:rPr>
                      <w:rFonts w:hint="default"/>
                      <w:b w:val="0"/>
                      <w:bCs w:val="0"/>
                      <w:u w:val="none"/>
                    </w:rPr>
                    <w:t>≤20</w:t>
                  </w:r>
                </w:p>
              </w:tc>
            </w:tr>
            <w:tr w14:paraId="52AE94A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21" w:type="pct"/>
                  <w:tcBorders>
                    <w:tl2br w:val="nil"/>
                    <w:tr2bl w:val="nil"/>
                  </w:tcBorders>
                  <w:vAlign w:val="center"/>
                </w:tcPr>
                <w:p w14:paraId="6D82AC8D">
                  <w:pPr>
                    <w:pStyle w:val="45"/>
                    <w:rPr>
                      <w:rFonts w:hint="default"/>
                      <w:b w:val="0"/>
                      <w:bCs w:val="0"/>
                      <w:u w:val="none"/>
                    </w:rPr>
                  </w:pPr>
                  <w:r>
                    <w:rPr>
                      <w:rFonts w:hint="default"/>
                      <w:b w:val="0"/>
                      <w:bCs w:val="0"/>
                      <w:u w:val="none"/>
                    </w:rPr>
                    <w:t>SS</w:t>
                  </w:r>
                </w:p>
              </w:tc>
              <w:tc>
                <w:tcPr>
                  <w:tcW w:w="1454" w:type="pct"/>
                  <w:tcBorders>
                    <w:tl2br w:val="nil"/>
                    <w:tr2bl w:val="nil"/>
                  </w:tcBorders>
                  <w:vAlign w:val="center"/>
                </w:tcPr>
                <w:p w14:paraId="49227D95">
                  <w:pPr>
                    <w:pStyle w:val="45"/>
                    <w:rPr>
                      <w:rFonts w:hint="default"/>
                      <w:b w:val="0"/>
                      <w:bCs w:val="0"/>
                      <w:u w:val="none"/>
                    </w:rPr>
                  </w:pPr>
                  <w:r>
                    <w:rPr>
                      <w:rFonts w:hint="default"/>
                      <w:b w:val="0"/>
                      <w:bCs w:val="0"/>
                      <w:u w:val="none"/>
                    </w:rPr>
                    <w:t>300</w:t>
                  </w:r>
                </w:p>
              </w:tc>
              <w:tc>
                <w:tcPr>
                  <w:tcW w:w="2124" w:type="pct"/>
                  <w:tcBorders>
                    <w:tl2br w:val="nil"/>
                    <w:tr2bl w:val="nil"/>
                  </w:tcBorders>
                  <w:vAlign w:val="center"/>
                </w:tcPr>
                <w:p w14:paraId="4B388762">
                  <w:pPr>
                    <w:pStyle w:val="45"/>
                    <w:rPr>
                      <w:rFonts w:hint="default"/>
                      <w:b w:val="0"/>
                      <w:bCs w:val="0"/>
                      <w:u w:val="none"/>
                    </w:rPr>
                  </w:pPr>
                  <w:r>
                    <w:rPr>
                      <w:rFonts w:hint="default"/>
                      <w:b w:val="0"/>
                      <w:bCs w:val="0"/>
                      <w:u w:val="none"/>
                    </w:rPr>
                    <w:t>≤10</w:t>
                  </w:r>
                </w:p>
              </w:tc>
            </w:tr>
            <w:tr w14:paraId="51177C0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21" w:type="pct"/>
                  <w:tcBorders>
                    <w:tl2br w:val="nil"/>
                    <w:tr2bl w:val="nil"/>
                  </w:tcBorders>
                  <w:vAlign w:val="center"/>
                </w:tcPr>
                <w:p w14:paraId="0E8A2457">
                  <w:pPr>
                    <w:pStyle w:val="45"/>
                    <w:rPr>
                      <w:rFonts w:hint="default"/>
                      <w:b w:val="0"/>
                      <w:bCs w:val="0"/>
                      <w:u w:val="none"/>
                    </w:rPr>
                  </w:pPr>
                  <w:r>
                    <w:rPr>
                      <w:rFonts w:hint="default"/>
                      <w:b w:val="0"/>
                      <w:bCs w:val="0"/>
                      <w:u w:val="none"/>
                    </w:rPr>
                    <w:t>NH3-N</w:t>
                  </w:r>
                </w:p>
              </w:tc>
              <w:tc>
                <w:tcPr>
                  <w:tcW w:w="1454" w:type="pct"/>
                  <w:tcBorders>
                    <w:tl2br w:val="nil"/>
                    <w:tr2bl w:val="nil"/>
                  </w:tcBorders>
                  <w:vAlign w:val="center"/>
                </w:tcPr>
                <w:p w14:paraId="64A0C444">
                  <w:pPr>
                    <w:pStyle w:val="45"/>
                    <w:rPr>
                      <w:rFonts w:hint="default"/>
                      <w:b w:val="0"/>
                      <w:bCs w:val="0"/>
                      <w:u w:val="none"/>
                    </w:rPr>
                  </w:pPr>
                  <w:r>
                    <w:rPr>
                      <w:rFonts w:hint="default"/>
                      <w:b w:val="0"/>
                      <w:bCs w:val="0"/>
                      <w:u w:val="none"/>
                    </w:rPr>
                    <w:t>35</w:t>
                  </w:r>
                </w:p>
              </w:tc>
              <w:tc>
                <w:tcPr>
                  <w:tcW w:w="2124" w:type="pct"/>
                  <w:tcBorders>
                    <w:tl2br w:val="nil"/>
                    <w:tr2bl w:val="nil"/>
                  </w:tcBorders>
                  <w:vAlign w:val="center"/>
                </w:tcPr>
                <w:p w14:paraId="06965A6B">
                  <w:pPr>
                    <w:pStyle w:val="45"/>
                    <w:rPr>
                      <w:rFonts w:hint="default"/>
                      <w:b w:val="0"/>
                      <w:bCs w:val="0"/>
                      <w:u w:val="none"/>
                    </w:rPr>
                  </w:pPr>
                  <w:r>
                    <w:rPr>
                      <w:rFonts w:hint="default"/>
                      <w:b w:val="0"/>
                      <w:bCs w:val="0"/>
                      <w:u w:val="none"/>
                    </w:rPr>
                    <w:t>≤1</w:t>
                  </w:r>
                </w:p>
              </w:tc>
            </w:tr>
          </w:tbl>
          <w:p w14:paraId="0CFF2657">
            <w:pPr>
              <w:pStyle w:val="5"/>
              <w:rPr>
                <w:rFonts w:hint="default"/>
                <w:b w:val="0"/>
                <w:bCs w:val="0"/>
                <w:u w:val="none"/>
              </w:rPr>
            </w:pPr>
            <w:r>
              <w:rPr>
                <w:rFonts w:hint="default"/>
                <w:b w:val="0"/>
                <w:bCs w:val="0"/>
                <w:u w:val="none"/>
              </w:rPr>
              <w:t>由上表可知，本项目生活污水经化粪池处理后</w:t>
            </w:r>
            <w:r>
              <w:rPr>
                <w:b w:val="0"/>
                <w:bCs w:val="0"/>
                <w:u w:val="none"/>
              </w:rPr>
              <w:t>、初期雨水经收集池沉淀后</w:t>
            </w:r>
            <w:r>
              <w:rPr>
                <w:rFonts w:hint="default"/>
                <w:b w:val="0"/>
                <w:bCs w:val="0"/>
                <w:u w:val="none"/>
              </w:rPr>
              <w:t>排入集聚区市政污水管网，经污水管网进入</w:t>
            </w:r>
            <w:r>
              <w:rPr>
                <w:rFonts w:hint="default"/>
                <w:b w:val="0"/>
                <w:bCs w:val="0"/>
                <w:u w:val="none"/>
                <w:lang w:val="zh-CN"/>
              </w:rPr>
              <w:t>平顶山首创水务有限公司（平顶山市第三污水处理厂）</w:t>
            </w:r>
            <w:r>
              <w:rPr>
                <w:rFonts w:hint="default"/>
                <w:b w:val="0"/>
                <w:bCs w:val="0"/>
                <w:u w:val="none"/>
              </w:rPr>
              <w:t>进行处理。且本项目在平顶山市第三污水处理厂收水范围内，本项目废水产生量较小，</w:t>
            </w:r>
            <w:r>
              <w:rPr>
                <w:b w:val="0"/>
                <w:bCs w:val="0"/>
                <w:u w:val="none"/>
              </w:rPr>
              <w:t>初期雨水分批次泵入管网，</w:t>
            </w:r>
            <w:r>
              <w:rPr>
                <w:rFonts w:hint="default"/>
                <w:b w:val="0"/>
                <w:bCs w:val="0"/>
                <w:u w:val="none"/>
              </w:rPr>
              <w:t>不会增加污水处理厂的处理负荷，对其冲击较小。</w:t>
            </w:r>
          </w:p>
          <w:p w14:paraId="336E97BF">
            <w:pPr>
              <w:pStyle w:val="5"/>
              <w:rPr>
                <w:rFonts w:hint="default"/>
                <w:b w:val="0"/>
                <w:bCs w:val="0"/>
                <w:u w:val="none"/>
              </w:rPr>
            </w:pPr>
            <w:r>
              <w:rPr>
                <w:rFonts w:hint="default"/>
                <w:b w:val="0"/>
                <w:bCs w:val="0"/>
                <w:u w:val="none"/>
              </w:rPr>
              <w:t>由此可知，本项目废水处理达标后进入</w:t>
            </w:r>
            <w:r>
              <w:rPr>
                <w:rFonts w:hint="default"/>
                <w:b w:val="0"/>
                <w:bCs w:val="0"/>
                <w:u w:val="none"/>
                <w:lang w:val="zh-CN"/>
              </w:rPr>
              <w:t>平顶山首创水务有限公司（平顶山市第三污水处理厂）</w:t>
            </w:r>
            <w:r>
              <w:rPr>
                <w:rFonts w:hint="default"/>
                <w:b w:val="0"/>
                <w:bCs w:val="0"/>
                <w:u w:val="none"/>
              </w:rPr>
              <w:t>可行。</w:t>
            </w:r>
          </w:p>
          <w:p w14:paraId="34C04072">
            <w:pPr>
              <w:pStyle w:val="6"/>
              <w:numPr>
                <w:ilvl w:val="2"/>
                <w:numId w:val="3"/>
              </w:numPr>
              <w:rPr>
                <w:b w:val="0"/>
                <w:bCs w:val="0"/>
                <w:u w:val="none"/>
              </w:rPr>
            </w:pPr>
            <w:r>
              <w:rPr>
                <w:b w:val="0"/>
                <w:bCs w:val="0"/>
                <w:u w:val="none"/>
              </w:rPr>
              <w:t>水污染物排放信息及排放量核算</w:t>
            </w:r>
          </w:p>
          <w:p w14:paraId="4E7528E2">
            <w:pPr>
              <w:pStyle w:val="5"/>
              <w:rPr>
                <w:rFonts w:hint="default"/>
                <w:b w:val="0"/>
                <w:bCs w:val="0"/>
                <w:u w:val="none"/>
              </w:rPr>
            </w:pPr>
            <w:r>
              <w:rPr>
                <w:b w:val="0"/>
                <w:bCs w:val="0"/>
                <w:u w:val="none"/>
              </w:rPr>
              <w:t>（1）</w:t>
            </w:r>
            <w:r>
              <w:rPr>
                <w:rFonts w:hint="default"/>
                <w:b w:val="0"/>
                <w:bCs w:val="0"/>
                <w:u w:val="none"/>
              </w:rPr>
              <w:t>废水类别、污染物及污染治理设施信息表</w:t>
            </w:r>
          </w:p>
          <w:p w14:paraId="7FAE4D46">
            <w:pPr>
              <w:pStyle w:val="44"/>
              <w:numPr>
                <w:ilvl w:val="0"/>
                <w:numId w:val="2"/>
              </w:numPr>
              <w:rPr>
                <w:rFonts w:hint="default"/>
                <w:b w:val="0"/>
                <w:bCs w:val="0"/>
                <w:u w:val="none"/>
              </w:rPr>
            </w:pPr>
            <w:r>
              <w:rPr>
                <w:rFonts w:hint="default"/>
                <w:b w:val="0"/>
                <w:bCs w:val="0"/>
                <w:u w:val="none"/>
              </w:rPr>
              <w:t>废水类别、污染物及污染治理设施信息表</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26"/>
              <w:gridCol w:w="339"/>
              <w:gridCol w:w="638"/>
              <w:gridCol w:w="1205"/>
              <w:gridCol w:w="1750"/>
              <w:gridCol w:w="556"/>
              <w:gridCol w:w="556"/>
              <w:gridCol w:w="553"/>
              <w:gridCol w:w="638"/>
              <w:gridCol w:w="502"/>
              <w:gridCol w:w="443"/>
            </w:tblGrid>
            <w:tr w14:paraId="21992AC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6" w:type="dxa"/>
                  <w:vMerge w:val="restart"/>
                  <w:tcBorders>
                    <w:tl2br w:val="nil"/>
                    <w:tr2bl w:val="nil"/>
                  </w:tcBorders>
                  <w:vAlign w:val="center"/>
                </w:tcPr>
                <w:p w14:paraId="5CD77B34">
                  <w:pPr>
                    <w:pStyle w:val="45"/>
                    <w:rPr>
                      <w:rFonts w:hint="default"/>
                      <w:b w:val="0"/>
                      <w:bCs w:val="0"/>
                      <w:u w:val="none"/>
                    </w:rPr>
                  </w:pPr>
                  <w:r>
                    <w:rPr>
                      <w:rFonts w:hint="default"/>
                      <w:b w:val="0"/>
                      <w:bCs w:val="0"/>
                      <w:u w:val="none"/>
                    </w:rPr>
                    <w:t>序号</w:t>
                  </w:r>
                </w:p>
              </w:tc>
              <w:tc>
                <w:tcPr>
                  <w:tcW w:w="339" w:type="dxa"/>
                  <w:vMerge w:val="restart"/>
                  <w:tcBorders>
                    <w:tl2br w:val="nil"/>
                    <w:tr2bl w:val="nil"/>
                  </w:tcBorders>
                  <w:vAlign w:val="center"/>
                </w:tcPr>
                <w:p w14:paraId="519E4EA2">
                  <w:pPr>
                    <w:pStyle w:val="45"/>
                    <w:rPr>
                      <w:rFonts w:hint="default"/>
                      <w:b w:val="0"/>
                      <w:bCs w:val="0"/>
                      <w:u w:val="none"/>
                    </w:rPr>
                  </w:pPr>
                  <w:r>
                    <w:rPr>
                      <w:rFonts w:hint="default"/>
                      <w:b w:val="0"/>
                      <w:bCs w:val="0"/>
                      <w:u w:val="none"/>
                    </w:rPr>
                    <w:t>废水类别</w:t>
                  </w:r>
                </w:p>
              </w:tc>
              <w:tc>
                <w:tcPr>
                  <w:tcW w:w="638" w:type="dxa"/>
                  <w:vMerge w:val="restart"/>
                  <w:tcBorders>
                    <w:tl2br w:val="nil"/>
                    <w:tr2bl w:val="nil"/>
                  </w:tcBorders>
                  <w:vAlign w:val="center"/>
                </w:tcPr>
                <w:p w14:paraId="413B8766">
                  <w:pPr>
                    <w:pStyle w:val="45"/>
                    <w:rPr>
                      <w:rFonts w:hint="default"/>
                      <w:b w:val="0"/>
                      <w:bCs w:val="0"/>
                      <w:u w:val="none"/>
                    </w:rPr>
                  </w:pPr>
                  <w:r>
                    <w:rPr>
                      <w:rFonts w:hint="default"/>
                      <w:b w:val="0"/>
                      <w:bCs w:val="0"/>
                      <w:u w:val="none"/>
                    </w:rPr>
                    <w:t>污染物种类</w:t>
                  </w:r>
                </w:p>
              </w:tc>
              <w:tc>
                <w:tcPr>
                  <w:tcW w:w="1205" w:type="dxa"/>
                  <w:vMerge w:val="restart"/>
                  <w:tcBorders>
                    <w:tl2br w:val="nil"/>
                    <w:tr2bl w:val="nil"/>
                  </w:tcBorders>
                  <w:vAlign w:val="center"/>
                </w:tcPr>
                <w:p w14:paraId="23C63923">
                  <w:pPr>
                    <w:pStyle w:val="45"/>
                    <w:rPr>
                      <w:rFonts w:hint="default"/>
                      <w:b w:val="0"/>
                      <w:bCs w:val="0"/>
                      <w:u w:val="none"/>
                    </w:rPr>
                  </w:pPr>
                  <w:r>
                    <w:rPr>
                      <w:rFonts w:hint="default"/>
                      <w:b w:val="0"/>
                      <w:bCs w:val="0"/>
                      <w:u w:val="none"/>
                    </w:rPr>
                    <w:t>排放去向</w:t>
                  </w:r>
                </w:p>
              </w:tc>
              <w:tc>
                <w:tcPr>
                  <w:tcW w:w="1750" w:type="dxa"/>
                  <w:vMerge w:val="restart"/>
                  <w:tcBorders>
                    <w:tl2br w:val="nil"/>
                    <w:tr2bl w:val="nil"/>
                  </w:tcBorders>
                  <w:vAlign w:val="center"/>
                </w:tcPr>
                <w:p w14:paraId="068AA878">
                  <w:pPr>
                    <w:pStyle w:val="45"/>
                    <w:rPr>
                      <w:rFonts w:hint="default"/>
                      <w:b w:val="0"/>
                      <w:bCs w:val="0"/>
                      <w:u w:val="none"/>
                    </w:rPr>
                  </w:pPr>
                  <w:r>
                    <w:rPr>
                      <w:rFonts w:hint="default"/>
                      <w:b w:val="0"/>
                      <w:bCs w:val="0"/>
                      <w:u w:val="none"/>
                    </w:rPr>
                    <w:t>排放规律</w:t>
                  </w:r>
                </w:p>
              </w:tc>
              <w:tc>
                <w:tcPr>
                  <w:tcW w:w="1665" w:type="dxa"/>
                  <w:gridSpan w:val="3"/>
                  <w:tcBorders>
                    <w:tl2br w:val="nil"/>
                    <w:tr2bl w:val="nil"/>
                  </w:tcBorders>
                  <w:vAlign w:val="center"/>
                </w:tcPr>
                <w:p w14:paraId="106DB247">
                  <w:pPr>
                    <w:pStyle w:val="45"/>
                    <w:rPr>
                      <w:rFonts w:hint="default"/>
                      <w:b w:val="0"/>
                      <w:bCs w:val="0"/>
                      <w:u w:val="none"/>
                    </w:rPr>
                  </w:pPr>
                  <w:r>
                    <w:rPr>
                      <w:rFonts w:hint="default"/>
                      <w:b w:val="0"/>
                      <w:bCs w:val="0"/>
                      <w:u w:val="none"/>
                    </w:rPr>
                    <w:t>污染治理设施</w:t>
                  </w:r>
                </w:p>
              </w:tc>
              <w:tc>
                <w:tcPr>
                  <w:tcW w:w="638" w:type="dxa"/>
                  <w:vMerge w:val="restart"/>
                  <w:tcBorders>
                    <w:tl2br w:val="nil"/>
                    <w:tr2bl w:val="nil"/>
                  </w:tcBorders>
                  <w:vAlign w:val="center"/>
                </w:tcPr>
                <w:p w14:paraId="5B5D077D">
                  <w:pPr>
                    <w:pStyle w:val="45"/>
                    <w:rPr>
                      <w:rFonts w:hint="default"/>
                      <w:b w:val="0"/>
                      <w:bCs w:val="0"/>
                      <w:u w:val="none"/>
                    </w:rPr>
                  </w:pPr>
                  <w:r>
                    <w:rPr>
                      <w:rFonts w:hint="default"/>
                      <w:b w:val="0"/>
                      <w:bCs w:val="0"/>
                      <w:u w:val="none"/>
                    </w:rPr>
                    <w:t>排放口编号</w:t>
                  </w:r>
                </w:p>
              </w:tc>
              <w:tc>
                <w:tcPr>
                  <w:tcW w:w="502" w:type="dxa"/>
                  <w:vMerge w:val="restart"/>
                  <w:tcBorders>
                    <w:tl2br w:val="nil"/>
                    <w:tr2bl w:val="nil"/>
                  </w:tcBorders>
                  <w:vAlign w:val="center"/>
                </w:tcPr>
                <w:p w14:paraId="1AF51B02">
                  <w:pPr>
                    <w:pStyle w:val="45"/>
                    <w:rPr>
                      <w:rFonts w:hint="default"/>
                      <w:b w:val="0"/>
                      <w:bCs w:val="0"/>
                      <w:u w:val="none"/>
                    </w:rPr>
                  </w:pPr>
                  <w:r>
                    <w:rPr>
                      <w:b w:val="0"/>
                      <w:bCs w:val="0"/>
                      <w:u w:val="none"/>
                    </w:rPr>
                    <w:t>废水排放口</w:t>
                  </w:r>
                </w:p>
              </w:tc>
              <w:tc>
                <w:tcPr>
                  <w:tcW w:w="443" w:type="dxa"/>
                  <w:vMerge w:val="restart"/>
                  <w:tcBorders>
                    <w:tl2br w:val="nil"/>
                    <w:tr2bl w:val="nil"/>
                  </w:tcBorders>
                  <w:vAlign w:val="center"/>
                </w:tcPr>
                <w:p w14:paraId="4819D1F9">
                  <w:pPr>
                    <w:pStyle w:val="45"/>
                    <w:rPr>
                      <w:rFonts w:hint="default"/>
                      <w:b w:val="0"/>
                      <w:bCs w:val="0"/>
                      <w:u w:val="none"/>
                    </w:rPr>
                  </w:pPr>
                  <w:r>
                    <w:rPr>
                      <w:rFonts w:hint="default"/>
                      <w:b w:val="0"/>
                      <w:bCs w:val="0"/>
                      <w:u w:val="none"/>
                    </w:rPr>
                    <w:t>排放口类型</w:t>
                  </w:r>
                </w:p>
              </w:tc>
            </w:tr>
            <w:tr w14:paraId="7C10CBC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6" w:type="dxa"/>
                  <w:vMerge w:val="continue"/>
                  <w:tcBorders>
                    <w:tl2br w:val="nil"/>
                    <w:tr2bl w:val="nil"/>
                  </w:tcBorders>
                  <w:vAlign w:val="center"/>
                </w:tcPr>
                <w:p w14:paraId="0C0AEEA9">
                  <w:pPr>
                    <w:pStyle w:val="45"/>
                    <w:rPr>
                      <w:rFonts w:hint="default"/>
                      <w:b w:val="0"/>
                      <w:bCs w:val="0"/>
                      <w:u w:val="none"/>
                    </w:rPr>
                  </w:pPr>
                </w:p>
              </w:tc>
              <w:tc>
                <w:tcPr>
                  <w:tcW w:w="339" w:type="dxa"/>
                  <w:vMerge w:val="continue"/>
                  <w:tcBorders>
                    <w:tl2br w:val="nil"/>
                    <w:tr2bl w:val="nil"/>
                  </w:tcBorders>
                  <w:vAlign w:val="center"/>
                </w:tcPr>
                <w:p w14:paraId="1A727F1F">
                  <w:pPr>
                    <w:pStyle w:val="45"/>
                    <w:rPr>
                      <w:rFonts w:hint="default"/>
                      <w:b w:val="0"/>
                      <w:bCs w:val="0"/>
                      <w:u w:val="none"/>
                    </w:rPr>
                  </w:pPr>
                </w:p>
              </w:tc>
              <w:tc>
                <w:tcPr>
                  <w:tcW w:w="638" w:type="dxa"/>
                  <w:vMerge w:val="continue"/>
                  <w:tcBorders>
                    <w:tl2br w:val="nil"/>
                    <w:tr2bl w:val="nil"/>
                  </w:tcBorders>
                  <w:vAlign w:val="center"/>
                </w:tcPr>
                <w:p w14:paraId="358384CE">
                  <w:pPr>
                    <w:pStyle w:val="45"/>
                    <w:rPr>
                      <w:rFonts w:hint="default"/>
                      <w:b w:val="0"/>
                      <w:bCs w:val="0"/>
                      <w:u w:val="none"/>
                    </w:rPr>
                  </w:pPr>
                </w:p>
              </w:tc>
              <w:tc>
                <w:tcPr>
                  <w:tcW w:w="1205" w:type="dxa"/>
                  <w:vMerge w:val="continue"/>
                  <w:tcBorders>
                    <w:tl2br w:val="nil"/>
                    <w:tr2bl w:val="nil"/>
                  </w:tcBorders>
                  <w:vAlign w:val="center"/>
                </w:tcPr>
                <w:p w14:paraId="118AA3B0">
                  <w:pPr>
                    <w:pStyle w:val="45"/>
                    <w:rPr>
                      <w:rFonts w:hint="default"/>
                      <w:b w:val="0"/>
                      <w:bCs w:val="0"/>
                      <w:u w:val="none"/>
                    </w:rPr>
                  </w:pPr>
                </w:p>
              </w:tc>
              <w:tc>
                <w:tcPr>
                  <w:tcW w:w="1750" w:type="dxa"/>
                  <w:vMerge w:val="continue"/>
                  <w:tcBorders>
                    <w:tl2br w:val="nil"/>
                    <w:tr2bl w:val="nil"/>
                  </w:tcBorders>
                  <w:vAlign w:val="center"/>
                </w:tcPr>
                <w:p w14:paraId="0EB64A0B">
                  <w:pPr>
                    <w:pStyle w:val="45"/>
                    <w:rPr>
                      <w:rFonts w:hint="default"/>
                      <w:b w:val="0"/>
                      <w:bCs w:val="0"/>
                      <w:u w:val="none"/>
                    </w:rPr>
                  </w:pPr>
                </w:p>
              </w:tc>
              <w:tc>
                <w:tcPr>
                  <w:tcW w:w="556" w:type="dxa"/>
                  <w:tcBorders>
                    <w:tl2br w:val="nil"/>
                    <w:tr2bl w:val="nil"/>
                  </w:tcBorders>
                  <w:vAlign w:val="center"/>
                </w:tcPr>
                <w:p w14:paraId="024336D5">
                  <w:pPr>
                    <w:pStyle w:val="45"/>
                    <w:rPr>
                      <w:rFonts w:hint="default"/>
                      <w:b w:val="0"/>
                      <w:bCs w:val="0"/>
                      <w:u w:val="none"/>
                    </w:rPr>
                  </w:pPr>
                  <w:r>
                    <w:rPr>
                      <w:rFonts w:hint="default"/>
                      <w:b w:val="0"/>
                      <w:bCs w:val="0"/>
                      <w:u w:val="none"/>
                    </w:rPr>
                    <w:t>污染治理设施编号</w:t>
                  </w:r>
                </w:p>
              </w:tc>
              <w:tc>
                <w:tcPr>
                  <w:tcW w:w="556" w:type="dxa"/>
                  <w:tcBorders>
                    <w:tl2br w:val="nil"/>
                    <w:tr2bl w:val="nil"/>
                  </w:tcBorders>
                  <w:vAlign w:val="center"/>
                </w:tcPr>
                <w:p w14:paraId="679B2AA5">
                  <w:pPr>
                    <w:pStyle w:val="45"/>
                    <w:rPr>
                      <w:rFonts w:hint="default"/>
                      <w:b w:val="0"/>
                      <w:bCs w:val="0"/>
                      <w:u w:val="none"/>
                    </w:rPr>
                  </w:pPr>
                  <w:r>
                    <w:rPr>
                      <w:rFonts w:hint="default"/>
                      <w:b w:val="0"/>
                      <w:bCs w:val="0"/>
                      <w:u w:val="none"/>
                    </w:rPr>
                    <w:t>污染治理设施名称</w:t>
                  </w:r>
                </w:p>
              </w:tc>
              <w:tc>
                <w:tcPr>
                  <w:tcW w:w="553" w:type="dxa"/>
                  <w:tcBorders>
                    <w:tl2br w:val="nil"/>
                    <w:tr2bl w:val="nil"/>
                  </w:tcBorders>
                  <w:vAlign w:val="center"/>
                </w:tcPr>
                <w:p w14:paraId="46BFEEA9">
                  <w:pPr>
                    <w:pStyle w:val="45"/>
                    <w:rPr>
                      <w:rFonts w:hint="default"/>
                      <w:b w:val="0"/>
                      <w:bCs w:val="0"/>
                      <w:u w:val="none"/>
                    </w:rPr>
                  </w:pPr>
                  <w:r>
                    <w:rPr>
                      <w:rFonts w:hint="default"/>
                      <w:b w:val="0"/>
                      <w:bCs w:val="0"/>
                      <w:u w:val="none"/>
                    </w:rPr>
                    <w:t>污染治理设施工艺</w:t>
                  </w:r>
                </w:p>
              </w:tc>
              <w:tc>
                <w:tcPr>
                  <w:tcW w:w="638" w:type="dxa"/>
                  <w:vMerge w:val="continue"/>
                  <w:tcBorders>
                    <w:tl2br w:val="nil"/>
                    <w:tr2bl w:val="nil"/>
                  </w:tcBorders>
                  <w:vAlign w:val="center"/>
                </w:tcPr>
                <w:p w14:paraId="4C339765">
                  <w:pPr>
                    <w:pStyle w:val="45"/>
                    <w:rPr>
                      <w:rFonts w:hint="default"/>
                      <w:b w:val="0"/>
                      <w:bCs w:val="0"/>
                      <w:u w:val="none"/>
                    </w:rPr>
                  </w:pPr>
                </w:p>
              </w:tc>
              <w:tc>
                <w:tcPr>
                  <w:tcW w:w="502" w:type="dxa"/>
                  <w:vMerge w:val="continue"/>
                  <w:tcBorders>
                    <w:tl2br w:val="nil"/>
                    <w:tr2bl w:val="nil"/>
                  </w:tcBorders>
                  <w:vAlign w:val="center"/>
                </w:tcPr>
                <w:p w14:paraId="7243DAE6">
                  <w:pPr>
                    <w:pStyle w:val="45"/>
                    <w:rPr>
                      <w:rFonts w:hint="default"/>
                      <w:b w:val="0"/>
                      <w:bCs w:val="0"/>
                      <w:u w:val="none"/>
                    </w:rPr>
                  </w:pPr>
                </w:p>
              </w:tc>
              <w:tc>
                <w:tcPr>
                  <w:tcW w:w="443" w:type="dxa"/>
                  <w:vMerge w:val="continue"/>
                  <w:tcBorders>
                    <w:tl2br w:val="nil"/>
                    <w:tr2bl w:val="nil"/>
                  </w:tcBorders>
                  <w:vAlign w:val="center"/>
                </w:tcPr>
                <w:p w14:paraId="3031A842">
                  <w:pPr>
                    <w:pStyle w:val="45"/>
                    <w:rPr>
                      <w:rFonts w:hint="default"/>
                      <w:b w:val="0"/>
                      <w:bCs w:val="0"/>
                      <w:u w:val="none"/>
                    </w:rPr>
                  </w:pPr>
                </w:p>
              </w:tc>
            </w:tr>
            <w:tr w14:paraId="4ABD01A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6" w:type="dxa"/>
                  <w:tcBorders>
                    <w:tl2br w:val="nil"/>
                    <w:tr2bl w:val="nil"/>
                  </w:tcBorders>
                  <w:vAlign w:val="center"/>
                </w:tcPr>
                <w:p w14:paraId="2B67AA41">
                  <w:pPr>
                    <w:pStyle w:val="45"/>
                    <w:rPr>
                      <w:rFonts w:hint="default"/>
                      <w:b w:val="0"/>
                      <w:bCs w:val="0"/>
                      <w:u w:val="none"/>
                    </w:rPr>
                  </w:pPr>
                  <w:r>
                    <w:rPr>
                      <w:rFonts w:hint="default"/>
                      <w:b w:val="0"/>
                      <w:bCs w:val="0"/>
                      <w:u w:val="none"/>
                    </w:rPr>
                    <w:t>1</w:t>
                  </w:r>
                </w:p>
              </w:tc>
              <w:tc>
                <w:tcPr>
                  <w:tcW w:w="339" w:type="dxa"/>
                  <w:tcBorders>
                    <w:tl2br w:val="nil"/>
                    <w:tr2bl w:val="nil"/>
                  </w:tcBorders>
                  <w:vAlign w:val="center"/>
                </w:tcPr>
                <w:p w14:paraId="42FB4260">
                  <w:pPr>
                    <w:pStyle w:val="45"/>
                    <w:rPr>
                      <w:rFonts w:hint="default"/>
                      <w:b w:val="0"/>
                      <w:bCs w:val="0"/>
                      <w:u w:val="none"/>
                    </w:rPr>
                  </w:pPr>
                  <w:r>
                    <w:rPr>
                      <w:b w:val="0"/>
                      <w:bCs w:val="0"/>
                      <w:u w:val="none"/>
                    </w:rPr>
                    <w:t>生活污水</w:t>
                  </w:r>
                </w:p>
              </w:tc>
              <w:tc>
                <w:tcPr>
                  <w:tcW w:w="638" w:type="dxa"/>
                  <w:tcBorders>
                    <w:tl2br w:val="nil"/>
                    <w:tr2bl w:val="nil"/>
                  </w:tcBorders>
                  <w:vAlign w:val="center"/>
                </w:tcPr>
                <w:p w14:paraId="3C2E30A5">
                  <w:pPr>
                    <w:pStyle w:val="45"/>
                    <w:rPr>
                      <w:rFonts w:hint="default"/>
                      <w:b w:val="0"/>
                      <w:bCs w:val="0"/>
                      <w:u w:val="none"/>
                    </w:rPr>
                  </w:pPr>
                  <w:r>
                    <w:rPr>
                      <w:rFonts w:hint="default"/>
                      <w:b w:val="0"/>
                      <w:bCs w:val="0"/>
                      <w:u w:val="none"/>
                    </w:rPr>
                    <w:t>COD、氨氮</w:t>
                  </w:r>
                </w:p>
              </w:tc>
              <w:tc>
                <w:tcPr>
                  <w:tcW w:w="1205" w:type="dxa"/>
                  <w:vMerge w:val="restart"/>
                  <w:tcBorders>
                    <w:tl2br w:val="nil"/>
                    <w:tr2bl w:val="nil"/>
                  </w:tcBorders>
                  <w:vAlign w:val="center"/>
                </w:tcPr>
                <w:p w14:paraId="530D06A0">
                  <w:pPr>
                    <w:pStyle w:val="45"/>
                    <w:rPr>
                      <w:rFonts w:hint="default"/>
                      <w:b w:val="0"/>
                      <w:bCs w:val="0"/>
                      <w:u w:val="none"/>
                    </w:rPr>
                  </w:pPr>
                  <w:r>
                    <w:rPr>
                      <w:rFonts w:hint="default"/>
                      <w:b w:val="0"/>
                      <w:bCs w:val="0"/>
                      <w:u w:val="none"/>
                    </w:rPr>
                    <w:t>经</w:t>
                  </w:r>
                  <w:r>
                    <w:rPr>
                      <w:b w:val="0"/>
                      <w:bCs w:val="0"/>
                      <w:u w:val="none"/>
                    </w:rPr>
                    <w:t>园区</w:t>
                  </w:r>
                  <w:r>
                    <w:rPr>
                      <w:rFonts w:hint="default"/>
                      <w:b w:val="0"/>
                      <w:bCs w:val="0"/>
                      <w:u w:val="none"/>
                    </w:rPr>
                    <w:t>污水管网排入</w:t>
                  </w:r>
                  <w:r>
                    <w:rPr>
                      <w:b w:val="0"/>
                      <w:bCs w:val="0"/>
                      <w:kern w:val="0"/>
                      <w:szCs w:val="18"/>
                      <w:u w:val="none"/>
                      <w:lang w:val="zh-CN"/>
                    </w:rPr>
                    <w:t>平顶山首创水务有限公司（平顶山市第三污水处理厂）</w:t>
                  </w:r>
                </w:p>
              </w:tc>
              <w:tc>
                <w:tcPr>
                  <w:tcW w:w="1750" w:type="dxa"/>
                  <w:vMerge w:val="restart"/>
                  <w:tcBorders>
                    <w:tl2br w:val="nil"/>
                    <w:tr2bl w:val="nil"/>
                  </w:tcBorders>
                  <w:vAlign w:val="center"/>
                </w:tcPr>
                <w:p w14:paraId="35C41C6A">
                  <w:pPr>
                    <w:pStyle w:val="45"/>
                    <w:rPr>
                      <w:rFonts w:hint="default"/>
                      <w:b w:val="0"/>
                      <w:bCs w:val="0"/>
                      <w:u w:val="none"/>
                    </w:rPr>
                  </w:pPr>
                  <w:r>
                    <w:rPr>
                      <w:b w:val="0"/>
                      <w:bCs w:val="0"/>
                      <w:szCs w:val="18"/>
                      <w:u w:val="none"/>
                    </w:rPr>
                    <w:t>连续排放，流量不稳定，但有规律，且不属于周期性规律</w:t>
                  </w:r>
                </w:p>
              </w:tc>
              <w:tc>
                <w:tcPr>
                  <w:tcW w:w="556" w:type="dxa"/>
                  <w:tcBorders>
                    <w:tl2br w:val="nil"/>
                    <w:tr2bl w:val="nil"/>
                  </w:tcBorders>
                  <w:vAlign w:val="center"/>
                </w:tcPr>
                <w:p w14:paraId="3F82E4C0">
                  <w:pPr>
                    <w:pStyle w:val="45"/>
                    <w:rPr>
                      <w:rFonts w:hint="default"/>
                      <w:b w:val="0"/>
                      <w:bCs w:val="0"/>
                      <w:u w:val="none"/>
                    </w:rPr>
                  </w:pPr>
                  <w:r>
                    <w:rPr>
                      <w:rFonts w:hint="default"/>
                      <w:b w:val="0"/>
                      <w:bCs w:val="0"/>
                      <w:u w:val="none"/>
                    </w:rPr>
                    <w:t>/</w:t>
                  </w:r>
                </w:p>
              </w:tc>
              <w:tc>
                <w:tcPr>
                  <w:tcW w:w="556" w:type="dxa"/>
                  <w:tcBorders>
                    <w:tl2br w:val="nil"/>
                    <w:tr2bl w:val="nil"/>
                  </w:tcBorders>
                  <w:vAlign w:val="center"/>
                </w:tcPr>
                <w:p w14:paraId="1B8E7637">
                  <w:pPr>
                    <w:pStyle w:val="45"/>
                    <w:rPr>
                      <w:rFonts w:hint="default"/>
                      <w:b w:val="0"/>
                      <w:bCs w:val="0"/>
                      <w:u w:val="none"/>
                    </w:rPr>
                  </w:pPr>
                  <w:r>
                    <w:rPr>
                      <w:b w:val="0"/>
                      <w:bCs w:val="0"/>
                      <w:u w:val="none"/>
                    </w:rPr>
                    <w:t>化粪池</w:t>
                  </w:r>
                </w:p>
              </w:tc>
              <w:tc>
                <w:tcPr>
                  <w:tcW w:w="553" w:type="dxa"/>
                  <w:tcBorders>
                    <w:tl2br w:val="nil"/>
                    <w:tr2bl w:val="nil"/>
                  </w:tcBorders>
                  <w:vAlign w:val="center"/>
                </w:tcPr>
                <w:p w14:paraId="4359D500">
                  <w:pPr>
                    <w:pStyle w:val="45"/>
                    <w:rPr>
                      <w:rFonts w:hint="default"/>
                      <w:b w:val="0"/>
                      <w:bCs w:val="0"/>
                      <w:u w:val="none"/>
                    </w:rPr>
                  </w:pPr>
                  <w:r>
                    <w:rPr>
                      <w:rFonts w:hint="default"/>
                      <w:b w:val="0"/>
                      <w:bCs w:val="0"/>
                      <w:u w:val="none"/>
                    </w:rPr>
                    <w:t>/</w:t>
                  </w:r>
                </w:p>
              </w:tc>
              <w:tc>
                <w:tcPr>
                  <w:tcW w:w="638" w:type="dxa"/>
                  <w:tcBorders>
                    <w:tl2br w:val="nil"/>
                    <w:tr2bl w:val="nil"/>
                  </w:tcBorders>
                  <w:vAlign w:val="center"/>
                </w:tcPr>
                <w:p w14:paraId="684D439A">
                  <w:pPr>
                    <w:pStyle w:val="45"/>
                    <w:rPr>
                      <w:rFonts w:hint="default"/>
                      <w:b w:val="0"/>
                      <w:bCs w:val="0"/>
                      <w:u w:val="none"/>
                    </w:rPr>
                  </w:pPr>
                  <w:r>
                    <w:rPr>
                      <w:rFonts w:hint="default"/>
                      <w:b w:val="0"/>
                      <w:bCs w:val="0"/>
                      <w:u w:val="none"/>
                    </w:rPr>
                    <w:t>DW001</w:t>
                  </w:r>
                </w:p>
              </w:tc>
              <w:tc>
                <w:tcPr>
                  <w:tcW w:w="502" w:type="dxa"/>
                  <w:tcBorders>
                    <w:tl2br w:val="nil"/>
                    <w:tr2bl w:val="nil"/>
                  </w:tcBorders>
                  <w:vAlign w:val="center"/>
                </w:tcPr>
                <w:p w14:paraId="77276CA5">
                  <w:pPr>
                    <w:pStyle w:val="45"/>
                    <w:rPr>
                      <w:rFonts w:hint="default"/>
                      <w:b w:val="0"/>
                      <w:bCs w:val="0"/>
                      <w:u w:val="none"/>
                    </w:rPr>
                  </w:pPr>
                  <w:r>
                    <w:rPr>
                      <w:rFonts w:hint="eastAsia"/>
                      <w:b w:val="0"/>
                      <w:bCs w:val="0"/>
                      <w:u w:val="none"/>
                      <w:lang w:eastAsia="zh-CN"/>
                    </w:rPr>
                    <w:t>企业</w:t>
                  </w:r>
                  <w:r>
                    <w:rPr>
                      <w:b w:val="0"/>
                      <w:bCs w:val="0"/>
                      <w:u w:val="none"/>
                    </w:rPr>
                    <w:t>总排口</w:t>
                  </w:r>
                </w:p>
              </w:tc>
              <w:tc>
                <w:tcPr>
                  <w:tcW w:w="443" w:type="dxa"/>
                  <w:vMerge w:val="restart"/>
                  <w:tcBorders>
                    <w:tl2br w:val="nil"/>
                    <w:tr2bl w:val="nil"/>
                  </w:tcBorders>
                  <w:vAlign w:val="center"/>
                </w:tcPr>
                <w:p w14:paraId="3E7FDFE4">
                  <w:pPr>
                    <w:pStyle w:val="45"/>
                    <w:rPr>
                      <w:rFonts w:hint="default"/>
                      <w:b w:val="0"/>
                      <w:bCs w:val="0"/>
                      <w:u w:val="none"/>
                    </w:rPr>
                  </w:pPr>
                  <w:r>
                    <w:rPr>
                      <w:b w:val="0"/>
                      <w:bCs w:val="0"/>
                      <w:u w:val="none"/>
                    </w:rPr>
                    <w:t>一</w:t>
                  </w:r>
                  <w:r>
                    <w:rPr>
                      <w:rFonts w:hint="default"/>
                      <w:b w:val="0"/>
                      <w:bCs w:val="0"/>
                      <w:u w:val="none"/>
                    </w:rPr>
                    <w:t>排放口类型</w:t>
                  </w:r>
                </w:p>
              </w:tc>
            </w:tr>
            <w:tr w14:paraId="2141463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26" w:type="dxa"/>
                  <w:tcBorders>
                    <w:tl2br w:val="nil"/>
                    <w:tr2bl w:val="nil"/>
                  </w:tcBorders>
                  <w:vAlign w:val="center"/>
                </w:tcPr>
                <w:p w14:paraId="4FF60723">
                  <w:pPr>
                    <w:pStyle w:val="45"/>
                    <w:rPr>
                      <w:rFonts w:hint="default"/>
                      <w:b w:val="0"/>
                      <w:bCs w:val="0"/>
                      <w:u w:val="none"/>
                    </w:rPr>
                  </w:pPr>
                  <w:r>
                    <w:rPr>
                      <w:b w:val="0"/>
                      <w:bCs w:val="0"/>
                      <w:u w:val="none"/>
                    </w:rPr>
                    <w:t>2</w:t>
                  </w:r>
                </w:p>
              </w:tc>
              <w:tc>
                <w:tcPr>
                  <w:tcW w:w="339" w:type="dxa"/>
                  <w:tcBorders>
                    <w:tl2br w:val="nil"/>
                    <w:tr2bl w:val="nil"/>
                  </w:tcBorders>
                  <w:vAlign w:val="center"/>
                </w:tcPr>
                <w:p w14:paraId="2C7CB9E2">
                  <w:pPr>
                    <w:pStyle w:val="45"/>
                    <w:rPr>
                      <w:rFonts w:hint="default"/>
                      <w:b w:val="0"/>
                      <w:bCs w:val="0"/>
                      <w:u w:val="none"/>
                    </w:rPr>
                  </w:pPr>
                  <w:r>
                    <w:rPr>
                      <w:b w:val="0"/>
                      <w:bCs w:val="0"/>
                      <w:u w:val="none"/>
                    </w:rPr>
                    <w:t>循环冷却水</w:t>
                  </w:r>
                </w:p>
              </w:tc>
              <w:tc>
                <w:tcPr>
                  <w:tcW w:w="638" w:type="dxa"/>
                  <w:tcBorders>
                    <w:tl2br w:val="nil"/>
                    <w:tr2bl w:val="nil"/>
                  </w:tcBorders>
                  <w:vAlign w:val="center"/>
                </w:tcPr>
                <w:p w14:paraId="47F3E9B8">
                  <w:pPr>
                    <w:pStyle w:val="45"/>
                    <w:rPr>
                      <w:rFonts w:hint="default"/>
                      <w:b w:val="0"/>
                      <w:bCs w:val="0"/>
                      <w:u w:val="none"/>
                    </w:rPr>
                  </w:pPr>
                  <w:r>
                    <w:rPr>
                      <w:b w:val="0"/>
                      <w:bCs w:val="0"/>
                      <w:u w:val="none"/>
                    </w:rPr>
                    <w:t>COD、SS</w:t>
                  </w:r>
                </w:p>
              </w:tc>
              <w:tc>
                <w:tcPr>
                  <w:tcW w:w="1205" w:type="dxa"/>
                  <w:vMerge w:val="continue"/>
                  <w:tcBorders>
                    <w:tl2br w:val="nil"/>
                    <w:tr2bl w:val="nil"/>
                  </w:tcBorders>
                  <w:vAlign w:val="center"/>
                </w:tcPr>
                <w:p w14:paraId="735A10C8">
                  <w:pPr>
                    <w:pStyle w:val="45"/>
                    <w:rPr>
                      <w:rFonts w:hint="default"/>
                      <w:b w:val="0"/>
                      <w:bCs w:val="0"/>
                      <w:u w:val="none"/>
                    </w:rPr>
                  </w:pPr>
                </w:p>
              </w:tc>
              <w:tc>
                <w:tcPr>
                  <w:tcW w:w="1750" w:type="dxa"/>
                  <w:vMerge w:val="continue"/>
                  <w:tcBorders>
                    <w:tl2br w:val="nil"/>
                    <w:tr2bl w:val="nil"/>
                  </w:tcBorders>
                  <w:vAlign w:val="center"/>
                </w:tcPr>
                <w:p w14:paraId="6142B9CC">
                  <w:pPr>
                    <w:pStyle w:val="45"/>
                    <w:rPr>
                      <w:rFonts w:hint="default"/>
                      <w:b w:val="0"/>
                      <w:bCs w:val="0"/>
                      <w:u w:val="none"/>
                    </w:rPr>
                  </w:pPr>
                </w:p>
              </w:tc>
              <w:tc>
                <w:tcPr>
                  <w:tcW w:w="556" w:type="dxa"/>
                  <w:tcBorders>
                    <w:tl2br w:val="nil"/>
                    <w:tr2bl w:val="nil"/>
                  </w:tcBorders>
                  <w:vAlign w:val="center"/>
                </w:tcPr>
                <w:p w14:paraId="57DEABBD">
                  <w:pPr>
                    <w:pStyle w:val="45"/>
                    <w:rPr>
                      <w:rFonts w:hint="default"/>
                      <w:b w:val="0"/>
                      <w:bCs w:val="0"/>
                      <w:u w:val="none"/>
                    </w:rPr>
                  </w:pPr>
                  <w:r>
                    <w:rPr>
                      <w:b w:val="0"/>
                      <w:bCs w:val="0"/>
                      <w:u w:val="none"/>
                    </w:rPr>
                    <w:t>/</w:t>
                  </w:r>
                </w:p>
              </w:tc>
              <w:tc>
                <w:tcPr>
                  <w:tcW w:w="556" w:type="dxa"/>
                  <w:tcBorders>
                    <w:tl2br w:val="nil"/>
                    <w:tr2bl w:val="nil"/>
                  </w:tcBorders>
                  <w:vAlign w:val="center"/>
                </w:tcPr>
                <w:p w14:paraId="146F4954">
                  <w:pPr>
                    <w:pStyle w:val="45"/>
                    <w:rPr>
                      <w:rFonts w:hint="default"/>
                      <w:b w:val="0"/>
                      <w:bCs w:val="0"/>
                      <w:u w:val="none"/>
                    </w:rPr>
                  </w:pPr>
                  <w:r>
                    <w:rPr>
                      <w:b w:val="0"/>
                      <w:bCs w:val="0"/>
                      <w:u w:val="none"/>
                    </w:rPr>
                    <w:t>/</w:t>
                  </w:r>
                </w:p>
              </w:tc>
              <w:tc>
                <w:tcPr>
                  <w:tcW w:w="553" w:type="dxa"/>
                  <w:tcBorders>
                    <w:tl2br w:val="nil"/>
                    <w:tr2bl w:val="nil"/>
                  </w:tcBorders>
                  <w:vAlign w:val="center"/>
                </w:tcPr>
                <w:p w14:paraId="0C5CE2ED">
                  <w:pPr>
                    <w:pStyle w:val="45"/>
                    <w:rPr>
                      <w:rFonts w:hint="default"/>
                      <w:b w:val="0"/>
                      <w:bCs w:val="0"/>
                      <w:u w:val="none"/>
                    </w:rPr>
                  </w:pPr>
                  <w:r>
                    <w:rPr>
                      <w:b w:val="0"/>
                      <w:bCs w:val="0"/>
                      <w:u w:val="none"/>
                    </w:rPr>
                    <w:t>/</w:t>
                  </w:r>
                </w:p>
              </w:tc>
              <w:tc>
                <w:tcPr>
                  <w:tcW w:w="638" w:type="dxa"/>
                  <w:tcBorders>
                    <w:tl2br w:val="nil"/>
                    <w:tr2bl w:val="nil"/>
                  </w:tcBorders>
                  <w:vAlign w:val="center"/>
                </w:tcPr>
                <w:p w14:paraId="627A558B">
                  <w:pPr>
                    <w:pStyle w:val="45"/>
                    <w:rPr>
                      <w:rFonts w:hint="eastAsia" w:eastAsia="宋体"/>
                      <w:b w:val="0"/>
                      <w:bCs w:val="0"/>
                      <w:u w:val="none"/>
                      <w:lang w:eastAsia="zh-CN"/>
                    </w:rPr>
                  </w:pPr>
                  <w:r>
                    <w:rPr>
                      <w:rFonts w:hint="default"/>
                      <w:b w:val="0"/>
                      <w:bCs w:val="0"/>
                      <w:u w:val="none"/>
                    </w:rPr>
                    <w:t>DW00</w:t>
                  </w:r>
                  <w:r>
                    <w:rPr>
                      <w:rFonts w:hint="eastAsia"/>
                      <w:b w:val="0"/>
                      <w:bCs w:val="0"/>
                      <w:u w:val="none"/>
                      <w:lang w:val="en-US" w:eastAsia="zh-CN"/>
                    </w:rPr>
                    <w:t>2</w:t>
                  </w:r>
                </w:p>
              </w:tc>
              <w:tc>
                <w:tcPr>
                  <w:tcW w:w="502" w:type="dxa"/>
                  <w:tcBorders>
                    <w:tl2br w:val="nil"/>
                    <w:tr2bl w:val="nil"/>
                  </w:tcBorders>
                  <w:vAlign w:val="center"/>
                </w:tcPr>
                <w:p w14:paraId="0A309F39">
                  <w:pPr>
                    <w:pStyle w:val="45"/>
                    <w:rPr>
                      <w:rFonts w:hint="eastAsia" w:eastAsia="宋体"/>
                      <w:b w:val="0"/>
                      <w:bCs w:val="0"/>
                      <w:u w:val="none"/>
                      <w:lang w:eastAsia="zh-CN"/>
                    </w:rPr>
                  </w:pPr>
                  <w:r>
                    <w:rPr>
                      <w:rFonts w:hint="eastAsia"/>
                      <w:b w:val="0"/>
                      <w:bCs w:val="0"/>
                      <w:u w:val="none"/>
                      <w:lang w:eastAsia="zh-CN"/>
                    </w:rPr>
                    <w:t>清净下水排放口</w:t>
                  </w:r>
                </w:p>
              </w:tc>
              <w:tc>
                <w:tcPr>
                  <w:tcW w:w="443" w:type="dxa"/>
                  <w:vMerge w:val="continue"/>
                  <w:tcBorders>
                    <w:tl2br w:val="nil"/>
                    <w:tr2bl w:val="nil"/>
                  </w:tcBorders>
                  <w:vAlign w:val="center"/>
                </w:tcPr>
                <w:p w14:paraId="06590C80">
                  <w:pPr>
                    <w:pStyle w:val="45"/>
                    <w:rPr>
                      <w:rFonts w:hint="default"/>
                      <w:b w:val="0"/>
                      <w:bCs w:val="0"/>
                      <w:u w:val="none"/>
                    </w:rPr>
                  </w:pPr>
                </w:p>
              </w:tc>
            </w:tr>
          </w:tbl>
          <w:p w14:paraId="602FA344">
            <w:pPr>
              <w:pStyle w:val="5"/>
              <w:rPr>
                <w:rFonts w:hint="default"/>
                <w:b w:val="0"/>
                <w:bCs w:val="0"/>
                <w:u w:val="none"/>
              </w:rPr>
            </w:pPr>
            <w:r>
              <w:rPr>
                <w:b w:val="0"/>
                <w:bCs w:val="0"/>
                <w:u w:val="none"/>
              </w:rPr>
              <w:t>（2）</w:t>
            </w:r>
            <w:r>
              <w:rPr>
                <w:rFonts w:hint="default"/>
                <w:b w:val="0"/>
                <w:bCs w:val="0"/>
                <w:u w:val="none"/>
              </w:rPr>
              <w:t>废水排放口基本情况</w:t>
            </w:r>
          </w:p>
          <w:p w14:paraId="1E974823">
            <w:pPr>
              <w:pStyle w:val="44"/>
              <w:numPr>
                <w:ilvl w:val="0"/>
                <w:numId w:val="2"/>
              </w:numPr>
              <w:rPr>
                <w:rFonts w:hint="default"/>
                <w:b w:val="0"/>
                <w:bCs w:val="0"/>
                <w:u w:val="none"/>
              </w:rPr>
            </w:pPr>
            <w:r>
              <w:rPr>
                <w:rFonts w:hint="default"/>
                <w:b w:val="0"/>
                <w:bCs w:val="0"/>
                <w:u w:val="none"/>
              </w:rPr>
              <w:t>废水间接排放口基本情况</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23"/>
              <w:gridCol w:w="558"/>
              <w:gridCol w:w="894"/>
              <w:gridCol w:w="928"/>
              <w:gridCol w:w="796"/>
              <w:gridCol w:w="874"/>
              <w:gridCol w:w="516"/>
              <w:gridCol w:w="449"/>
              <w:gridCol w:w="594"/>
              <w:gridCol w:w="540"/>
              <w:gridCol w:w="934"/>
            </w:tblGrid>
            <w:tr w14:paraId="1AF1914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8" w:type="dxa"/>
                  <w:vMerge w:val="restart"/>
                  <w:tcBorders>
                    <w:tl2br w:val="nil"/>
                    <w:tr2bl w:val="nil"/>
                  </w:tcBorders>
                  <w:vAlign w:val="center"/>
                </w:tcPr>
                <w:p w14:paraId="2CB737CA">
                  <w:pPr>
                    <w:pStyle w:val="45"/>
                    <w:rPr>
                      <w:rFonts w:hint="default"/>
                      <w:b w:val="0"/>
                      <w:bCs w:val="0"/>
                      <w:u w:val="none"/>
                    </w:rPr>
                  </w:pPr>
                  <w:r>
                    <w:rPr>
                      <w:rFonts w:hint="default"/>
                      <w:b w:val="0"/>
                      <w:bCs w:val="0"/>
                      <w:u w:val="none"/>
                    </w:rPr>
                    <w:t>序号</w:t>
                  </w:r>
                </w:p>
              </w:tc>
              <w:tc>
                <w:tcPr>
                  <w:tcW w:w="582" w:type="dxa"/>
                  <w:vMerge w:val="restart"/>
                  <w:tcBorders>
                    <w:tl2br w:val="nil"/>
                    <w:tr2bl w:val="nil"/>
                  </w:tcBorders>
                  <w:vAlign w:val="center"/>
                </w:tcPr>
                <w:p w14:paraId="0BE40864">
                  <w:pPr>
                    <w:pStyle w:val="45"/>
                    <w:rPr>
                      <w:rFonts w:hint="default"/>
                      <w:b w:val="0"/>
                      <w:bCs w:val="0"/>
                      <w:u w:val="none"/>
                    </w:rPr>
                  </w:pPr>
                  <w:r>
                    <w:rPr>
                      <w:rFonts w:hint="default"/>
                      <w:b w:val="0"/>
                      <w:bCs w:val="0"/>
                      <w:u w:val="none"/>
                    </w:rPr>
                    <w:t>排放口编号</w:t>
                  </w:r>
                </w:p>
              </w:tc>
              <w:tc>
                <w:tcPr>
                  <w:tcW w:w="1903" w:type="dxa"/>
                  <w:gridSpan w:val="2"/>
                  <w:tcBorders>
                    <w:tl2br w:val="nil"/>
                    <w:tr2bl w:val="nil"/>
                  </w:tcBorders>
                  <w:vAlign w:val="center"/>
                </w:tcPr>
                <w:p w14:paraId="4622AD29">
                  <w:pPr>
                    <w:pStyle w:val="45"/>
                    <w:rPr>
                      <w:rFonts w:hint="default"/>
                      <w:b w:val="0"/>
                      <w:bCs w:val="0"/>
                      <w:u w:val="none"/>
                    </w:rPr>
                  </w:pPr>
                  <w:r>
                    <w:rPr>
                      <w:rFonts w:hint="default"/>
                      <w:b w:val="0"/>
                      <w:bCs w:val="0"/>
                      <w:u w:val="none"/>
                    </w:rPr>
                    <w:t>排放口地理坐标</w:t>
                  </w:r>
                </w:p>
              </w:tc>
              <w:tc>
                <w:tcPr>
                  <w:tcW w:w="831" w:type="dxa"/>
                  <w:vMerge w:val="restart"/>
                  <w:tcBorders>
                    <w:tl2br w:val="nil"/>
                    <w:tr2bl w:val="nil"/>
                  </w:tcBorders>
                  <w:vAlign w:val="center"/>
                </w:tcPr>
                <w:p w14:paraId="3B59C6A7">
                  <w:pPr>
                    <w:pStyle w:val="45"/>
                    <w:rPr>
                      <w:rFonts w:hint="default"/>
                      <w:b w:val="0"/>
                      <w:bCs w:val="0"/>
                      <w:u w:val="none"/>
                    </w:rPr>
                  </w:pPr>
                  <w:r>
                    <w:rPr>
                      <w:rFonts w:hint="default"/>
                      <w:b w:val="0"/>
                      <w:bCs w:val="0"/>
                      <w:u w:val="none"/>
                    </w:rPr>
                    <w:t>废水排放量/（t/a）</w:t>
                  </w:r>
                </w:p>
              </w:tc>
              <w:tc>
                <w:tcPr>
                  <w:tcW w:w="913" w:type="dxa"/>
                  <w:vMerge w:val="restart"/>
                  <w:tcBorders>
                    <w:tl2br w:val="nil"/>
                    <w:tr2bl w:val="nil"/>
                  </w:tcBorders>
                  <w:vAlign w:val="center"/>
                </w:tcPr>
                <w:p w14:paraId="7E26B674">
                  <w:pPr>
                    <w:pStyle w:val="45"/>
                    <w:rPr>
                      <w:rFonts w:hint="default"/>
                      <w:b w:val="0"/>
                      <w:bCs w:val="0"/>
                      <w:u w:val="none"/>
                    </w:rPr>
                  </w:pPr>
                  <w:r>
                    <w:rPr>
                      <w:rFonts w:hint="default"/>
                      <w:b w:val="0"/>
                      <w:bCs w:val="0"/>
                      <w:u w:val="none"/>
                    </w:rPr>
                    <w:t>排放去向</w:t>
                  </w:r>
                </w:p>
              </w:tc>
              <w:tc>
                <w:tcPr>
                  <w:tcW w:w="538" w:type="dxa"/>
                  <w:vMerge w:val="restart"/>
                  <w:tcBorders>
                    <w:tl2br w:val="nil"/>
                    <w:tr2bl w:val="nil"/>
                  </w:tcBorders>
                  <w:vAlign w:val="center"/>
                </w:tcPr>
                <w:p w14:paraId="2E326C6A">
                  <w:pPr>
                    <w:pStyle w:val="45"/>
                    <w:rPr>
                      <w:rFonts w:hint="default"/>
                      <w:b w:val="0"/>
                      <w:bCs w:val="0"/>
                      <w:u w:val="none"/>
                    </w:rPr>
                  </w:pPr>
                  <w:r>
                    <w:rPr>
                      <w:rFonts w:hint="default"/>
                      <w:b w:val="0"/>
                      <w:bCs w:val="0"/>
                      <w:u w:val="none"/>
                    </w:rPr>
                    <w:t>排放规律</w:t>
                  </w:r>
                </w:p>
              </w:tc>
              <w:tc>
                <w:tcPr>
                  <w:tcW w:w="468" w:type="dxa"/>
                  <w:vMerge w:val="restart"/>
                  <w:tcBorders>
                    <w:tl2br w:val="nil"/>
                    <w:tr2bl w:val="nil"/>
                  </w:tcBorders>
                  <w:vAlign w:val="center"/>
                </w:tcPr>
                <w:p w14:paraId="5F75E41D">
                  <w:pPr>
                    <w:pStyle w:val="45"/>
                    <w:rPr>
                      <w:rFonts w:hint="default"/>
                      <w:b w:val="0"/>
                      <w:bCs w:val="0"/>
                      <w:u w:val="none"/>
                    </w:rPr>
                  </w:pPr>
                  <w:r>
                    <w:rPr>
                      <w:rFonts w:hint="default"/>
                      <w:b w:val="0"/>
                      <w:bCs w:val="0"/>
                      <w:u w:val="none"/>
                    </w:rPr>
                    <w:t>间歇排放时间段</w:t>
                  </w:r>
                </w:p>
              </w:tc>
              <w:tc>
                <w:tcPr>
                  <w:tcW w:w="2159" w:type="dxa"/>
                  <w:gridSpan w:val="3"/>
                  <w:tcBorders>
                    <w:tl2br w:val="nil"/>
                    <w:tr2bl w:val="nil"/>
                  </w:tcBorders>
                  <w:vAlign w:val="center"/>
                </w:tcPr>
                <w:p w14:paraId="48BD22EC">
                  <w:pPr>
                    <w:pStyle w:val="45"/>
                    <w:rPr>
                      <w:rFonts w:hint="default"/>
                      <w:b w:val="0"/>
                      <w:bCs w:val="0"/>
                      <w:u w:val="none"/>
                    </w:rPr>
                  </w:pPr>
                  <w:r>
                    <w:rPr>
                      <w:rFonts w:hint="default"/>
                      <w:b w:val="0"/>
                      <w:bCs w:val="0"/>
                      <w:u w:val="none"/>
                    </w:rPr>
                    <w:t>受纳污水处理厂信息</w:t>
                  </w:r>
                </w:p>
              </w:tc>
            </w:tr>
            <w:tr w14:paraId="31B0A4A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8" w:type="dxa"/>
                  <w:vMerge w:val="continue"/>
                  <w:tcBorders>
                    <w:tl2br w:val="nil"/>
                    <w:tr2bl w:val="nil"/>
                  </w:tcBorders>
                  <w:vAlign w:val="center"/>
                </w:tcPr>
                <w:p w14:paraId="405F0697">
                  <w:pPr>
                    <w:pStyle w:val="45"/>
                    <w:rPr>
                      <w:rFonts w:hint="default"/>
                      <w:b w:val="0"/>
                      <w:bCs w:val="0"/>
                      <w:u w:val="none"/>
                    </w:rPr>
                  </w:pPr>
                </w:p>
              </w:tc>
              <w:tc>
                <w:tcPr>
                  <w:tcW w:w="582" w:type="dxa"/>
                  <w:vMerge w:val="continue"/>
                  <w:tcBorders>
                    <w:tl2br w:val="nil"/>
                    <w:tr2bl w:val="nil"/>
                  </w:tcBorders>
                  <w:vAlign w:val="center"/>
                </w:tcPr>
                <w:p w14:paraId="188CB8BB">
                  <w:pPr>
                    <w:pStyle w:val="45"/>
                    <w:rPr>
                      <w:rFonts w:hint="default"/>
                      <w:b w:val="0"/>
                      <w:bCs w:val="0"/>
                      <w:u w:val="none"/>
                    </w:rPr>
                  </w:pPr>
                </w:p>
              </w:tc>
              <w:tc>
                <w:tcPr>
                  <w:tcW w:w="934" w:type="dxa"/>
                  <w:tcBorders>
                    <w:tl2br w:val="nil"/>
                    <w:tr2bl w:val="nil"/>
                  </w:tcBorders>
                  <w:vAlign w:val="center"/>
                </w:tcPr>
                <w:p w14:paraId="6997AAA8">
                  <w:pPr>
                    <w:pStyle w:val="45"/>
                    <w:rPr>
                      <w:rFonts w:hint="default"/>
                      <w:b w:val="0"/>
                      <w:bCs w:val="0"/>
                      <w:u w:val="none"/>
                    </w:rPr>
                  </w:pPr>
                  <w:r>
                    <w:rPr>
                      <w:rFonts w:hint="default"/>
                      <w:b w:val="0"/>
                      <w:bCs w:val="0"/>
                      <w:u w:val="none"/>
                    </w:rPr>
                    <w:t>经度</w:t>
                  </w:r>
                </w:p>
              </w:tc>
              <w:tc>
                <w:tcPr>
                  <w:tcW w:w="969" w:type="dxa"/>
                  <w:tcBorders>
                    <w:tl2br w:val="nil"/>
                    <w:tr2bl w:val="nil"/>
                  </w:tcBorders>
                  <w:vAlign w:val="center"/>
                </w:tcPr>
                <w:p w14:paraId="7A7AEF3B">
                  <w:pPr>
                    <w:pStyle w:val="45"/>
                    <w:rPr>
                      <w:rFonts w:hint="default"/>
                      <w:b w:val="0"/>
                      <w:bCs w:val="0"/>
                      <w:u w:val="none"/>
                    </w:rPr>
                  </w:pPr>
                  <w:r>
                    <w:rPr>
                      <w:rFonts w:hint="default"/>
                      <w:b w:val="0"/>
                      <w:bCs w:val="0"/>
                      <w:u w:val="none"/>
                    </w:rPr>
                    <w:t>纬度</w:t>
                  </w:r>
                </w:p>
              </w:tc>
              <w:tc>
                <w:tcPr>
                  <w:tcW w:w="831" w:type="dxa"/>
                  <w:vMerge w:val="continue"/>
                  <w:tcBorders>
                    <w:tl2br w:val="nil"/>
                    <w:tr2bl w:val="nil"/>
                  </w:tcBorders>
                  <w:vAlign w:val="center"/>
                </w:tcPr>
                <w:p w14:paraId="5938A278">
                  <w:pPr>
                    <w:pStyle w:val="45"/>
                    <w:rPr>
                      <w:rFonts w:hint="default"/>
                      <w:b w:val="0"/>
                      <w:bCs w:val="0"/>
                      <w:u w:val="none"/>
                    </w:rPr>
                  </w:pPr>
                </w:p>
              </w:tc>
              <w:tc>
                <w:tcPr>
                  <w:tcW w:w="913" w:type="dxa"/>
                  <w:vMerge w:val="continue"/>
                  <w:tcBorders>
                    <w:tl2br w:val="nil"/>
                    <w:tr2bl w:val="nil"/>
                  </w:tcBorders>
                  <w:vAlign w:val="center"/>
                </w:tcPr>
                <w:p w14:paraId="6CBDAF21">
                  <w:pPr>
                    <w:pStyle w:val="45"/>
                    <w:rPr>
                      <w:rFonts w:hint="default"/>
                      <w:b w:val="0"/>
                      <w:bCs w:val="0"/>
                      <w:u w:val="none"/>
                    </w:rPr>
                  </w:pPr>
                </w:p>
              </w:tc>
              <w:tc>
                <w:tcPr>
                  <w:tcW w:w="538" w:type="dxa"/>
                  <w:vMerge w:val="continue"/>
                  <w:tcBorders>
                    <w:tl2br w:val="nil"/>
                    <w:tr2bl w:val="nil"/>
                  </w:tcBorders>
                  <w:vAlign w:val="center"/>
                </w:tcPr>
                <w:p w14:paraId="43F48783">
                  <w:pPr>
                    <w:pStyle w:val="45"/>
                    <w:rPr>
                      <w:rFonts w:hint="default"/>
                      <w:b w:val="0"/>
                      <w:bCs w:val="0"/>
                      <w:u w:val="none"/>
                    </w:rPr>
                  </w:pPr>
                </w:p>
              </w:tc>
              <w:tc>
                <w:tcPr>
                  <w:tcW w:w="468" w:type="dxa"/>
                  <w:vMerge w:val="continue"/>
                  <w:tcBorders>
                    <w:tl2br w:val="nil"/>
                    <w:tr2bl w:val="nil"/>
                  </w:tcBorders>
                  <w:vAlign w:val="center"/>
                </w:tcPr>
                <w:p w14:paraId="16FF969E">
                  <w:pPr>
                    <w:pStyle w:val="45"/>
                    <w:rPr>
                      <w:rFonts w:hint="default"/>
                      <w:b w:val="0"/>
                      <w:bCs w:val="0"/>
                      <w:u w:val="none"/>
                    </w:rPr>
                  </w:pPr>
                </w:p>
              </w:tc>
              <w:tc>
                <w:tcPr>
                  <w:tcW w:w="620" w:type="dxa"/>
                  <w:tcBorders>
                    <w:tl2br w:val="nil"/>
                    <w:tr2bl w:val="nil"/>
                  </w:tcBorders>
                  <w:vAlign w:val="center"/>
                </w:tcPr>
                <w:p w14:paraId="6641DFB2">
                  <w:pPr>
                    <w:pStyle w:val="45"/>
                    <w:rPr>
                      <w:rFonts w:hint="default"/>
                      <w:b w:val="0"/>
                      <w:bCs w:val="0"/>
                      <w:u w:val="none"/>
                    </w:rPr>
                  </w:pPr>
                  <w:r>
                    <w:rPr>
                      <w:rFonts w:hint="default"/>
                      <w:b w:val="0"/>
                      <w:bCs w:val="0"/>
                      <w:u w:val="none"/>
                    </w:rPr>
                    <w:t>名称</w:t>
                  </w:r>
                </w:p>
              </w:tc>
              <w:tc>
                <w:tcPr>
                  <w:tcW w:w="563" w:type="dxa"/>
                  <w:tcBorders>
                    <w:tl2br w:val="nil"/>
                    <w:tr2bl w:val="nil"/>
                  </w:tcBorders>
                  <w:vAlign w:val="center"/>
                </w:tcPr>
                <w:p w14:paraId="082FA7A1">
                  <w:pPr>
                    <w:pStyle w:val="45"/>
                    <w:rPr>
                      <w:rFonts w:hint="default"/>
                      <w:b w:val="0"/>
                      <w:bCs w:val="0"/>
                      <w:u w:val="none"/>
                    </w:rPr>
                  </w:pPr>
                  <w:r>
                    <w:rPr>
                      <w:rFonts w:hint="default"/>
                      <w:b w:val="0"/>
                      <w:bCs w:val="0"/>
                      <w:u w:val="none"/>
                    </w:rPr>
                    <w:t>污染物种类</w:t>
                  </w:r>
                </w:p>
              </w:tc>
              <w:tc>
                <w:tcPr>
                  <w:tcW w:w="976" w:type="dxa"/>
                  <w:tcBorders>
                    <w:tl2br w:val="nil"/>
                    <w:tr2bl w:val="nil"/>
                  </w:tcBorders>
                  <w:vAlign w:val="center"/>
                </w:tcPr>
                <w:p w14:paraId="273E778C">
                  <w:pPr>
                    <w:pStyle w:val="45"/>
                    <w:rPr>
                      <w:rFonts w:hint="default"/>
                      <w:b w:val="0"/>
                      <w:bCs w:val="0"/>
                      <w:u w:val="none"/>
                    </w:rPr>
                  </w:pPr>
                  <w:r>
                    <w:rPr>
                      <w:rFonts w:hint="default"/>
                      <w:b w:val="0"/>
                      <w:bCs w:val="0"/>
                      <w:u w:val="none"/>
                    </w:rPr>
                    <w:t>国家或地方污染物排放标准浓度限</w:t>
                  </w:r>
                </w:p>
                <w:p w14:paraId="227D0835">
                  <w:pPr>
                    <w:pStyle w:val="45"/>
                    <w:rPr>
                      <w:rFonts w:hint="default"/>
                      <w:b w:val="0"/>
                      <w:bCs w:val="0"/>
                      <w:u w:val="none"/>
                    </w:rPr>
                  </w:pPr>
                  <w:r>
                    <w:rPr>
                      <w:rFonts w:hint="default"/>
                      <w:b w:val="0"/>
                      <w:bCs w:val="0"/>
                      <w:u w:val="none"/>
                    </w:rPr>
                    <w:t>值/（mg/L）</w:t>
                  </w:r>
                </w:p>
              </w:tc>
            </w:tr>
            <w:tr w14:paraId="086AAA7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8" w:type="dxa"/>
                  <w:vMerge w:val="restart"/>
                  <w:tcBorders>
                    <w:tl2br w:val="nil"/>
                    <w:tr2bl w:val="nil"/>
                  </w:tcBorders>
                  <w:vAlign w:val="center"/>
                </w:tcPr>
                <w:p w14:paraId="60A8AA59">
                  <w:pPr>
                    <w:pStyle w:val="45"/>
                    <w:rPr>
                      <w:rFonts w:hint="default"/>
                      <w:b w:val="0"/>
                      <w:bCs w:val="0"/>
                      <w:u w:val="none"/>
                    </w:rPr>
                  </w:pPr>
                  <w:r>
                    <w:rPr>
                      <w:rFonts w:hint="default"/>
                      <w:b w:val="0"/>
                      <w:bCs w:val="0"/>
                      <w:u w:val="none"/>
                    </w:rPr>
                    <w:t>1</w:t>
                  </w:r>
                </w:p>
              </w:tc>
              <w:tc>
                <w:tcPr>
                  <w:tcW w:w="582" w:type="dxa"/>
                  <w:vMerge w:val="restart"/>
                  <w:tcBorders>
                    <w:tl2br w:val="nil"/>
                    <w:tr2bl w:val="nil"/>
                  </w:tcBorders>
                  <w:vAlign w:val="center"/>
                </w:tcPr>
                <w:p w14:paraId="419C0DD2">
                  <w:pPr>
                    <w:pStyle w:val="45"/>
                    <w:rPr>
                      <w:rFonts w:hint="default"/>
                      <w:b w:val="0"/>
                      <w:bCs w:val="0"/>
                      <w:u w:val="none"/>
                    </w:rPr>
                  </w:pPr>
                  <w:r>
                    <w:rPr>
                      <w:rFonts w:hint="default"/>
                      <w:b w:val="0"/>
                      <w:bCs w:val="0"/>
                      <w:u w:val="none"/>
                    </w:rPr>
                    <w:t>DW001</w:t>
                  </w:r>
                </w:p>
              </w:tc>
              <w:tc>
                <w:tcPr>
                  <w:tcW w:w="934" w:type="dxa"/>
                  <w:vMerge w:val="restart"/>
                  <w:tcBorders>
                    <w:tl2br w:val="nil"/>
                    <w:tr2bl w:val="nil"/>
                  </w:tcBorders>
                  <w:vAlign w:val="center"/>
                </w:tcPr>
                <w:p w14:paraId="1ACB03F0">
                  <w:pPr>
                    <w:pStyle w:val="45"/>
                    <w:rPr>
                      <w:rFonts w:hint="default"/>
                      <w:b w:val="0"/>
                      <w:bCs w:val="0"/>
                      <w:u w:val="none"/>
                    </w:rPr>
                  </w:pPr>
                  <w:r>
                    <w:rPr>
                      <w:rFonts w:hint="default"/>
                      <w:b w:val="0"/>
                      <w:bCs w:val="0"/>
                      <w:u w:val="none"/>
                    </w:rPr>
                    <w:t>113°26'48.9475"</w:t>
                  </w:r>
                </w:p>
              </w:tc>
              <w:tc>
                <w:tcPr>
                  <w:tcW w:w="969" w:type="dxa"/>
                  <w:vMerge w:val="restart"/>
                  <w:tcBorders>
                    <w:tl2br w:val="nil"/>
                    <w:tr2bl w:val="nil"/>
                  </w:tcBorders>
                  <w:vAlign w:val="center"/>
                </w:tcPr>
                <w:p w14:paraId="7962CF12">
                  <w:pPr>
                    <w:pStyle w:val="45"/>
                    <w:rPr>
                      <w:rFonts w:hint="default"/>
                      <w:b w:val="0"/>
                      <w:bCs w:val="0"/>
                      <w:u w:val="none"/>
                    </w:rPr>
                  </w:pPr>
                  <w:r>
                    <w:rPr>
                      <w:rFonts w:hint="default"/>
                      <w:b w:val="0"/>
                      <w:bCs w:val="0"/>
                      <w:u w:val="none"/>
                    </w:rPr>
                    <w:t>33°40'34.3812"</w:t>
                  </w:r>
                </w:p>
              </w:tc>
              <w:tc>
                <w:tcPr>
                  <w:tcW w:w="831" w:type="dxa"/>
                  <w:vMerge w:val="restart"/>
                  <w:tcBorders>
                    <w:tl2br w:val="nil"/>
                    <w:tr2bl w:val="nil"/>
                  </w:tcBorders>
                  <w:vAlign w:val="center"/>
                </w:tcPr>
                <w:p w14:paraId="5EAEF147">
                  <w:pPr>
                    <w:pStyle w:val="45"/>
                    <w:rPr>
                      <w:rFonts w:hint="default"/>
                      <w:b w:val="0"/>
                      <w:bCs w:val="0"/>
                      <w:u w:val="none"/>
                    </w:rPr>
                  </w:pPr>
                  <w:r>
                    <w:rPr>
                      <w:b w:val="0"/>
                      <w:bCs w:val="0"/>
                      <w:u w:val="none"/>
                    </w:rPr>
                    <w:t>420</w:t>
                  </w:r>
                </w:p>
              </w:tc>
              <w:tc>
                <w:tcPr>
                  <w:tcW w:w="913" w:type="dxa"/>
                  <w:vMerge w:val="restart"/>
                  <w:tcBorders>
                    <w:tl2br w:val="nil"/>
                    <w:tr2bl w:val="nil"/>
                  </w:tcBorders>
                  <w:vAlign w:val="center"/>
                </w:tcPr>
                <w:p w14:paraId="786B27DA">
                  <w:pPr>
                    <w:pStyle w:val="45"/>
                    <w:rPr>
                      <w:rFonts w:hint="default"/>
                      <w:b w:val="0"/>
                      <w:bCs w:val="0"/>
                      <w:u w:val="none"/>
                    </w:rPr>
                  </w:pPr>
                  <w:r>
                    <w:rPr>
                      <w:b w:val="0"/>
                      <w:bCs w:val="0"/>
                      <w:kern w:val="0"/>
                      <w:szCs w:val="18"/>
                      <w:u w:val="none"/>
                      <w:lang w:val="zh-CN"/>
                    </w:rPr>
                    <w:t>平顶山首创水务有限公司（平顶山市第三污水处理厂）</w:t>
                  </w:r>
                </w:p>
              </w:tc>
              <w:tc>
                <w:tcPr>
                  <w:tcW w:w="538" w:type="dxa"/>
                  <w:vMerge w:val="restart"/>
                  <w:tcBorders>
                    <w:tl2br w:val="nil"/>
                    <w:tr2bl w:val="nil"/>
                  </w:tcBorders>
                  <w:vAlign w:val="center"/>
                </w:tcPr>
                <w:p w14:paraId="41E4C816">
                  <w:pPr>
                    <w:pStyle w:val="45"/>
                    <w:rPr>
                      <w:rFonts w:hint="default"/>
                      <w:b w:val="0"/>
                      <w:bCs w:val="0"/>
                      <w:u w:val="none"/>
                    </w:rPr>
                  </w:pPr>
                  <w:r>
                    <w:rPr>
                      <w:rFonts w:hint="default"/>
                      <w:b w:val="0"/>
                      <w:bCs w:val="0"/>
                      <w:u w:val="none"/>
                    </w:rPr>
                    <w:t>连续排放，流量不稳定，但有规律，且不属于周期性规律</w:t>
                  </w:r>
                </w:p>
              </w:tc>
              <w:tc>
                <w:tcPr>
                  <w:tcW w:w="468" w:type="dxa"/>
                  <w:vMerge w:val="restart"/>
                  <w:tcBorders>
                    <w:tl2br w:val="nil"/>
                    <w:tr2bl w:val="nil"/>
                  </w:tcBorders>
                  <w:vAlign w:val="center"/>
                </w:tcPr>
                <w:p w14:paraId="00DCD16F">
                  <w:pPr>
                    <w:pStyle w:val="45"/>
                    <w:rPr>
                      <w:rFonts w:hint="default"/>
                      <w:b w:val="0"/>
                      <w:bCs w:val="0"/>
                      <w:u w:val="none"/>
                    </w:rPr>
                  </w:pPr>
                  <w:r>
                    <w:rPr>
                      <w:rFonts w:hint="default"/>
                      <w:b w:val="0"/>
                      <w:bCs w:val="0"/>
                      <w:u w:val="none"/>
                    </w:rPr>
                    <w:t>/</w:t>
                  </w:r>
                </w:p>
              </w:tc>
              <w:tc>
                <w:tcPr>
                  <w:tcW w:w="620" w:type="dxa"/>
                  <w:vMerge w:val="restart"/>
                  <w:tcBorders>
                    <w:tl2br w:val="nil"/>
                    <w:tr2bl w:val="nil"/>
                  </w:tcBorders>
                  <w:vAlign w:val="center"/>
                </w:tcPr>
                <w:p w14:paraId="325B2FD8">
                  <w:pPr>
                    <w:pStyle w:val="45"/>
                    <w:rPr>
                      <w:rFonts w:hint="default"/>
                      <w:b w:val="0"/>
                      <w:bCs w:val="0"/>
                      <w:u w:val="none"/>
                    </w:rPr>
                  </w:pPr>
                  <w:r>
                    <w:rPr>
                      <w:b w:val="0"/>
                      <w:bCs w:val="0"/>
                      <w:kern w:val="0"/>
                      <w:szCs w:val="18"/>
                      <w:u w:val="none"/>
                      <w:lang w:val="zh-CN"/>
                    </w:rPr>
                    <w:t>平顶山首创水务有限公司（平顶山市第三污水处理厂）</w:t>
                  </w:r>
                </w:p>
              </w:tc>
              <w:tc>
                <w:tcPr>
                  <w:tcW w:w="563" w:type="dxa"/>
                  <w:tcBorders>
                    <w:tl2br w:val="nil"/>
                    <w:tr2bl w:val="nil"/>
                  </w:tcBorders>
                  <w:vAlign w:val="center"/>
                </w:tcPr>
                <w:p w14:paraId="6F4744DD">
                  <w:pPr>
                    <w:pStyle w:val="45"/>
                    <w:rPr>
                      <w:rFonts w:hint="default"/>
                      <w:b w:val="0"/>
                      <w:bCs w:val="0"/>
                      <w:u w:val="none"/>
                    </w:rPr>
                  </w:pPr>
                  <w:r>
                    <w:rPr>
                      <w:rFonts w:hint="default"/>
                      <w:b w:val="0"/>
                      <w:bCs w:val="0"/>
                      <w:u w:val="none"/>
                    </w:rPr>
                    <w:t>COD</w:t>
                  </w:r>
                </w:p>
              </w:tc>
              <w:tc>
                <w:tcPr>
                  <w:tcW w:w="976" w:type="dxa"/>
                  <w:tcBorders>
                    <w:tl2br w:val="nil"/>
                    <w:tr2bl w:val="nil"/>
                  </w:tcBorders>
                  <w:vAlign w:val="center"/>
                </w:tcPr>
                <w:p w14:paraId="1C29BDFF">
                  <w:pPr>
                    <w:pStyle w:val="45"/>
                    <w:rPr>
                      <w:rFonts w:hint="default"/>
                      <w:b w:val="0"/>
                      <w:bCs w:val="0"/>
                      <w:u w:val="none"/>
                    </w:rPr>
                  </w:pPr>
                  <w:r>
                    <w:rPr>
                      <w:rFonts w:hint="default"/>
                      <w:b w:val="0"/>
                      <w:bCs w:val="0"/>
                      <w:u w:val="none"/>
                    </w:rPr>
                    <w:t>20</w:t>
                  </w:r>
                </w:p>
              </w:tc>
            </w:tr>
            <w:tr w14:paraId="4F00E77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338" w:type="dxa"/>
                  <w:vMerge w:val="continue"/>
                  <w:tcBorders>
                    <w:tl2br w:val="nil"/>
                    <w:tr2bl w:val="nil"/>
                  </w:tcBorders>
                  <w:vAlign w:val="center"/>
                </w:tcPr>
                <w:p w14:paraId="7F1B68DB">
                  <w:pPr>
                    <w:pStyle w:val="45"/>
                    <w:rPr>
                      <w:rFonts w:hint="default"/>
                      <w:b w:val="0"/>
                      <w:bCs w:val="0"/>
                      <w:u w:val="none"/>
                    </w:rPr>
                  </w:pPr>
                </w:p>
              </w:tc>
              <w:tc>
                <w:tcPr>
                  <w:tcW w:w="582" w:type="dxa"/>
                  <w:vMerge w:val="continue"/>
                  <w:tcBorders>
                    <w:tl2br w:val="nil"/>
                    <w:tr2bl w:val="nil"/>
                  </w:tcBorders>
                  <w:vAlign w:val="center"/>
                </w:tcPr>
                <w:p w14:paraId="59928587">
                  <w:pPr>
                    <w:pStyle w:val="45"/>
                    <w:rPr>
                      <w:rFonts w:hint="default"/>
                      <w:b w:val="0"/>
                      <w:bCs w:val="0"/>
                      <w:u w:val="none"/>
                    </w:rPr>
                  </w:pPr>
                </w:p>
              </w:tc>
              <w:tc>
                <w:tcPr>
                  <w:tcW w:w="934" w:type="dxa"/>
                  <w:vMerge w:val="continue"/>
                  <w:tcBorders>
                    <w:tl2br w:val="nil"/>
                    <w:tr2bl w:val="nil"/>
                  </w:tcBorders>
                  <w:vAlign w:val="center"/>
                </w:tcPr>
                <w:p w14:paraId="65198281">
                  <w:pPr>
                    <w:pStyle w:val="45"/>
                    <w:rPr>
                      <w:rFonts w:hint="default"/>
                      <w:b w:val="0"/>
                      <w:bCs w:val="0"/>
                      <w:u w:val="none"/>
                    </w:rPr>
                  </w:pPr>
                </w:p>
              </w:tc>
              <w:tc>
                <w:tcPr>
                  <w:tcW w:w="969" w:type="dxa"/>
                  <w:vMerge w:val="continue"/>
                  <w:tcBorders>
                    <w:tl2br w:val="nil"/>
                    <w:tr2bl w:val="nil"/>
                  </w:tcBorders>
                  <w:vAlign w:val="center"/>
                </w:tcPr>
                <w:p w14:paraId="1EB06F60">
                  <w:pPr>
                    <w:pStyle w:val="45"/>
                    <w:rPr>
                      <w:rFonts w:hint="default"/>
                      <w:b w:val="0"/>
                      <w:bCs w:val="0"/>
                      <w:u w:val="none"/>
                    </w:rPr>
                  </w:pPr>
                </w:p>
              </w:tc>
              <w:tc>
                <w:tcPr>
                  <w:tcW w:w="831" w:type="dxa"/>
                  <w:vMerge w:val="continue"/>
                  <w:tcBorders>
                    <w:tl2br w:val="nil"/>
                    <w:tr2bl w:val="nil"/>
                  </w:tcBorders>
                  <w:vAlign w:val="center"/>
                </w:tcPr>
                <w:p w14:paraId="71AD678D">
                  <w:pPr>
                    <w:pStyle w:val="45"/>
                    <w:rPr>
                      <w:rFonts w:hint="default"/>
                      <w:b w:val="0"/>
                      <w:bCs w:val="0"/>
                      <w:u w:val="none"/>
                    </w:rPr>
                  </w:pPr>
                </w:p>
              </w:tc>
              <w:tc>
                <w:tcPr>
                  <w:tcW w:w="913" w:type="dxa"/>
                  <w:vMerge w:val="continue"/>
                  <w:tcBorders>
                    <w:tl2br w:val="nil"/>
                    <w:tr2bl w:val="nil"/>
                  </w:tcBorders>
                  <w:vAlign w:val="center"/>
                </w:tcPr>
                <w:p w14:paraId="246A7679">
                  <w:pPr>
                    <w:pStyle w:val="45"/>
                    <w:rPr>
                      <w:rFonts w:hint="default"/>
                      <w:b w:val="0"/>
                      <w:bCs w:val="0"/>
                      <w:u w:val="none"/>
                    </w:rPr>
                  </w:pPr>
                </w:p>
              </w:tc>
              <w:tc>
                <w:tcPr>
                  <w:tcW w:w="538" w:type="dxa"/>
                  <w:vMerge w:val="continue"/>
                  <w:tcBorders>
                    <w:tl2br w:val="nil"/>
                    <w:tr2bl w:val="nil"/>
                  </w:tcBorders>
                  <w:vAlign w:val="center"/>
                </w:tcPr>
                <w:p w14:paraId="234FC950">
                  <w:pPr>
                    <w:pStyle w:val="45"/>
                    <w:rPr>
                      <w:rFonts w:hint="default"/>
                      <w:b w:val="0"/>
                      <w:bCs w:val="0"/>
                      <w:u w:val="none"/>
                    </w:rPr>
                  </w:pPr>
                </w:p>
              </w:tc>
              <w:tc>
                <w:tcPr>
                  <w:tcW w:w="468" w:type="dxa"/>
                  <w:vMerge w:val="continue"/>
                  <w:tcBorders>
                    <w:tl2br w:val="nil"/>
                    <w:tr2bl w:val="nil"/>
                  </w:tcBorders>
                  <w:vAlign w:val="center"/>
                </w:tcPr>
                <w:p w14:paraId="46EAD53C">
                  <w:pPr>
                    <w:pStyle w:val="45"/>
                    <w:rPr>
                      <w:rFonts w:hint="default"/>
                      <w:b w:val="0"/>
                      <w:bCs w:val="0"/>
                      <w:u w:val="none"/>
                    </w:rPr>
                  </w:pPr>
                </w:p>
              </w:tc>
              <w:tc>
                <w:tcPr>
                  <w:tcW w:w="620" w:type="dxa"/>
                  <w:vMerge w:val="continue"/>
                  <w:tcBorders>
                    <w:tl2br w:val="nil"/>
                    <w:tr2bl w:val="nil"/>
                  </w:tcBorders>
                  <w:vAlign w:val="center"/>
                </w:tcPr>
                <w:p w14:paraId="3A032A1A">
                  <w:pPr>
                    <w:pStyle w:val="45"/>
                    <w:rPr>
                      <w:rFonts w:hint="default"/>
                      <w:b w:val="0"/>
                      <w:bCs w:val="0"/>
                      <w:u w:val="none"/>
                    </w:rPr>
                  </w:pPr>
                </w:p>
              </w:tc>
              <w:tc>
                <w:tcPr>
                  <w:tcW w:w="563" w:type="dxa"/>
                  <w:tcBorders>
                    <w:tl2br w:val="nil"/>
                    <w:tr2bl w:val="nil"/>
                  </w:tcBorders>
                  <w:vAlign w:val="center"/>
                </w:tcPr>
                <w:p w14:paraId="2672EFFA">
                  <w:pPr>
                    <w:pStyle w:val="45"/>
                    <w:rPr>
                      <w:rFonts w:hint="default"/>
                      <w:b w:val="0"/>
                      <w:bCs w:val="0"/>
                      <w:u w:val="none"/>
                    </w:rPr>
                  </w:pPr>
                  <w:r>
                    <w:rPr>
                      <w:rFonts w:hint="default"/>
                      <w:b w:val="0"/>
                      <w:bCs w:val="0"/>
                      <w:u w:val="none"/>
                    </w:rPr>
                    <w:t>氨氮</w:t>
                  </w:r>
                </w:p>
              </w:tc>
              <w:tc>
                <w:tcPr>
                  <w:tcW w:w="976" w:type="dxa"/>
                  <w:tcBorders>
                    <w:tl2br w:val="nil"/>
                    <w:tr2bl w:val="nil"/>
                  </w:tcBorders>
                  <w:vAlign w:val="center"/>
                </w:tcPr>
                <w:p w14:paraId="226D1D11">
                  <w:pPr>
                    <w:pStyle w:val="45"/>
                    <w:rPr>
                      <w:rFonts w:hint="default"/>
                      <w:b w:val="0"/>
                      <w:bCs w:val="0"/>
                      <w:u w:val="none"/>
                    </w:rPr>
                  </w:pPr>
                  <w:r>
                    <w:rPr>
                      <w:rFonts w:hint="default"/>
                      <w:b w:val="0"/>
                      <w:bCs w:val="0"/>
                      <w:u w:val="none"/>
                    </w:rPr>
                    <w:t>1</w:t>
                  </w:r>
                </w:p>
              </w:tc>
            </w:tr>
          </w:tbl>
          <w:p w14:paraId="70BBEB2F">
            <w:pPr>
              <w:pStyle w:val="6"/>
              <w:numPr>
                <w:ilvl w:val="2"/>
                <w:numId w:val="3"/>
              </w:numPr>
              <w:rPr>
                <w:b w:val="0"/>
                <w:bCs w:val="0"/>
                <w:u w:val="none"/>
              </w:rPr>
            </w:pPr>
            <w:r>
              <w:rPr>
                <w:rFonts w:hint="eastAsia"/>
                <w:b w:val="0"/>
                <w:bCs w:val="0"/>
                <w:u w:val="none"/>
              </w:rPr>
              <w:t>监测计划</w:t>
            </w:r>
          </w:p>
          <w:p w14:paraId="743A640E">
            <w:pPr>
              <w:pStyle w:val="5"/>
              <w:rPr>
                <w:rFonts w:hint="default"/>
                <w:b w:val="0"/>
                <w:bCs w:val="0"/>
                <w:u w:val="none"/>
              </w:rPr>
            </w:pPr>
            <w:r>
              <w:rPr>
                <w:b w:val="0"/>
                <w:bCs w:val="0"/>
                <w:u w:val="none"/>
              </w:rPr>
              <w:t>根据《排污单位自行监测技术指南 总则》（HJ819-2017）、《排污单位自行监测技术指南 无机化学工业》（HJ 1138—2020），本项目自行监测计划见下表。</w:t>
            </w:r>
          </w:p>
          <w:p w14:paraId="7F1D6232">
            <w:pPr>
              <w:pStyle w:val="44"/>
              <w:numPr>
                <w:ilvl w:val="0"/>
                <w:numId w:val="2"/>
              </w:numPr>
              <w:rPr>
                <w:rFonts w:hint="default"/>
                <w:b w:val="0"/>
                <w:bCs w:val="0"/>
                <w:u w:val="none"/>
              </w:rPr>
            </w:pPr>
            <w:r>
              <w:rPr>
                <w:rFonts w:hint="default"/>
                <w:b w:val="0"/>
                <w:bCs w:val="0"/>
                <w:u w:val="none"/>
              </w:rPr>
              <w:t>废水监测计划</w:t>
            </w:r>
          </w:p>
          <w:tbl>
            <w:tblPr>
              <w:tblStyle w:val="27"/>
              <w:tblW w:w="4997"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12"/>
              <w:gridCol w:w="1104"/>
              <w:gridCol w:w="2543"/>
              <w:gridCol w:w="2543"/>
            </w:tblGrid>
            <w:tr w14:paraId="68F6F3E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8" w:type="pct"/>
                  <w:tcBorders>
                    <w:tl2br w:val="nil"/>
                    <w:tr2bl w:val="nil"/>
                  </w:tcBorders>
                  <w:vAlign w:val="center"/>
                </w:tcPr>
                <w:p w14:paraId="254D14C6">
                  <w:pPr>
                    <w:pStyle w:val="45"/>
                    <w:rPr>
                      <w:rFonts w:hint="default"/>
                      <w:b/>
                      <w:bCs/>
                      <w:u w:val="single"/>
                    </w:rPr>
                  </w:pPr>
                  <w:r>
                    <w:rPr>
                      <w:b/>
                      <w:bCs/>
                      <w:u w:val="single"/>
                    </w:rPr>
                    <w:t>监测点位</w:t>
                  </w:r>
                </w:p>
              </w:tc>
              <w:tc>
                <w:tcPr>
                  <w:tcW w:w="746" w:type="pct"/>
                  <w:tcBorders>
                    <w:tl2br w:val="nil"/>
                    <w:tr2bl w:val="nil"/>
                  </w:tcBorders>
                  <w:vAlign w:val="center"/>
                </w:tcPr>
                <w:p w14:paraId="1922A61B">
                  <w:pPr>
                    <w:pStyle w:val="45"/>
                    <w:rPr>
                      <w:rFonts w:hint="default"/>
                      <w:b/>
                      <w:bCs/>
                      <w:u w:val="single"/>
                    </w:rPr>
                  </w:pPr>
                  <w:r>
                    <w:rPr>
                      <w:b/>
                      <w:bCs/>
                      <w:u w:val="single"/>
                    </w:rPr>
                    <w:t>监测因子</w:t>
                  </w:r>
                </w:p>
              </w:tc>
              <w:tc>
                <w:tcPr>
                  <w:tcW w:w="1717" w:type="pct"/>
                  <w:tcBorders>
                    <w:tl2br w:val="nil"/>
                    <w:tr2bl w:val="nil"/>
                  </w:tcBorders>
                  <w:vAlign w:val="center"/>
                </w:tcPr>
                <w:p w14:paraId="614B19CC">
                  <w:pPr>
                    <w:pStyle w:val="45"/>
                    <w:rPr>
                      <w:rFonts w:hint="default"/>
                      <w:b/>
                      <w:bCs/>
                      <w:u w:val="single"/>
                    </w:rPr>
                  </w:pPr>
                  <w:r>
                    <w:rPr>
                      <w:b/>
                      <w:bCs/>
                      <w:u w:val="single"/>
                    </w:rPr>
                    <w:t>监测频率</w:t>
                  </w:r>
                </w:p>
              </w:tc>
              <w:tc>
                <w:tcPr>
                  <w:tcW w:w="1717" w:type="pct"/>
                  <w:tcBorders>
                    <w:tl2br w:val="nil"/>
                    <w:tr2bl w:val="nil"/>
                  </w:tcBorders>
                  <w:vAlign w:val="center"/>
                </w:tcPr>
                <w:p w14:paraId="19298599">
                  <w:pPr>
                    <w:pStyle w:val="45"/>
                    <w:rPr>
                      <w:rFonts w:hint="default"/>
                      <w:b/>
                      <w:bCs/>
                      <w:u w:val="single"/>
                    </w:rPr>
                  </w:pPr>
                  <w:r>
                    <w:rPr>
                      <w:b/>
                      <w:bCs/>
                      <w:u w:val="single"/>
                    </w:rPr>
                    <w:t>执行标注</w:t>
                  </w:r>
                </w:p>
              </w:tc>
            </w:tr>
            <w:tr w14:paraId="0469E66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12" w:type="dxa"/>
                  <w:tcBorders>
                    <w:tl2br w:val="nil"/>
                    <w:tr2bl w:val="nil"/>
                  </w:tcBorders>
                  <w:vAlign w:val="center"/>
                </w:tcPr>
                <w:p w14:paraId="5E66869E">
                  <w:pPr>
                    <w:pStyle w:val="45"/>
                    <w:ind w:firstLine="0" w:firstLineChars="0"/>
                    <w:rPr>
                      <w:b/>
                      <w:bCs/>
                      <w:u w:val="single"/>
                    </w:rPr>
                  </w:pPr>
                  <w:r>
                    <w:rPr>
                      <w:b/>
                      <w:bCs/>
                      <w:u w:val="single"/>
                    </w:rPr>
                    <w:t>废水总排口</w:t>
                  </w:r>
                </w:p>
              </w:tc>
              <w:tc>
                <w:tcPr>
                  <w:tcW w:w="1104" w:type="dxa"/>
                  <w:tcBorders>
                    <w:tl2br w:val="nil"/>
                    <w:tr2bl w:val="nil"/>
                  </w:tcBorders>
                  <w:vAlign w:val="center"/>
                </w:tcPr>
                <w:p w14:paraId="244BFC01">
                  <w:pPr>
                    <w:pStyle w:val="45"/>
                    <w:ind w:firstLine="0" w:firstLineChars="0"/>
                    <w:rPr>
                      <w:b/>
                      <w:bCs/>
                      <w:u w:val="single"/>
                    </w:rPr>
                  </w:pPr>
                  <w:r>
                    <w:rPr>
                      <w:b/>
                      <w:bCs/>
                      <w:u w:val="single"/>
                    </w:rPr>
                    <w:t>pH值、化学需氧量、氨氮</w:t>
                  </w:r>
                </w:p>
              </w:tc>
              <w:tc>
                <w:tcPr>
                  <w:tcW w:w="2543" w:type="dxa"/>
                  <w:tcBorders>
                    <w:tl2br w:val="nil"/>
                    <w:tr2bl w:val="nil"/>
                  </w:tcBorders>
                  <w:vAlign w:val="center"/>
                </w:tcPr>
                <w:p w14:paraId="1F17C996">
                  <w:pPr>
                    <w:pStyle w:val="45"/>
                    <w:ind w:firstLine="0" w:firstLineChars="0"/>
                    <w:rPr>
                      <w:b/>
                      <w:bCs/>
                      <w:u w:val="single"/>
                    </w:rPr>
                  </w:pPr>
                  <w:r>
                    <w:rPr>
                      <w:b/>
                      <w:bCs/>
                      <w:u w:val="single"/>
                    </w:rPr>
                    <w:t>1次/季度</w:t>
                  </w:r>
                </w:p>
              </w:tc>
              <w:tc>
                <w:tcPr>
                  <w:tcW w:w="1717" w:type="pct"/>
                  <w:tcBorders>
                    <w:tl2br w:val="nil"/>
                    <w:tr2bl w:val="nil"/>
                  </w:tcBorders>
                  <w:vAlign w:val="center"/>
                </w:tcPr>
                <w:p w14:paraId="07E5D4B8">
                  <w:pPr>
                    <w:pStyle w:val="45"/>
                    <w:rPr>
                      <w:b/>
                      <w:bCs/>
                      <w:u w:val="single"/>
                    </w:rPr>
                  </w:pPr>
                </w:p>
              </w:tc>
            </w:tr>
            <w:tr w14:paraId="4AEB998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8" w:type="pct"/>
                  <w:tcBorders>
                    <w:tl2br w:val="nil"/>
                    <w:tr2bl w:val="nil"/>
                  </w:tcBorders>
                  <w:vAlign w:val="center"/>
                </w:tcPr>
                <w:p w14:paraId="64F8D7E3">
                  <w:pPr>
                    <w:pStyle w:val="45"/>
                    <w:rPr>
                      <w:rFonts w:hint="default"/>
                      <w:b/>
                      <w:bCs/>
                      <w:u w:val="single"/>
                    </w:rPr>
                  </w:pPr>
                  <w:r>
                    <w:rPr>
                      <w:rFonts w:hint="eastAsia"/>
                      <w:b/>
                      <w:bCs/>
                      <w:u w:val="single"/>
                      <w:lang w:eastAsia="zh-CN"/>
                    </w:rPr>
                    <w:t>清净下水</w:t>
                  </w:r>
                  <w:r>
                    <w:rPr>
                      <w:b/>
                      <w:bCs/>
                      <w:u w:val="single"/>
                    </w:rPr>
                    <w:t>排口</w:t>
                  </w:r>
                </w:p>
              </w:tc>
              <w:tc>
                <w:tcPr>
                  <w:tcW w:w="746" w:type="pct"/>
                  <w:tcBorders>
                    <w:tl2br w:val="nil"/>
                    <w:tr2bl w:val="nil"/>
                  </w:tcBorders>
                  <w:vAlign w:val="center"/>
                </w:tcPr>
                <w:p w14:paraId="397F04EB">
                  <w:pPr>
                    <w:pStyle w:val="45"/>
                    <w:rPr>
                      <w:rFonts w:hint="default"/>
                      <w:b/>
                      <w:bCs/>
                      <w:u w:val="single"/>
                    </w:rPr>
                  </w:pPr>
                  <w:r>
                    <w:rPr>
                      <w:b/>
                      <w:bCs/>
                      <w:u w:val="single"/>
                    </w:rPr>
                    <w:t>pH值、化学需氧量、氨氮</w:t>
                  </w:r>
                </w:p>
              </w:tc>
              <w:tc>
                <w:tcPr>
                  <w:tcW w:w="1717" w:type="pct"/>
                  <w:tcBorders>
                    <w:tl2br w:val="nil"/>
                    <w:tr2bl w:val="nil"/>
                  </w:tcBorders>
                  <w:vAlign w:val="center"/>
                </w:tcPr>
                <w:p w14:paraId="58EC82F6">
                  <w:pPr>
                    <w:pStyle w:val="45"/>
                    <w:rPr>
                      <w:rFonts w:hint="default"/>
                      <w:b/>
                      <w:bCs/>
                      <w:u w:val="single"/>
                    </w:rPr>
                  </w:pPr>
                  <w:r>
                    <w:rPr>
                      <w:b/>
                      <w:bCs/>
                      <w:u w:val="single"/>
                    </w:rPr>
                    <w:t>1次/季度</w:t>
                  </w:r>
                </w:p>
              </w:tc>
              <w:tc>
                <w:tcPr>
                  <w:tcW w:w="1717" w:type="pct"/>
                  <w:vMerge w:val="restart"/>
                  <w:tcBorders>
                    <w:tl2br w:val="nil"/>
                    <w:tr2bl w:val="nil"/>
                  </w:tcBorders>
                  <w:vAlign w:val="center"/>
                </w:tcPr>
                <w:p w14:paraId="0468FE2C">
                  <w:pPr>
                    <w:pStyle w:val="45"/>
                    <w:rPr>
                      <w:rFonts w:hint="default"/>
                      <w:b/>
                      <w:bCs/>
                      <w:u w:val="single"/>
                    </w:rPr>
                  </w:pPr>
                  <w:r>
                    <w:rPr>
                      <w:b/>
                      <w:bCs/>
                      <w:u w:val="single"/>
                    </w:rPr>
                    <w:t>《无机化学工业污染物排放标准》（GB31573—2015）间接排放标准</w:t>
                  </w:r>
                </w:p>
              </w:tc>
            </w:tr>
            <w:tr w14:paraId="179C812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18" w:type="pct"/>
                  <w:tcBorders>
                    <w:tl2br w:val="nil"/>
                    <w:tr2bl w:val="nil"/>
                  </w:tcBorders>
                  <w:vAlign w:val="center"/>
                </w:tcPr>
                <w:p w14:paraId="4B6E9F92">
                  <w:pPr>
                    <w:pStyle w:val="45"/>
                    <w:rPr>
                      <w:rFonts w:hint="default"/>
                      <w:b/>
                      <w:bCs/>
                      <w:u w:val="single"/>
                    </w:rPr>
                  </w:pPr>
                  <w:r>
                    <w:rPr>
                      <w:b/>
                      <w:bCs/>
                      <w:u w:val="single"/>
                    </w:rPr>
                    <w:t>雨水排放口</w:t>
                  </w:r>
                </w:p>
              </w:tc>
              <w:tc>
                <w:tcPr>
                  <w:tcW w:w="746" w:type="pct"/>
                  <w:tcBorders>
                    <w:tl2br w:val="nil"/>
                    <w:tr2bl w:val="nil"/>
                  </w:tcBorders>
                  <w:vAlign w:val="center"/>
                </w:tcPr>
                <w:p w14:paraId="6DEC8CB6">
                  <w:pPr>
                    <w:pStyle w:val="45"/>
                    <w:rPr>
                      <w:rFonts w:hint="default"/>
                      <w:b/>
                      <w:bCs/>
                      <w:u w:val="single"/>
                    </w:rPr>
                  </w:pPr>
                  <w:r>
                    <w:rPr>
                      <w:b/>
                      <w:bCs/>
                      <w:u w:val="single"/>
                    </w:rPr>
                    <w:t>pH值、化学需氧量、氨氮</w:t>
                  </w:r>
                </w:p>
              </w:tc>
              <w:tc>
                <w:tcPr>
                  <w:tcW w:w="1717" w:type="pct"/>
                  <w:tcBorders>
                    <w:tl2br w:val="nil"/>
                    <w:tr2bl w:val="nil"/>
                  </w:tcBorders>
                  <w:vAlign w:val="center"/>
                </w:tcPr>
                <w:p w14:paraId="26DF18CE">
                  <w:pPr>
                    <w:pStyle w:val="45"/>
                    <w:rPr>
                      <w:rFonts w:hint="default"/>
                      <w:b/>
                      <w:bCs/>
                      <w:u w:val="single"/>
                    </w:rPr>
                  </w:pPr>
                  <w:r>
                    <w:rPr>
                      <w:b/>
                      <w:bCs/>
                      <w:u w:val="single"/>
                    </w:rPr>
                    <w:t>雨水排放口有流动水排放时按日监测。若监测一年无异常情况，可放宽至每季度开展一次监测</w:t>
                  </w:r>
                </w:p>
              </w:tc>
              <w:tc>
                <w:tcPr>
                  <w:tcW w:w="1717" w:type="pct"/>
                  <w:vMerge w:val="continue"/>
                  <w:tcBorders>
                    <w:tl2br w:val="nil"/>
                    <w:tr2bl w:val="nil"/>
                  </w:tcBorders>
                  <w:vAlign w:val="center"/>
                </w:tcPr>
                <w:p w14:paraId="57C765E2">
                  <w:pPr>
                    <w:pStyle w:val="45"/>
                    <w:rPr>
                      <w:rFonts w:hint="default"/>
                      <w:b/>
                      <w:bCs/>
                      <w:u w:val="single"/>
                    </w:rPr>
                  </w:pPr>
                </w:p>
              </w:tc>
            </w:tr>
          </w:tbl>
          <w:p w14:paraId="6A132D73">
            <w:pPr>
              <w:pStyle w:val="4"/>
              <w:numPr>
                <w:ilvl w:val="1"/>
                <w:numId w:val="3"/>
              </w:numPr>
              <w:tabs>
                <w:tab w:val="left" w:pos="0"/>
              </w:tabs>
              <w:rPr>
                <w:b w:val="0"/>
                <w:bCs w:val="0"/>
                <w:u w:val="none"/>
              </w:rPr>
            </w:pPr>
            <w:r>
              <w:rPr>
                <w:b w:val="0"/>
                <w:bCs w:val="0"/>
                <w:u w:val="none"/>
              </w:rPr>
              <w:t>噪声环境影响分析及治理措施</w:t>
            </w:r>
          </w:p>
          <w:p w14:paraId="7CC379C7">
            <w:pPr>
              <w:pStyle w:val="6"/>
              <w:numPr>
                <w:ilvl w:val="2"/>
                <w:numId w:val="3"/>
              </w:numPr>
              <w:rPr>
                <w:b w:val="0"/>
                <w:bCs w:val="0"/>
                <w:u w:val="none"/>
              </w:rPr>
            </w:pPr>
            <w:r>
              <w:rPr>
                <w:b w:val="0"/>
                <w:bCs w:val="0"/>
                <w:u w:val="none"/>
              </w:rPr>
              <w:t>噪声源强分析及降噪措施噪声源强及降噪措施</w:t>
            </w:r>
          </w:p>
          <w:p w14:paraId="7223C1CC">
            <w:pPr>
              <w:pStyle w:val="5"/>
              <w:rPr>
                <w:rFonts w:hint="default"/>
                <w:b w:val="0"/>
                <w:bCs w:val="0"/>
                <w:u w:val="none"/>
              </w:rPr>
            </w:pPr>
            <w:r>
              <w:rPr>
                <w:rFonts w:hint="default"/>
                <w:b w:val="0"/>
                <w:bCs w:val="0"/>
                <w:u w:val="none"/>
              </w:rPr>
              <w:t>本项目噪声源主要为</w:t>
            </w:r>
            <w:r>
              <w:rPr>
                <w:b w:val="0"/>
                <w:bCs w:val="0"/>
                <w:u w:val="none"/>
              </w:rPr>
              <w:t>压缩机、冰机及配套的各类泵</w:t>
            </w:r>
            <w:r>
              <w:rPr>
                <w:rFonts w:hint="default"/>
                <w:b w:val="0"/>
                <w:bCs w:val="0"/>
                <w:u w:val="none"/>
              </w:rPr>
              <w:t>等，源强为75～90dB（A）。本项目噪声源及治理措施见下表</w:t>
            </w:r>
            <w:r>
              <w:rPr>
                <w:b w:val="0"/>
                <w:bCs w:val="0"/>
                <w:u w:val="none"/>
              </w:rPr>
              <w:t>。</w:t>
            </w:r>
          </w:p>
        </w:tc>
      </w:tr>
    </w:tbl>
    <w:p w14:paraId="5C168292">
      <w:pPr>
        <w:rPr>
          <w:b w:val="0"/>
          <w:bCs w:val="0"/>
          <w:u w:val="none"/>
        </w:rPr>
        <w:sectPr>
          <w:pgSz w:w="11906" w:h="16838"/>
          <w:pgMar w:top="1440" w:right="1803" w:bottom="1440" w:left="1803" w:header="851" w:footer="992" w:gutter="0"/>
          <w:cols w:space="0" w:num="1"/>
          <w:docGrid w:type="lines" w:linePitch="332" w:charSpace="0"/>
        </w:sect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14:paraId="5C94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tcPr>
          <w:p w14:paraId="5A09D36E">
            <w:pPr>
              <w:pStyle w:val="44"/>
              <w:numPr>
                <w:ilvl w:val="0"/>
                <w:numId w:val="2"/>
              </w:numPr>
              <w:rPr>
                <w:rFonts w:hint="default"/>
                <w:b w:val="0"/>
                <w:bCs w:val="0"/>
                <w:u w:val="none"/>
              </w:rPr>
            </w:pPr>
            <w:r>
              <w:rPr>
                <w:rFonts w:hint="default"/>
                <w:b w:val="0"/>
                <w:bCs w:val="0"/>
                <w:u w:val="none"/>
              </w:rPr>
              <w:t>本项目室内噪声源强调查清单（室内声源）</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14"/>
              <w:gridCol w:w="769"/>
              <w:gridCol w:w="1050"/>
              <w:gridCol w:w="1182"/>
              <w:gridCol w:w="1214"/>
              <w:gridCol w:w="664"/>
              <w:gridCol w:w="761"/>
              <w:gridCol w:w="818"/>
              <w:gridCol w:w="717"/>
              <w:gridCol w:w="914"/>
              <w:gridCol w:w="964"/>
              <w:gridCol w:w="616"/>
              <w:gridCol w:w="734"/>
              <w:gridCol w:w="1013"/>
              <w:gridCol w:w="1091"/>
              <w:gridCol w:w="1037"/>
            </w:tblGrid>
            <w:tr w14:paraId="5E0FEB2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14" w:type="dxa"/>
                  <w:vMerge w:val="restart"/>
                  <w:tcBorders>
                    <w:tl2br w:val="nil"/>
                    <w:tr2bl w:val="nil"/>
                  </w:tcBorders>
                  <w:shd w:val="clear" w:color="auto" w:fill="auto"/>
                  <w:vAlign w:val="center"/>
                </w:tcPr>
                <w:p w14:paraId="46011095">
                  <w:pPr>
                    <w:pStyle w:val="45"/>
                    <w:rPr>
                      <w:rFonts w:hint="default"/>
                      <w:b w:val="0"/>
                      <w:bCs w:val="0"/>
                      <w:u w:val="none"/>
                    </w:rPr>
                  </w:pPr>
                  <w:r>
                    <w:rPr>
                      <w:rFonts w:hint="default"/>
                      <w:b w:val="0"/>
                      <w:bCs w:val="0"/>
                      <w:u w:val="none"/>
                    </w:rPr>
                    <w:t>序号</w:t>
                  </w:r>
                </w:p>
              </w:tc>
              <w:tc>
                <w:tcPr>
                  <w:tcW w:w="769" w:type="dxa"/>
                  <w:vMerge w:val="restart"/>
                  <w:tcBorders>
                    <w:tl2br w:val="nil"/>
                    <w:tr2bl w:val="nil"/>
                  </w:tcBorders>
                  <w:shd w:val="clear" w:color="auto" w:fill="auto"/>
                  <w:vAlign w:val="center"/>
                </w:tcPr>
                <w:p w14:paraId="31E5F401">
                  <w:pPr>
                    <w:pStyle w:val="45"/>
                    <w:rPr>
                      <w:rFonts w:hint="default"/>
                      <w:b w:val="0"/>
                      <w:bCs w:val="0"/>
                      <w:u w:val="none"/>
                    </w:rPr>
                  </w:pPr>
                  <w:r>
                    <w:rPr>
                      <w:rFonts w:hint="default"/>
                      <w:b w:val="0"/>
                      <w:bCs w:val="0"/>
                      <w:u w:val="none"/>
                    </w:rPr>
                    <w:t>建筑物名称</w:t>
                  </w:r>
                </w:p>
              </w:tc>
              <w:tc>
                <w:tcPr>
                  <w:tcW w:w="1050" w:type="dxa"/>
                  <w:vMerge w:val="restart"/>
                  <w:tcBorders>
                    <w:tl2br w:val="nil"/>
                    <w:tr2bl w:val="nil"/>
                  </w:tcBorders>
                  <w:shd w:val="clear" w:color="auto" w:fill="auto"/>
                  <w:vAlign w:val="center"/>
                </w:tcPr>
                <w:p w14:paraId="5DCE95F7">
                  <w:pPr>
                    <w:pStyle w:val="45"/>
                    <w:rPr>
                      <w:rFonts w:hint="default"/>
                      <w:b w:val="0"/>
                      <w:bCs w:val="0"/>
                      <w:u w:val="none"/>
                    </w:rPr>
                  </w:pPr>
                  <w:r>
                    <w:rPr>
                      <w:rFonts w:hint="default"/>
                      <w:b w:val="0"/>
                      <w:bCs w:val="0"/>
                      <w:u w:val="none"/>
                    </w:rPr>
                    <w:t>声源名称</w:t>
                  </w:r>
                </w:p>
              </w:tc>
              <w:tc>
                <w:tcPr>
                  <w:tcW w:w="1182" w:type="dxa"/>
                  <w:vMerge w:val="restart"/>
                  <w:tcBorders>
                    <w:tl2br w:val="nil"/>
                    <w:tr2bl w:val="nil"/>
                  </w:tcBorders>
                  <w:shd w:val="clear" w:color="auto" w:fill="auto"/>
                  <w:vAlign w:val="center"/>
                </w:tcPr>
                <w:p w14:paraId="595C0922">
                  <w:pPr>
                    <w:pStyle w:val="45"/>
                    <w:rPr>
                      <w:rFonts w:hint="default"/>
                      <w:b w:val="0"/>
                      <w:bCs w:val="0"/>
                      <w:u w:val="none"/>
                    </w:rPr>
                  </w:pPr>
                  <w:r>
                    <w:rPr>
                      <w:rFonts w:hint="default"/>
                      <w:b w:val="0"/>
                      <w:bCs w:val="0"/>
                      <w:u w:val="none"/>
                    </w:rPr>
                    <w:t>型号</w:t>
                  </w:r>
                </w:p>
              </w:tc>
              <w:tc>
                <w:tcPr>
                  <w:tcW w:w="1214" w:type="dxa"/>
                  <w:tcBorders>
                    <w:tl2br w:val="nil"/>
                    <w:tr2bl w:val="nil"/>
                  </w:tcBorders>
                  <w:shd w:val="clear" w:color="auto" w:fill="auto"/>
                  <w:vAlign w:val="center"/>
                </w:tcPr>
                <w:p w14:paraId="3AD7467A">
                  <w:pPr>
                    <w:pStyle w:val="45"/>
                    <w:rPr>
                      <w:rFonts w:hint="default"/>
                      <w:b w:val="0"/>
                      <w:bCs w:val="0"/>
                      <w:u w:val="none"/>
                    </w:rPr>
                  </w:pPr>
                  <w:r>
                    <w:rPr>
                      <w:rFonts w:hint="default"/>
                      <w:b w:val="0"/>
                      <w:bCs w:val="0"/>
                      <w:u w:val="none"/>
                    </w:rPr>
                    <w:t>声源源强（任选一种）</w:t>
                  </w:r>
                </w:p>
              </w:tc>
              <w:tc>
                <w:tcPr>
                  <w:tcW w:w="664" w:type="dxa"/>
                  <w:vMerge w:val="restart"/>
                  <w:tcBorders>
                    <w:tl2br w:val="nil"/>
                    <w:tr2bl w:val="nil"/>
                  </w:tcBorders>
                  <w:shd w:val="clear" w:color="auto" w:fill="auto"/>
                  <w:vAlign w:val="center"/>
                </w:tcPr>
                <w:p w14:paraId="6FB78A16">
                  <w:pPr>
                    <w:pStyle w:val="45"/>
                    <w:rPr>
                      <w:rFonts w:hint="default"/>
                      <w:b w:val="0"/>
                      <w:bCs w:val="0"/>
                      <w:u w:val="none"/>
                    </w:rPr>
                  </w:pPr>
                  <w:r>
                    <w:rPr>
                      <w:rFonts w:hint="default"/>
                      <w:b w:val="0"/>
                      <w:bCs w:val="0"/>
                      <w:u w:val="none"/>
                    </w:rPr>
                    <w:t>声源控制措施</w:t>
                  </w:r>
                </w:p>
              </w:tc>
              <w:tc>
                <w:tcPr>
                  <w:tcW w:w="2296" w:type="dxa"/>
                  <w:gridSpan w:val="3"/>
                  <w:tcBorders>
                    <w:tl2br w:val="nil"/>
                    <w:tr2bl w:val="nil"/>
                  </w:tcBorders>
                  <w:shd w:val="clear" w:color="auto" w:fill="auto"/>
                  <w:vAlign w:val="center"/>
                </w:tcPr>
                <w:p w14:paraId="6F39710A">
                  <w:pPr>
                    <w:pStyle w:val="45"/>
                    <w:rPr>
                      <w:rFonts w:hint="default"/>
                      <w:b w:val="0"/>
                      <w:bCs w:val="0"/>
                      <w:u w:val="none"/>
                    </w:rPr>
                  </w:pPr>
                  <w:r>
                    <w:rPr>
                      <w:rFonts w:hint="default"/>
                      <w:b w:val="0"/>
                      <w:bCs w:val="0"/>
                      <w:u w:val="none"/>
                    </w:rPr>
                    <w:t>空间相对位置/m*</w:t>
                  </w:r>
                </w:p>
              </w:tc>
              <w:tc>
                <w:tcPr>
                  <w:tcW w:w="914" w:type="dxa"/>
                  <w:vMerge w:val="restart"/>
                  <w:tcBorders>
                    <w:tl2br w:val="nil"/>
                    <w:tr2bl w:val="nil"/>
                  </w:tcBorders>
                  <w:shd w:val="clear" w:color="auto" w:fill="auto"/>
                  <w:vAlign w:val="center"/>
                </w:tcPr>
                <w:p w14:paraId="09B28100">
                  <w:pPr>
                    <w:pStyle w:val="45"/>
                    <w:rPr>
                      <w:rFonts w:hint="default"/>
                      <w:b w:val="0"/>
                      <w:bCs w:val="0"/>
                      <w:u w:val="none"/>
                    </w:rPr>
                  </w:pPr>
                  <w:r>
                    <w:rPr>
                      <w:rFonts w:hint="default"/>
                      <w:b w:val="0"/>
                      <w:bCs w:val="0"/>
                      <w:u w:val="none"/>
                    </w:rPr>
                    <w:t>距室内边界距离/m</w:t>
                  </w:r>
                </w:p>
              </w:tc>
              <w:tc>
                <w:tcPr>
                  <w:tcW w:w="964" w:type="dxa"/>
                  <w:vMerge w:val="restart"/>
                  <w:tcBorders>
                    <w:tl2br w:val="nil"/>
                    <w:tr2bl w:val="nil"/>
                  </w:tcBorders>
                  <w:shd w:val="clear" w:color="auto" w:fill="auto"/>
                  <w:vAlign w:val="center"/>
                </w:tcPr>
                <w:p w14:paraId="200B93ED">
                  <w:pPr>
                    <w:pStyle w:val="45"/>
                    <w:rPr>
                      <w:rFonts w:hint="default"/>
                      <w:b w:val="0"/>
                      <w:bCs w:val="0"/>
                      <w:u w:val="none"/>
                    </w:rPr>
                  </w:pPr>
                  <w:r>
                    <w:rPr>
                      <w:rFonts w:hint="default"/>
                      <w:b w:val="0"/>
                      <w:bCs w:val="0"/>
                      <w:u w:val="none"/>
                    </w:rPr>
                    <w:t>室内边界声级/dB(A)</w:t>
                  </w:r>
                </w:p>
              </w:tc>
              <w:tc>
                <w:tcPr>
                  <w:tcW w:w="1350" w:type="dxa"/>
                  <w:gridSpan w:val="2"/>
                  <w:vMerge w:val="restart"/>
                  <w:tcBorders>
                    <w:tl2br w:val="nil"/>
                    <w:tr2bl w:val="nil"/>
                  </w:tcBorders>
                  <w:shd w:val="clear" w:color="auto" w:fill="auto"/>
                  <w:vAlign w:val="center"/>
                </w:tcPr>
                <w:p w14:paraId="7736A40A">
                  <w:pPr>
                    <w:pStyle w:val="45"/>
                    <w:rPr>
                      <w:rFonts w:hint="default"/>
                      <w:b w:val="0"/>
                      <w:bCs w:val="0"/>
                      <w:u w:val="none"/>
                    </w:rPr>
                  </w:pPr>
                  <w:r>
                    <w:rPr>
                      <w:rFonts w:hint="default"/>
                      <w:b w:val="0"/>
                      <w:bCs w:val="0"/>
                      <w:u w:val="none"/>
                    </w:rPr>
                    <w:t>运行时段</w:t>
                  </w:r>
                </w:p>
              </w:tc>
              <w:tc>
                <w:tcPr>
                  <w:tcW w:w="1013" w:type="dxa"/>
                  <w:vMerge w:val="restart"/>
                  <w:tcBorders>
                    <w:tl2br w:val="nil"/>
                    <w:tr2bl w:val="nil"/>
                  </w:tcBorders>
                  <w:shd w:val="clear" w:color="auto" w:fill="auto"/>
                  <w:vAlign w:val="center"/>
                </w:tcPr>
                <w:p w14:paraId="064015A3">
                  <w:pPr>
                    <w:pStyle w:val="45"/>
                    <w:rPr>
                      <w:rFonts w:hint="default"/>
                      <w:b w:val="0"/>
                      <w:bCs w:val="0"/>
                      <w:u w:val="none"/>
                    </w:rPr>
                  </w:pPr>
                  <w:r>
                    <w:rPr>
                      <w:rFonts w:hint="default"/>
                      <w:b w:val="0"/>
                      <w:bCs w:val="0"/>
                      <w:u w:val="none"/>
                    </w:rPr>
                    <w:t>建筑物插入损失/dB(A)</w:t>
                  </w:r>
                </w:p>
              </w:tc>
              <w:tc>
                <w:tcPr>
                  <w:tcW w:w="2128" w:type="dxa"/>
                  <w:gridSpan w:val="2"/>
                  <w:tcBorders>
                    <w:tl2br w:val="nil"/>
                    <w:tr2bl w:val="nil"/>
                  </w:tcBorders>
                  <w:shd w:val="clear" w:color="auto" w:fill="auto"/>
                  <w:vAlign w:val="center"/>
                </w:tcPr>
                <w:p w14:paraId="638AC762">
                  <w:pPr>
                    <w:pStyle w:val="45"/>
                    <w:rPr>
                      <w:rFonts w:hint="default"/>
                      <w:b w:val="0"/>
                      <w:bCs w:val="0"/>
                      <w:u w:val="none"/>
                    </w:rPr>
                  </w:pPr>
                  <w:r>
                    <w:rPr>
                      <w:rFonts w:hint="default"/>
                      <w:b w:val="0"/>
                      <w:bCs w:val="0"/>
                      <w:u w:val="none"/>
                    </w:rPr>
                    <w:t>建筑物外噪声</w:t>
                  </w:r>
                </w:p>
              </w:tc>
            </w:tr>
            <w:tr w14:paraId="1359FC9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14" w:type="dxa"/>
                  <w:vMerge w:val="continue"/>
                  <w:tcBorders>
                    <w:tl2br w:val="nil"/>
                    <w:tr2bl w:val="nil"/>
                  </w:tcBorders>
                  <w:shd w:val="clear" w:color="auto" w:fill="auto"/>
                  <w:vAlign w:val="center"/>
                </w:tcPr>
                <w:p w14:paraId="23BCBD8A">
                  <w:pPr>
                    <w:pStyle w:val="45"/>
                    <w:rPr>
                      <w:rFonts w:hint="default"/>
                      <w:b w:val="0"/>
                      <w:bCs w:val="0"/>
                      <w:u w:val="none"/>
                    </w:rPr>
                  </w:pPr>
                </w:p>
              </w:tc>
              <w:tc>
                <w:tcPr>
                  <w:tcW w:w="769" w:type="dxa"/>
                  <w:vMerge w:val="continue"/>
                  <w:tcBorders>
                    <w:tl2br w:val="nil"/>
                    <w:tr2bl w:val="nil"/>
                  </w:tcBorders>
                  <w:shd w:val="clear" w:color="auto" w:fill="auto"/>
                  <w:vAlign w:val="center"/>
                </w:tcPr>
                <w:p w14:paraId="1AC01B78">
                  <w:pPr>
                    <w:pStyle w:val="45"/>
                    <w:rPr>
                      <w:rFonts w:hint="default"/>
                      <w:b w:val="0"/>
                      <w:bCs w:val="0"/>
                      <w:u w:val="none"/>
                    </w:rPr>
                  </w:pPr>
                </w:p>
              </w:tc>
              <w:tc>
                <w:tcPr>
                  <w:tcW w:w="1050" w:type="dxa"/>
                  <w:vMerge w:val="continue"/>
                  <w:tcBorders>
                    <w:tl2br w:val="nil"/>
                    <w:tr2bl w:val="nil"/>
                  </w:tcBorders>
                  <w:shd w:val="clear" w:color="auto" w:fill="auto"/>
                  <w:vAlign w:val="center"/>
                </w:tcPr>
                <w:p w14:paraId="56EA973F">
                  <w:pPr>
                    <w:pStyle w:val="45"/>
                    <w:rPr>
                      <w:rFonts w:hint="default"/>
                      <w:b w:val="0"/>
                      <w:bCs w:val="0"/>
                      <w:u w:val="none"/>
                    </w:rPr>
                  </w:pPr>
                </w:p>
              </w:tc>
              <w:tc>
                <w:tcPr>
                  <w:tcW w:w="1182" w:type="dxa"/>
                  <w:vMerge w:val="continue"/>
                  <w:tcBorders>
                    <w:tl2br w:val="nil"/>
                    <w:tr2bl w:val="nil"/>
                  </w:tcBorders>
                  <w:shd w:val="clear" w:color="auto" w:fill="auto"/>
                  <w:vAlign w:val="center"/>
                </w:tcPr>
                <w:p w14:paraId="00B91EC3">
                  <w:pPr>
                    <w:pStyle w:val="45"/>
                    <w:rPr>
                      <w:rFonts w:hint="default"/>
                      <w:b w:val="0"/>
                      <w:bCs w:val="0"/>
                      <w:u w:val="none"/>
                    </w:rPr>
                  </w:pPr>
                </w:p>
              </w:tc>
              <w:tc>
                <w:tcPr>
                  <w:tcW w:w="1214" w:type="dxa"/>
                  <w:tcBorders>
                    <w:tl2br w:val="nil"/>
                    <w:tr2bl w:val="nil"/>
                  </w:tcBorders>
                  <w:shd w:val="clear" w:color="auto" w:fill="auto"/>
                  <w:vAlign w:val="center"/>
                </w:tcPr>
                <w:p w14:paraId="58DDCE45">
                  <w:pPr>
                    <w:pStyle w:val="45"/>
                    <w:rPr>
                      <w:rFonts w:hint="default"/>
                      <w:b w:val="0"/>
                      <w:bCs w:val="0"/>
                      <w:u w:val="none"/>
                    </w:rPr>
                  </w:pPr>
                  <w:r>
                    <w:rPr>
                      <w:rFonts w:hint="default"/>
                      <w:b w:val="0"/>
                      <w:bCs w:val="0"/>
                      <w:u w:val="none"/>
                    </w:rPr>
                    <w:t>声功率级/dB(A)</w:t>
                  </w:r>
                </w:p>
              </w:tc>
              <w:tc>
                <w:tcPr>
                  <w:tcW w:w="664" w:type="dxa"/>
                  <w:vMerge w:val="continue"/>
                  <w:tcBorders>
                    <w:tl2br w:val="nil"/>
                    <w:tr2bl w:val="nil"/>
                  </w:tcBorders>
                  <w:shd w:val="clear" w:color="auto" w:fill="auto"/>
                  <w:vAlign w:val="center"/>
                </w:tcPr>
                <w:p w14:paraId="503F0615">
                  <w:pPr>
                    <w:pStyle w:val="45"/>
                    <w:rPr>
                      <w:rFonts w:hint="default"/>
                      <w:b w:val="0"/>
                      <w:bCs w:val="0"/>
                      <w:u w:val="none"/>
                    </w:rPr>
                  </w:pPr>
                </w:p>
              </w:tc>
              <w:tc>
                <w:tcPr>
                  <w:tcW w:w="761" w:type="dxa"/>
                  <w:tcBorders>
                    <w:tl2br w:val="nil"/>
                    <w:tr2bl w:val="nil"/>
                  </w:tcBorders>
                  <w:shd w:val="clear" w:color="auto" w:fill="auto"/>
                  <w:vAlign w:val="center"/>
                </w:tcPr>
                <w:p w14:paraId="1CD930D8">
                  <w:pPr>
                    <w:pStyle w:val="45"/>
                    <w:rPr>
                      <w:rFonts w:hint="default"/>
                      <w:b w:val="0"/>
                      <w:bCs w:val="0"/>
                      <w:u w:val="none"/>
                    </w:rPr>
                  </w:pPr>
                  <w:r>
                    <w:rPr>
                      <w:rFonts w:hint="default"/>
                      <w:b w:val="0"/>
                      <w:bCs w:val="0"/>
                      <w:u w:val="none"/>
                    </w:rPr>
                    <w:t>X（m）</w:t>
                  </w:r>
                </w:p>
              </w:tc>
              <w:tc>
                <w:tcPr>
                  <w:tcW w:w="818" w:type="dxa"/>
                  <w:tcBorders>
                    <w:tl2br w:val="nil"/>
                    <w:tr2bl w:val="nil"/>
                  </w:tcBorders>
                  <w:shd w:val="clear" w:color="auto" w:fill="auto"/>
                  <w:vAlign w:val="center"/>
                </w:tcPr>
                <w:p w14:paraId="53338072">
                  <w:pPr>
                    <w:pStyle w:val="45"/>
                    <w:rPr>
                      <w:rFonts w:hint="default"/>
                      <w:b w:val="0"/>
                      <w:bCs w:val="0"/>
                      <w:u w:val="none"/>
                    </w:rPr>
                  </w:pPr>
                  <w:r>
                    <w:rPr>
                      <w:rFonts w:hint="default"/>
                      <w:b w:val="0"/>
                      <w:bCs w:val="0"/>
                      <w:u w:val="none"/>
                    </w:rPr>
                    <w:t>Y（m）</w:t>
                  </w:r>
                </w:p>
              </w:tc>
              <w:tc>
                <w:tcPr>
                  <w:tcW w:w="717" w:type="dxa"/>
                  <w:tcBorders>
                    <w:tl2br w:val="nil"/>
                    <w:tr2bl w:val="nil"/>
                  </w:tcBorders>
                  <w:shd w:val="clear" w:color="auto" w:fill="auto"/>
                  <w:vAlign w:val="center"/>
                </w:tcPr>
                <w:p w14:paraId="79D3752B">
                  <w:pPr>
                    <w:pStyle w:val="45"/>
                    <w:rPr>
                      <w:rFonts w:hint="default"/>
                      <w:b w:val="0"/>
                      <w:bCs w:val="0"/>
                      <w:u w:val="none"/>
                    </w:rPr>
                  </w:pPr>
                  <w:r>
                    <w:rPr>
                      <w:rFonts w:hint="default"/>
                      <w:b w:val="0"/>
                      <w:bCs w:val="0"/>
                      <w:u w:val="none"/>
                    </w:rPr>
                    <w:t>Z（m）</w:t>
                  </w:r>
                </w:p>
              </w:tc>
              <w:tc>
                <w:tcPr>
                  <w:tcW w:w="914" w:type="dxa"/>
                  <w:vMerge w:val="continue"/>
                  <w:tcBorders>
                    <w:tl2br w:val="nil"/>
                    <w:tr2bl w:val="nil"/>
                  </w:tcBorders>
                  <w:shd w:val="clear" w:color="auto" w:fill="auto"/>
                  <w:vAlign w:val="center"/>
                </w:tcPr>
                <w:p w14:paraId="4042F812">
                  <w:pPr>
                    <w:pStyle w:val="45"/>
                    <w:rPr>
                      <w:rFonts w:hint="default"/>
                      <w:b w:val="0"/>
                      <w:bCs w:val="0"/>
                      <w:u w:val="none"/>
                    </w:rPr>
                  </w:pPr>
                </w:p>
              </w:tc>
              <w:tc>
                <w:tcPr>
                  <w:tcW w:w="964" w:type="dxa"/>
                  <w:vMerge w:val="continue"/>
                  <w:tcBorders>
                    <w:tl2br w:val="nil"/>
                    <w:tr2bl w:val="nil"/>
                  </w:tcBorders>
                  <w:shd w:val="clear" w:color="auto" w:fill="auto"/>
                  <w:vAlign w:val="center"/>
                </w:tcPr>
                <w:p w14:paraId="64339158">
                  <w:pPr>
                    <w:pStyle w:val="45"/>
                    <w:rPr>
                      <w:rFonts w:hint="default"/>
                      <w:b w:val="0"/>
                      <w:bCs w:val="0"/>
                      <w:u w:val="none"/>
                    </w:rPr>
                  </w:pPr>
                </w:p>
              </w:tc>
              <w:tc>
                <w:tcPr>
                  <w:tcW w:w="1350" w:type="dxa"/>
                  <w:gridSpan w:val="2"/>
                  <w:vMerge w:val="continue"/>
                  <w:tcBorders>
                    <w:tl2br w:val="nil"/>
                    <w:tr2bl w:val="nil"/>
                  </w:tcBorders>
                  <w:shd w:val="clear" w:color="auto" w:fill="auto"/>
                  <w:vAlign w:val="center"/>
                </w:tcPr>
                <w:p w14:paraId="295BCFC3">
                  <w:pPr>
                    <w:pStyle w:val="45"/>
                    <w:rPr>
                      <w:rFonts w:hint="default"/>
                      <w:b w:val="0"/>
                      <w:bCs w:val="0"/>
                      <w:u w:val="none"/>
                    </w:rPr>
                  </w:pPr>
                </w:p>
              </w:tc>
              <w:tc>
                <w:tcPr>
                  <w:tcW w:w="1013" w:type="dxa"/>
                  <w:vMerge w:val="continue"/>
                  <w:tcBorders>
                    <w:tl2br w:val="nil"/>
                    <w:tr2bl w:val="nil"/>
                  </w:tcBorders>
                  <w:shd w:val="clear" w:color="auto" w:fill="auto"/>
                  <w:vAlign w:val="center"/>
                </w:tcPr>
                <w:p w14:paraId="423E29CE">
                  <w:pPr>
                    <w:pStyle w:val="45"/>
                    <w:rPr>
                      <w:rFonts w:hint="default"/>
                      <w:b w:val="0"/>
                      <w:bCs w:val="0"/>
                      <w:u w:val="none"/>
                    </w:rPr>
                  </w:pPr>
                </w:p>
              </w:tc>
              <w:tc>
                <w:tcPr>
                  <w:tcW w:w="1091" w:type="dxa"/>
                  <w:tcBorders>
                    <w:tl2br w:val="nil"/>
                    <w:tr2bl w:val="nil"/>
                  </w:tcBorders>
                  <w:shd w:val="clear" w:color="auto" w:fill="auto"/>
                  <w:vAlign w:val="center"/>
                </w:tcPr>
                <w:p w14:paraId="65D6A5FD">
                  <w:pPr>
                    <w:pStyle w:val="45"/>
                    <w:rPr>
                      <w:rFonts w:hint="default"/>
                      <w:b w:val="0"/>
                      <w:bCs w:val="0"/>
                      <w:u w:val="none"/>
                    </w:rPr>
                  </w:pPr>
                  <w:r>
                    <w:rPr>
                      <w:rFonts w:hint="default"/>
                      <w:b w:val="0"/>
                      <w:bCs w:val="0"/>
                      <w:u w:val="none"/>
                    </w:rPr>
                    <w:t>声压级/dB(A)</w:t>
                  </w:r>
                </w:p>
              </w:tc>
              <w:tc>
                <w:tcPr>
                  <w:tcW w:w="1037" w:type="dxa"/>
                  <w:tcBorders>
                    <w:tl2br w:val="nil"/>
                    <w:tr2bl w:val="nil"/>
                  </w:tcBorders>
                  <w:shd w:val="clear" w:color="auto" w:fill="auto"/>
                  <w:vAlign w:val="center"/>
                </w:tcPr>
                <w:p w14:paraId="76AAD929">
                  <w:pPr>
                    <w:pStyle w:val="45"/>
                    <w:rPr>
                      <w:rFonts w:hint="default"/>
                      <w:b w:val="0"/>
                      <w:bCs w:val="0"/>
                      <w:u w:val="none"/>
                    </w:rPr>
                  </w:pPr>
                  <w:r>
                    <w:rPr>
                      <w:rFonts w:hint="default"/>
                      <w:b w:val="0"/>
                      <w:bCs w:val="0"/>
                      <w:u w:val="none"/>
                    </w:rPr>
                    <w:t>建筑物外距离/m</w:t>
                  </w:r>
                </w:p>
              </w:tc>
            </w:tr>
            <w:tr w14:paraId="67D0930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14" w:type="dxa"/>
                  <w:tcBorders>
                    <w:tl2br w:val="nil"/>
                    <w:tr2bl w:val="nil"/>
                  </w:tcBorders>
                  <w:shd w:val="clear" w:color="auto" w:fill="auto"/>
                  <w:vAlign w:val="center"/>
                </w:tcPr>
                <w:p w14:paraId="7E3B3E7C">
                  <w:pPr>
                    <w:pStyle w:val="45"/>
                    <w:rPr>
                      <w:rFonts w:hint="default"/>
                      <w:b w:val="0"/>
                      <w:bCs w:val="0"/>
                      <w:u w:val="none"/>
                    </w:rPr>
                  </w:pPr>
                  <w:r>
                    <w:rPr>
                      <w:rFonts w:hint="default"/>
                      <w:b w:val="0"/>
                      <w:bCs w:val="0"/>
                      <w:u w:val="none"/>
                    </w:rPr>
                    <w:t>1</w:t>
                  </w:r>
                </w:p>
              </w:tc>
              <w:tc>
                <w:tcPr>
                  <w:tcW w:w="769" w:type="dxa"/>
                  <w:tcBorders>
                    <w:tl2br w:val="nil"/>
                    <w:tr2bl w:val="nil"/>
                  </w:tcBorders>
                  <w:shd w:val="clear" w:color="auto" w:fill="auto"/>
                  <w:vAlign w:val="center"/>
                </w:tcPr>
                <w:p w14:paraId="41D905E5">
                  <w:pPr>
                    <w:pStyle w:val="45"/>
                    <w:rPr>
                      <w:rFonts w:hint="default"/>
                      <w:b w:val="0"/>
                      <w:bCs w:val="0"/>
                      <w:u w:val="none"/>
                    </w:rPr>
                  </w:pPr>
                  <w:r>
                    <w:rPr>
                      <w:rFonts w:hint="default"/>
                      <w:b w:val="0"/>
                      <w:bCs w:val="0"/>
                      <w:u w:val="none"/>
                    </w:rPr>
                    <w:t>压缩厂房</w:t>
                  </w:r>
                </w:p>
              </w:tc>
              <w:tc>
                <w:tcPr>
                  <w:tcW w:w="1050" w:type="dxa"/>
                  <w:tcBorders>
                    <w:tl2br w:val="nil"/>
                    <w:tr2bl w:val="nil"/>
                  </w:tcBorders>
                  <w:shd w:val="clear" w:color="auto" w:fill="auto"/>
                  <w:vAlign w:val="center"/>
                </w:tcPr>
                <w:p w14:paraId="3DC3FCEE">
                  <w:pPr>
                    <w:pStyle w:val="45"/>
                    <w:rPr>
                      <w:rFonts w:hint="default"/>
                      <w:b w:val="0"/>
                      <w:bCs w:val="0"/>
                      <w:u w:val="none"/>
                    </w:rPr>
                  </w:pPr>
                  <w:r>
                    <w:rPr>
                      <w:rFonts w:hint="default"/>
                      <w:b w:val="0"/>
                      <w:bCs w:val="0"/>
                      <w:u w:val="none"/>
                    </w:rPr>
                    <w:t>原料气压缩机1</w:t>
                  </w:r>
                </w:p>
              </w:tc>
              <w:tc>
                <w:tcPr>
                  <w:tcW w:w="1182" w:type="dxa"/>
                  <w:tcBorders>
                    <w:tl2br w:val="nil"/>
                    <w:tr2bl w:val="nil"/>
                  </w:tcBorders>
                  <w:shd w:val="clear" w:color="auto" w:fill="auto"/>
                  <w:vAlign w:val="center"/>
                </w:tcPr>
                <w:p w14:paraId="22CB0F07">
                  <w:pPr>
                    <w:pStyle w:val="45"/>
                    <w:rPr>
                      <w:rFonts w:hint="default"/>
                      <w:b w:val="0"/>
                      <w:bCs w:val="0"/>
                      <w:u w:val="none"/>
                    </w:rPr>
                  </w:pPr>
                  <w:r>
                    <w:rPr>
                      <w:rFonts w:hint="default"/>
                      <w:b w:val="0"/>
                      <w:bCs w:val="0"/>
                      <w:u w:val="none"/>
                    </w:rPr>
                    <w:t>SR40L25MH900</w:t>
                  </w:r>
                  <w:r>
                    <w:rPr>
                      <w:b w:val="0"/>
                      <w:bCs w:val="0"/>
                      <w:u w:val="none"/>
                    </w:rPr>
                    <w:t xml:space="preserve"> </w:t>
                  </w:r>
                  <w:r>
                    <w:rPr>
                      <w:rFonts w:hint="default"/>
                      <w:b w:val="0"/>
                      <w:bCs w:val="0"/>
                      <w:u w:val="none"/>
                    </w:rPr>
                    <w:t>-560Z</w:t>
                  </w:r>
                </w:p>
              </w:tc>
              <w:tc>
                <w:tcPr>
                  <w:tcW w:w="1214" w:type="dxa"/>
                  <w:tcBorders>
                    <w:tl2br w:val="nil"/>
                    <w:tr2bl w:val="nil"/>
                  </w:tcBorders>
                  <w:shd w:val="clear" w:color="auto" w:fill="auto"/>
                  <w:noWrap/>
                  <w:vAlign w:val="center"/>
                </w:tcPr>
                <w:p w14:paraId="630C4DD7">
                  <w:pPr>
                    <w:pStyle w:val="45"/>
                    <w:rPr>
                      <w:rFonts w:hint="default"/>
                      <w:b w:val="0"/>
                      <w:bCs w:val="0"/>
                      <w:u w:val="none"/>
                    </w:rPr>
                  </w:pPr>
                  <w:r>
                    <w:rPr>
                      <w:rFonts w:hint="default"/>
                      <w:b w:val="0"/>
                      <w:bCs w:val="0"/>
                      <w:u w:val="none"/>
                    </w:rPr>
                    <w:t>85</w:t>
                  </w:r>
                </w:p>
              </w:tc>
              <w:tc>
                <w:tcPr>
                  <w:tcW w:w="664" w:type="dxa"/>
                  <w:vMerge w:val="restart"/>
                  <w:tcBorders>
                    <w:tl2br w:val="nil"/>
                    <w:tr2bl w:val="nil"/>
                  </w:tcBorders>
                  <w:shd w:val="clear" w:color="auto" w:fill="auto"/>
                  <w:vAlign w:val="center"/>
                </w:tcPr>
                <w:p w14:paraId="6A132A30">
                  <w:pPr>
                    <w:pStyle w:val="45"/>
                    <w:rPr>
                      <w:rFonts w:hint="default"/>
                      <w:b w:val="0"/>
                      <w:bCs w:val="0"/>
                      <w:u w:val="none"/>
                    </w:rPr>
                  </w:pPr>
                  <w:r>
                    <w:rPr>
                      <w:rFonts w:hint="default"/>
                      <w:b w:val="0"/>
                      <w:bCs w:val="0"/>
                      <w:u w:val="none"/>
                    </w:rPr>
                    <w:t>厂房隔声+基础减振</w:t>
                  </w:r>
                </w:p>
              </w:tc>
              <w:tc>
                <w:tcPr>
                  <w:tcW w:w="761" w:type="dxa"/>
                  <w:tcBorders>
                    <w:tl2br w:val="nil"/>
                    <w:tr2bl w:val="nil"/>
                  </w:tcBorders>
                  <w:shd w:val="clear" w:color="auto" w:fill="auto"/>
                  <w:noWrap/>
                  <w:vAlign w:val="center"/>
                </w:tcPr>
                <w:p w14:paraId="7C4661A7">
                  <w:pPr>
                    <w:pStyle w:val="45"/>
                    <w:rPr>
                      <w:rFonts w:hint="default"/>
                      <w:b w:val="0"/>
                      <w:bCs w:val="0"/>
                      <w:u w:val="none"/>
                    </w:rPr>
                  </w:pPr>
                  <w:r>
                    <w:rPr>
                      <w:rFonts w:hint="default"/>
                      <w:b w:val="0"/>
                      <w:bCs w:val="0"/>
                      <w:u w:val="none"/>
                    </w:rPr>
                    <w:t>27.8</w:t>
                  </w:r>
                </w:p>
              </w:tc>
              <w:tc>
                <w:tcPr>
                  <w:tcW w:w="818" w:type="dxa"/>
                  <w:tcBorders>
                    <w:tl2br w:val="nil"/>
                    <w:tr2bl w:val="nil"/>
                  </w:tcBorders>
                  <w:shd w:val="clear" w:color="auto" w:fill="auto"/>
                  <w:noWrap/>
                  <w:vAlign w:val="center"/>
                </w:tcPr>
                <w:p w14:paraId="331D4B4A">
                  <w:pPr>
                    <w:pStyle w:val="45"/>
                    <w:rPr>
                      <w:rFonts w:hint="default"/>
                      <w:b w:val="0"/>
                      <w:bCs w:val="0"/>
                      <w:u w:val="none"/>
                    </w:rPr>
                  </w:pPr>
                  <w:r>
                    <w:rPr>
                      <w:rFonts w:hint="default"/>
                      <w:b w:val="0"/>
                      <w:bCs w:val="0"/>
                      <w:u w:val="none"/>
                    </w:rPr>
                    <w:t>110.92</w:t>
                  </w:r>
                </w:p>
              </w:tc>
              <w:tc>
                <w:tcPr>
                  <w:tcW w:w="717" w:type="dxa"/>
                  <w:tcBorders>
                    <w:tl2br w:val="nil"/>
                    <w:tr2bl w:val="nil"/>
                  </w:tcBorders>
                  <w:shd w:val="clear" w:color="auto" w:fill="auto"/>
                  <w:noWrap/>
                  <w:vAlign w:val="center"/>
                </w:tcPr>
                <w:p w14:paraId="05DE2709">
                  <w:pPr>
                    <w:pStyle w:val="45"/>
                    <w:rPr>
                      <w:rFonts w:hint="default"/>
                      <w:b w:val="0"/>
                      <w:bCs w:val="0"/>
                      <w:u w:val="none"/>
                    </w:rPr>
                  </w:pPr>
                  <w:r>
                    <w:rPr>
                      <w:rFonts w:hint="default"/>
                      <w:b w:val="0"/>
                      <w:bCs w:val="0"/>
                      <w:u w:val="none"/>
                    </w:rPr>
                    <w:t>1</w:t>
                  </w:r>
                </w:p>
              </w:tc>
              <w:tc>
                <w:tcPr>
                  <w:tcW w:w="914" w:type="dxa"/>
                  <w:tcBorders>
                    <w:tl2br w:val="nil"/>
                    <w:tr2bl w:val="nil"/>
                  </w:tcBorders>
                  <w:shd w:val="clear" w:color="auto" w:fill="auto"/>
                  <w:noWrap/>
                  <w:vAlign w:val="center"/>
                </w:tcPr>
                <w:p w14:paraId="368C2CE2">
                  <w:pPr>
                    <w:pStyle w:val="45"/>
                    <w:rPr>
                      <w:rFonts w:hint="default"/>
                      <w:b w:val="0"/>
                      <w:bCs w:val="0"/>
                      <w:u w:val="none"/>
                    </w:rPr>
                  </w:pPr>
                  <w:r>
                    <w:rPr>
                      <w:rFonts w:hint="default"/>
                      <w:b w:val="0"/>
                      <w:bCs w:val="0"/>
                      <w:u w:val="none"/>
                    </w:rPr>
                    <w:t>9.12</w:t>
                  </w:r>
                </w:p>
              </w:tc>
              <w:tc>
                <w:tcPr>
                  <w:tcW w:w="964" w:type="dxa"/>
                  <w:tcBorders>
                    <w:tl2br w:val="nil"/>
                    <w:tr2bl w:val="nil"/>
                  </w:tcBorders>
                  <w:shd w:val="clear" w:color="auto" w:fill="auto"/>
                  <w:noWrap/>
                  <w:vAlign w:val="center"/>
                </w:tcPr>
                <w:p w14:paraId="3AA29ED0">
                  <w:pPr>
                    <w:pStyle w:val="45"/>
                    <w:rPr>
                      <w:rFonts w:hint="default"/>
                      <w:b w:val="0"/>
                      <w:bCs w:val="0"/>
                      <w:u w:val="none"/>
                    </w:rPr>
                  </w:pPr>
                  <w:r>
                    <w:rPr>
                      <w:rFonts w:hint="default"/>
                      <w:b w:val="0"/>
                      <w:bCs w:val="0"/>
                      <w:u w:val="none"/>
                    </w:rPr>
                    <w:t>71.56</w:t>
                  </w:r>
                </w:p>
              </w:tc>
              <w:tc>
                <w:tcPr>
                  <w:tcW w:w="616" w:type="dxa"/>
                  <w:tcBorders>
                    <w:tl2br w:val="nil"/>
                    <w:tr2bl w:val="nil"/>
                  </w:tcBorders>
                  <w:shd w:val="clear" w:color="auto" w:fill="auto"/>
                  <w:noWrap/>
                  <w:vAlign w:val="center"/>
                </w:tcPr>
                <w:p w14:paraId="0BB35AB2">
                  <w:pPr>
                    <w:pStyle w:val="45"/>
                    <w:rPr>
                      <w:rFonts w:hint="default"/>
                      <w:b w:val="0"/>
                      <w:bCs w:val="0"/>
                      <w:u w:val="none"/>
                    </w:rPr>
                  </w:pPr>
                  <w:r>
                    <w:rPr>
                      <w:rFonts w:hint="default"/>
                      <w:b w:val="0"/>
                      <w:bCs w:val="0"/>
                      <w:u w:val="none"/>
                    </w:rPr>
                    <w:t>昼夜</w:t>
                  </w:r>
                </w:p>
              </w:tc>
              <w:tc>
                <w:tcPr>
                  <w:tcW w:w="734" w:type="dxa"/>
                  <w:tcBorders>
                    <w:tl2br w:val="nil"/>
                    <w:tr2bl w:val="nil"/>
                  </w:tcBorders>
                  <w:shd w:val="clear" w:color="auto" w:fill="auto"/>
                  <w:noWrap/>
                  <w:vAlign w:val="center"/>
                </w:tcPr>
                <w:p w14:paraId="7AAB1CED">
                  <w:pPr>
                    <w:pStyle w:val="45"/>
                    <w:rPr>
                      <w:rFonts w:hint="default"/>
                      <w:b w:val="0"/>
                      <w:bCs w:val="0"/>
                      <w:u w:val="none"/>
                    </w:rPr>
                  </w:pPr>
                  <w:r>
                    <w:rPr>
                      <w:rFonts w:hint="default"/>
                      <w:b w:val="0"/>
                      <w:bCs w:val="0"/>
                      <w:u w:val="none"/>
                    </w:rPr>
                    <w:t>连续</w:t>
                  </w:r>
                </w:p>
              </w:tc>
              <w:tc>
                <w:tcPr>
                  <w:tcW w:w="1013" w:type="dxa"/>
                  <w:tcBorders>
                    <w:tl2br w:val="nil"/>
                    <w:tr2bl w:val="nil"/>
                  </w:tcBorders>
                  <w:shd w:val="clear" w:color="auto" w:fill="auto"/>
                  <w:noWrap/>
                  <w:vAlign w:val="center"/>
                </w:tcPr>
                <w:p w14:paraId="1181AE21">
                  <w:pPr>
                    <w:pStyle w:val="45"/>
                    <w:rPr>
                      <w:rFonts w:hint="default"/>
                      <w:b w:val="0"/>
                      <w:bCs w:val="0"/>
                      <w:u w:val="none"/>
                    </w:rPr>
                  </w:pPr>
                  <w:r>
                    <w:rPr>
                      <w:rFonts w:hint="default"/>
                      <w:b w:val="0"/>
                      <w:bCs w:val="0"/>
                      <w:u w:val="none"/>
                    </w:rPr>
                    <w:t>15</w:t>
                  </w:r>
                </w:p>
              </w:tc>
              <w:tc>
                <w:tcPr>
                  <w:tcW w:w="1091" w:type="dxa"/>
                  <w:tcBorders>
                    <w:tl2br w:val="nil"/>
                    <w:tr2bl w:val="nil"/>
                  </w:tcBorders>
                  <w:shd w:val="clear" w:color="auto" w:fill="auto"/>
                  <w:noWrap/>
                  <w:vAlign w:val="center"/>
                </w:tcPr>
                <w:p w14:paraId="3701EF8C">
                  <w:pPr>
                    <w:pStyle w:val="45"/>
                    <w:rPr>
                      <w:rFonts w:hint="default"/>
                      <w:b w:val="0"/>
                      <w:bCs w:val="0"/>
                      <w:u w:val="none"/>
                    </w:rPr>
                  </w:pPr>
                  <w:r>
                    <w:rPr>
                      <w:rFonts w:hint="default"/>
                      <w:b w:val="0"/>
                      <w:bCs w:val="0"/>
                      <w:u w:val="none"/>
                    </w:rPr>
                    <w:t>62.56</w:t>
                  </w:r>
                </w:p>
              </w:tc>
              <w:tc>
                <w:tcPr>
                  <w:tcW w:w="1037" w:type="dxa"/>
                  <w:tcBorders>
                    <w:tl2br w:val="nil"/>
                    <w:tr2bl w:val="nil"/>
                  </w:tcBorders>
                  <w:shd w:val="clear" w:color="auto" w:fill="auto"/>
                  <w:noWrap/>
                  <w:vAlign w:val="center"/>
                </w:tcPr>
                <w:p w14:paraId="604F933E">
                  <w:pPr>
                    <w:pStyle w:val="45"/>
                    <w:rPr>
                      <w:rFonts w:hint="default"/>
                      <w:b w:val="0"/>
                      <w:bCs w:val="0"/>
                      <w:u w:val="none"/>
                    </w:rPr>
                  </w:pPr>
                  <w:r>
                    <w:rPr>
                      <w:rFonts w:hint="default"/>
                      <w:b w:val="0"/>
                      <w:bCs w:val="0"/>
                      <w:u w:val="none"/>
                    </w:rPr>
                    <w:t>1</w:t>
                  </w:r>
                </w:p>
              </w:tc>
            </w:tr>
            <w:tr w14:paraId="361C4E3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14" w:type="dxa"/>
                  <w:tcBorders>
                    <w:tl2br w:val="nil"/>
                    <w:tr2bl w:val="nil"/>
                  </w:tcBorders>
                  <w:shd w:val="clear" w:color="auto" w:fill="auto"/>
                  <w:vAlign w:val="center"/>
                </w:tcPr>
                <w:p w14:paraId="47A47344">
                  <w:pPr>
                    <w:pStyle w:val="45"/>
                    <w:rPr>
                      <w:rFonts w:hint="default"/>
                      <w:b w:val="0"/>
                      <w:bCs w:val="0"/>
                      <w:u w:val="none"/>
                    </w:rPr>
                  </w:pPr>
                  <w:r>
                    <w:rPr>
                      <w:rFonts w:hint="default"/>
                      <w:b w:val="0"/>
                      <w:bCs w:val="0"/>
                      <w:u w:val="none"/>
                    </w:rPr>
                    <w:t>2</w:t>
                  </w:r>
                </w:p>
              </w:tc>
              <w:tc>
                <w:tcPr>
                  <w:tcW w:w="769" w:type="dxa"/>
                  <w:tcBorders>
                    <w:tl2br w:val="nil"/>
                    <w:tr2bl w:val="nil"/>
                  </w:tcBorders>
                  <w:shd w:val="clear" w:color="auto" w:fill="auto"/>
                  <w:vAlign w:val="center"/>
                </w:tcPr>
                <w:p w14:paraId="0AE6D2BF">
                  <w:pPr>
                    <w:pStyle w:val="45"/>
                    <w:rPr>
                      <w:rFonts w:hint="default"/>
                      <w:b w:val="0"/>
                      <w:bCs w:val="0"/>
                      <w:u w:val="none"/>
                    </w:rPr>
                  </w:pPr>
                  <w:r>
                    <w:rPr>
                      <w:rFonts w:hint="default"/>
                      <w:b w:val="0"/>
                      <w:bCs w:val="0"/>
                      <w:u w:val="none"/>
                    </w:rPr>
                    <w:t>压缩厂房</w:t>
                  </w:r>
                </w:p>
              </w:tc>
              <w:tc>
                <w:tcPr>
                  <w:tcW w:w="1050" w:type="dxa"/>
                  <w:tcBorders>
                    <w:tl2br w:val="nil"/>
                    <w:tr2bl w:val="nil"/>
                  </w:tcBorders>
                  <w:shd w:val="clear" w:color="auto" w:fill="auto"/>
                  <w:vAlign w:val="center"/>
                </w:tcPr>
                <w:p w14:paraId="542F9119">
                  <w:pPr>
                    <w:pStyle w:val="45"/>
                    <w:rPr>
                      <w:rFonts w:hint="default"/>
                      <w:b w:val="0"/>
                      <w:bCs w:val="0"/>
                      <w:u w:val="none"/>
                    </w:rPr>
                  </w:pPr>
                  <w:r>
                    <w:rPr>
                      <w:rFonts w:hint="default"/>
                      <w:b w:val="0"/>
                      <w:bCs w:val="0"/>
                      <w:u w:val="none"/>
                    </w:rPr>
                    <w:t>原料气压缩机2</w:t>
                  </w:r>
                </w:p>
              </w:tc>
              <w:tc>
                <w:tcPr>
                  <w:tcW w:w="1182" w:type="dxa"/>
                  <w:tcBorders>
                    <w:tl2br w:val="nil"/>
                    <w:tr2bl w:val="nil"/>
                  </w:tcBorders>
                  <w:shd w:val="clear" w:color="auto" w:fill="auto"/>
                  <w:vAlign w:val="center"/>
                </w:tcPr>
                <w:p w14:paraId="3FDE5043">
                  <w:pPr>
                    <w:pStyle w:val="45"/>
                    <w:rPr>
                      <w:rFonts w:hint="default"/>
                      <w:b w:val="0"/>
                      <w:bCs w:val="0"/>
                      <w:u w:val="none"/>
                    </w:rPr>
                  </w:pPr>
                  <w:r>
                    <w:rPr>
                      <w:rFonts w:hint="default"/>
                      <w:b w:val="0"/>
                      <w:bCs w:val="0"/>
                      <w:u w:val="none"/>
                    </w:rPr>
                    <w:t>4M16-75/25</w:t>
                  </w:r>
                </w:p>
              </w:tc>
              <w:tc>
                <w:tcPr>
                  <w:tcW w:w="1214" w:type="dxa"/>
                  <w:tcBorders>
                    <w:tl2br w:val="nil"/>
                    <w:tr2bl w:val="nil"/>
                  </w:tcBorders>
                  <w:shd w:val="clear" w:color="auto" w:fill="auto"/>
                  <w:noWrap/>
                  <w:vAlign w:val="center"/>
                </w:tcPr>
                <w:p w14:paraId="4EB9EE8F">
                  <w:pPr>
                    <w:pStyle w:val="45"/>
                    <w:rPr>
                      <w:rFonts w:hint="default"/>
                      <w:b w:val="0"/>
                      <w:bCs w:val="0"/>
                      <w:u w:val="none"/>
                    </w:rPr>
                  </w:pPr>
                  <w:r>
                    <w:rPr>
                      <w:rFonts w:hint="default"/>
                      <w:b w:val="0"/>
                      <w:bCs w:val="0"/>
                      <w:u w:val="none"/>
                    </w:rPr>
                    <w:t>85</w:t>
                  </w:r>
                </w:p>
              </w:tc>
              <w:tc>
                <w:tcPr>
                  <w:tcW w:w="664" w:type="dxa"/>
                  <w:vMerge w:val="continue"/>
                  <w:tcBorders>
                    <w:tl2br w:val="nil"/>
                    <w:tr2bl w:val="nil"/>
                  </w:tcBorders>
                  <w:shd w:val="clear" w:color="auto" w:fill="auto"/>
                  <w:vAlign w:val="center"/>
                </w:tcPr>
                <w:p w14:paraId="4E01C415">
                  <w:pPr>
                    <w:pStyle w:val="45"/>
                    <w:rPr>
                      <w:rFonts w:hint="default"/>
                      <w:b w:val="0"/>
                      <w:bCs w:val="0"/>
                      <w:u w:val="none"/>
                    </w:rPr>
                  </w:pPr>
                </w:p>
              </w:tc>
              <w:tc>
                <w:tcPr>
                  <w:tcW w:w="761" w:type="dxa"/>
                  <w:tcBorders>
                    <w:tl2br w:val="nil"/>
                    <w:tr2bl w:val="nil"/>
                  </w:tcBorders>
                  <w:shd w:val="clear" w:color="auto" w:fill="auto"/>
                  <w:noWrap/>
                  <w:vAlign w:val="center"/>
                </w:tcPr>
                <w:p w14:paraId="34CC3531">
                  <w:pPr>
                    <w:pStyle w:val="45"/>
                    <w:rPr>
                      <w:rFonts w:hint="default"/>
                      <w:b w:val="0"/>
                      <w:bCs w:val="0"/>
                      <w:u w:val="none"/>
                    </w:rPr>
                  </w:pPr>
                  <w:r>
                    <w:rPr>
                      <w:rFonts w:hint="default"/>
                      <w:b w:val="0"/>
                      <w:bCs w:val="0"/>
                      <w:u w:val="none"/>
                    </w:rPr>
                    <w:t>33.34</w:t>
                  </w:r>
                </w:p>
              </w:tc>
              <w:tc>
                <w:tcPr>
                  <w:tcW w:w="818" w:type="dxa"/>
                  <w:tcBorders>
                    <w:tl2br w:val="nil"/>
                    <w:tr2bl w:val="nil"/>
                  </w:tcBorders>
                  <w:shd w:val="clear" w:color="auto" w:fill="auto"/>
                  <w:noWrap/>
                  <w:vAlign w:val="center"/>
                </w:tcPr>
                <w:p w14:paraId="1921714B">
                  <w:pPr>
                    <w:pStyle w:val="45"/>
                    <w:rPr>
                      <w:rFonts w:hint="default"/>
                      <w:b w:val="0"/>
                      <w:bCs w:val="0"/>
                      <w:u w:val="none"/>
                    </w:rPr>
                  </w:pPr>
                  <w:r>
                    <w:rPr>
                      <w:rFonts w:hint="default"/>
                      <w:b w:val="0"/>
                      <w:bCs w:val="0"/>
                      <w:u w:val="none"/>
                    </w:rPr>
                    <w:t>110.68</w:t>
                  </w:r>
                </w:p>
              </w:tc>
              <w:tc>
                <w:tcPr>
                  <w:tcW w:w="717" w:type="dxa"/>
                  <w:tcBorders>
                    <w:tl2br w:val="nil"/>
                    <w:tr2bl w:val="nil"/>
                  </w:tcBorders>
                  <w:shd w:val="clear" w:color="auto" w:fill="auto"/>
                  <w:noWrap/>
                  <w:vAlign w:val="center"/>
                </w:tcPr>
                <w:p w14:paraId="33041194">
                  <w:pPr>
                    <w:pStyle w:val="45"/>
                    <w:rPr>
                      <w:rFonts w:hint="default"/>
                      <w:b w:val="0"/>
                      <w:bCs w:val="0"/>
                      <w:u w:val="none"/>
                    </w:rPr>
                  </w:pPr>
                  <w:r>
                    <w:rPr>
                      <w:rFonts w:hint="default"/>
                      <w:b w:val="0"/>
                      <w:bCs w:val="0"/>
                      <w:u w:val="none"/>
                    </w:rPr>
                    <w:t>1</w:t>
                  </w:r>
                </w:p>
              </w:tc>
              <w:tc>
                <w:tcPr>
                  <w:tcW w:w="914" w:type="dxa"/>
                  <w:tcBorders>
                    <w:tl2br w:val="nil"/>
                    <w:tr2bl w:val="nil"/>
                  </w:tcBorders>
                  <w:shd w:val="clear" w:color="auto" w:fill="auto"/>
                  <w:noWrap/>
                  <w:vAlign w:val="center"/>
                </w:tcPr>
                <w:p w14:paraId="3E23319C">
                  <w:pPr>
                    <w:pStyle w:val="45"/>
                    <w:rPr>
                      <w:rFonts w:hint="default"/>
                      <w:b w:val="0"/>
                      <w:bCs w:val="0"/>
                      <w:u w:val="none"/>
                    </w:rPr>
                  </w:pPr>
                  <w:r>
                    <w:rPr>
                      <w:rFonts w:hint="default"/>
                      <w:b w:val="0"/>
                      <w:bCs w:val="0"/>
                      <w:u w:val="none"/>
                    </w:rPr>
                    <w:t>9.36</w:t>
                  </w:r>
                </w:p>
              </w:tc>
              <w:tc>
                <w:tcPr>
                  <w:tcW w:w="964" w:type="dxa"/>
                  <w:tcBorders>
                    <w:tl2br w:val="nil"/>
                    <w:tr2bl w:val="nil"/>
                  </w:tcBorders>
                  <w:shd w:val="clear" w:color="auto" w:fill="auto"/>
                  <w:noWrap/>
                  <w:vAlign w:val="center"/>
                </w:tcPr>
                <w:p w14:paraId="6732F527">
                  <w:pPr>
                    <w:pStyle w:val="45"/>
                    <w:rPr>
                      <w:rFonts w:hint="default"/>
                      <w:b w:val="0"/>
                      <w:bCs w:val="0"/>
                      <w:u w:val="none"/>
                    </w:rPr>
                  </w:pPr>
                  <w:r>
                    <w:rPr>
                      <w:rFonts w:hint="default"/>
                      <w:b w:val="0"/>
                      <w:bCs w:val="0"/>
                      <w:u w:val="none"/>
                    </w:rPr>
                    <w:t>71.56</w:t>
                  </w:r>
                </w:p>
              </w:tc>
              <w:tc>
                <w:tcPr>
                  <w:tcW w:w="616" w:type="dxa"/>
                  <w:tcBorders>
                    <w:tl2br w:val="nil"/>
                    <w:tr2bl w:val="nil"/>
                  </w:tcBorders>
                  <w:shd w:val="clear" w:color="auto" w:fill="auto"/>
                  <w:noWrap/>
                  <w:vAlign w:val="center"/>
                </w:tcPr>
                <w:p w14:paraId="28F3BDF3">
                  <w:pPr>
                    <w:pStyle w:val="45"/>
                    <w:rPr>
                      <w:rFonts w:hint="default"/>
                      <w:b w:val="0"/>
                      <w:bCs w:val="0"/>
                      <w:u w:val="none"/>
                    </w:rPr>
                  </w:pPr>
                  <w:r>
                    <w:rPr>
                      <w:rFonts w:hint="default"/>
                      <w:b w:val="0"/>
                      <w:bCs w:val="0"/>
                      <w:u w:val="none"/>
                    </w:rPr>
                    <w:t>昼夜</w:t>
                  </w:r>
                </w:p>
              </w:tc>
              <w:tc>
                <w:tcPr>
                  <w:tcW w:w="734" w:type="dxa"/>
                  <w:tcBorders>
                    <w:tl2br w:val="nil"/>
                    <w:tr2bl w:val="nil"/>
                  </w:tcBorders>
                  <w:shd w:val="clear" w:color="auto" w:fill="auto"/>
                  <w:noWrap/>
                  <w:vAlign w:val="center"/>
                </w:tcPr>
                <w:p w14:paraId="29CAD285">
                  <w:pPr>
                    <w:pStyle w:val="45"/>
                    <w:rPr>
                      <w:rFonts w:hint="default"/>
                      <w:b w:val="0"/>
                      <w:bCs w:val="0"/>
                      <w:u w:val="none"/>
                    </w:rPr>
                  </w:pPr>
                  <w:r>
                    <w:rPr>
                      <w:rFonts w:hint="default"/>
                      <w:b w:val="0"/>
                      <w:bCs w:val="0"/>
                      <w:u w:val="none"/>
                    </w:rPr>
                    <w:t>连续</w:t>
                  </w:r>
                </w:p>
              </w:tc>
              <w:tc>
                <w:tcPr>
                  <w:tcW w:w="1013" w:type="dxa"/>
                  <w:tcBorders>
                    <w:tl2br w:val="nil"/>
                    <w:tr2bl w:val="nil"/>
                  </w:tcBorders>
                  <w:shd w:val="clear" w:color="auto" w:fill="auto"/>
                  <w:noWrap/>
                  <w:vAlign w:val="center"/>
                </w:tcPr>
                <w:p w14:paraId="64FAF77B">
                  <w:pPr>
                    <w:pStyle w:val="45"/>
                    <w:rPr>
                      <w:rFonts w:hint="default"/>
                      <w:b w:val="0"/>
                      <w:bCs w:val="0"/>
                      <w:u w:val="none"/>
                    </w:rPr>
                  </w:pPr>
                  <w:r>
                    <w:rPr>
                      <w:rFonts w:hint="default"/>
                      <w:b w:val="0"/>
                      <w:bCs w:val="0"/>
                      <w:u w:val="none"/>
                    </w:rPr>
                    <w:t>15</w:t>
                  </w:r>
                </w:p>
              </w:tc>
              <w:tc>
                <w:tcPr>
                  <w:tcW w:w="1091" w:type="dxa"/>
                  <w:tcBorders>
                    <w:tl2br w:val="nil"/>
                    <w:tr2bl w:val="nil"/>
                  </w:tcBorders>
                  <w:shd w:val="clear" w:color="auto" w:fill="auto"/>
                  <w:noWrap/>
                  <w:vAlign w:val="center"/>
                </w:tcPr>
                <w:p w14:paraId="0AF5083F">
                  <w:pPr>
                    <w:pStyle w:val="45"/>
                    <w:rPr>
                      <w:rFonts w:hint="default"/>
                      <w:b w:val="0"/>
                      <w:bCs w:val="0"/>
                      <w:u w:val="none"/>
                    </w:rPr>
                  </w:pPr>
                  <w:r>
                    <w:rPr>
                      <w:rFonts w:hint="default"/>
                      <w:b w:val="0"/>
                      <w:bCs w:val="0"/>
                      <w:u w:val="none"/>
                    </w:rPr>
                    <w:t>62.56</w:t>
                  </w:r>
                </w:p>
              </w:tc>
              <w:tc>
                <w:tcPr>
                  <w:tcW w:w="1037" w:type="dxa"/>
                  <w:tcBorders>
                    <w:tl2br w:val="nil"/>
                    <w:tr2bl w:val="nil"/>
                  </w:tcBorders>
                  <w:shd w:val="clear" w:color="auto" w:fill="auto"/>
                  <w:noWrap/>
                  <w:vAlign w:val="center"/>
                </w:tcPr>
                <w:p w14:paraId="754A1533">
                  <w:pPr>
                    <w:pStyle w:val="45"/>
                    <w:rPr>
                      <w:rFonts w:hint="default"/>
                      <w:b w:val="0"/>
                      <w:bCs w:val="0"/>
                      <w:u w:val="none"/>
                    </w:rPr>
                  </w:pPr>
                  <w:r>
                    <w:rPr>
                      <w:rFonts w:hint="default"/>
                      <w:b w:val="0"/>
                      <w:bCs w:val="0"/>
                      <w:u w:val="none"/>
                    </w:rPr>
                    <w:t>1</w:t>
                  </w:r>
                </w:p>
              </w:tc>
            </w:tr>
            <w:tr w14:paraId="38D9C55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14" w:type="dxa"/>
                  <w:tcBorders>
                    <w:tl2br w:val="nil"/>
                    <w:tr2bl w:val="nil"/>
                  </w:tcBorders>
                  <w:shd w:val="clear" w:color="auto" w:fill="auto"/>
                  <w:vAlign w:val="center"/>
                </w:tcPr>
                <w:p w14:paraId="0A60A93B">
                  <w:pPr>
                    <w:pStyle w:val="45"/>
                    <w:rPr>
                      <w:rFonts w:hint="eastAsia" w:eastAsia="宋体"/>
                      <w:b w:val="0"/>
                      <w:bCs w:val="0"/>
                      <w:u w:val="none"/>
                      <w:lang w:val="en-US" w:eastAsia="zh-CN"/>
                    </w:rPr>
                  </w:pPr>
                  <w:r>
                    <w:rPr>
                      <w:rFonts w:hint="eastAsia"/>
                      <w:b w:val="0"/>
                      <w:bCs w:val="0"/>
                      <w:u w:val="none"/>
                      <w:lang w:val="en-US" w:eastAsia="zh-CN"/>
                    </w:rPr>
                    <w:t>3</w:t>
                  </w:r>
                </w:p>
              </w:tc>
              <w:tc>
                <w:tcPr>
                  <w:tcW w:w="769" w:type="dxa"/>
                  <w:tcBorders>
                    <w:tl2br w:val="nil"/>
                    <w:tr2bl w:val="nil"/>
                  </w:tcBorders>
                  <w:shd w:val="clear" w:color="auto" w:fill="auto"/>
                  <w:vAlign w:val="center"/>
                </w:tcPr>
                <w:p w14:paraId="2B3EB0D0">
                  <w:pPr>
                    <w:pStyle w:val="45"/>
                    <w:rPr>
                      <w:rFonts w:hint="default"/>
                      <w:b w:val="0"/>
                      <w:bCs w:val="0"/>
                      <w:u w:val="none"/>
                    </w:rPr>
                  </w:pPr>
                  <w:r>
                    <w:rPr>
                      <w:rFonts w:hint="default"/>
                      <w:b w:val="0"/>
                      <w:bCs w:val="0"/>
                      <w:u w:val="none"/>
                    </w:rPr>
                    <w:t>压缩厂房</w:t>
                  </w:r>
                </w:p>
              </w:tc>
              <w:tc>
                <w:tcPr>
                  <w:tcW w:w="1050" w:type="dxa"/>
                  <w:tcBorders>
                    <w:tl2br w:val="nil"/>
                    <w:tr2bl w:val="nil"/>
                  </w:tcBorders>
                  <w:shd w:val="clear" w:color="auto" w:fill="auto"/>
                  <w:vAlign w:val="center"/>
                </w:tcPr>
                <w:p w14:paraId="2BD9CDEF">
                  <w:pPr>
                    <w:pStyle w:val="45"/>
                    <w:rPr>
                      <w:rFonts w:hint="eastAsia" w:eastAsia="宋体"/>
                      <w:b w:val="0"/>
                      <w:bCs w:val="0"/>
                      <w:u w:val="none"/>
                      <w:lang w:eastAsia="zh-CN"/>
                    </w:rPr>
                  </w:pPr>
                  <w:r>
                    <w:rPr>
                      <w:rFonts w:hint="default"/>
                      <w:b w:val="0"/>
                      <w:bCs w:val="0"/>
                      <w:u w:val="none"/>
                    </w:rPr>
                    <w:t>原料气压缩机</w:t>
                  </w:r>
                  <w:r>
                    <w:rPr>
                      <w:rFonts w:hint="eastAsia"/>
                      <w:b w:val="0"/>
                      <w:bCs w:val="0"/>
                      <w:u w:val="none"/>
                      <w:lang w:val="en-US" w:eastAsia="zh-CN"/>
                    </w:rPr>
                    <w:t>3</w:t>
                  </w:r>
                </w:p>
              </w:tc>
              <w:tc>
                <w:tcPr>
                  <w:tcW w:w="1182" w:type="dxa"/>
                  <w:tcBorders>
                    <w:tl2br w:val="nil"/>
                    <w:tr2bl w:val="nil"/>
                  </w:tcBorders>
                  <w:shd w:val="clear" w:color="auto" w:fill="auto"/>
                  <w:vAlign w:val="center"/>
                </w:tcPr>
                <w:p w14:paraId="267B3A7A">
                  <w:pPr>
                    <w:pStyle w:val="45"/>
                    <w:rPr>
                      <w:rFonts w:hint="default"/>
                      <w:b w:val="0"/>
                      <w:bCs w:val="0"/>
                      <w:u w:val="none"/>
                    </w:rPr>
                  </w:pPr>
                  <w:r>
                    <w:rPr>
                      <w:rFonts w:hint="default"/>
                      <w:b w:val="0"/>
                      <w:bCs w:val="0"/>
                      <w:u w:val="none"/>
                    </w:rPr>
                    <w:t>4M16-75/25</w:t>
                  </w:r>
                </w:p>
              </w:tc>
              <w:tc>
                <w:tcPr>
                  <w:tcW w:w="1214" w:type="dxa"/>
                  <w:tcBorders>
                    <w:tl2br w:val="nil"/>
                    <w:tr2bl w:val="nil"/>
                  </w:tcBorders>
                  <w:shd w:val="clear" w:color="auto" w:fill="auto"/>
                  <w:noWrap/>
                  <w:vAlign w:val="center"/>
                </w:tcPr>
                <w:p w14:paraId="0D3B9EF6">
                  <w:pPr>
                    <w:pStyle w:val="45"/>
                    <w:rPr>
                      <w:rFonts w:hint="default" w:eastAsia="宋体"/>
                      <w:b w:val="0"/>
                      <w:bCs w:val="0"/>
                      <w:u w:val="none"/>
                      <w:lang w:val="en-US" w:eastAsia="zh-CN"/>
                    </w:rPr>
                  </w:pPr>
                  <w:r>
                    <w:rPr>
                      <w:rFonts w:hint="eastAsia"/>
                      <w:b w:val="0"/>
                      <w:bCs w:val="0"/>
                      <w:u w:val="none"/>
                      <w:lang w:val="en-US" w:eastAsia="zh-CN"/>
                    </w:rPr>
                    <w:t>85</w:t>
                  </w:r>
                </w:p>
              </w:tc>
              <w:tc>
                <w:tcPr>
                  <w:tcW w:w="664" w:type="dxa"/>
                  <w:vMerge w:val="continue"/>
                  <w:tcBorders>
                    <w:tl2br w:val="nil"/>
                    <w:tr2bl w:val="nil"/>
                  </w:tcBorders>
                  <w:shd w:val="clear" w:color="auto" w:fill="auto"/>
                  <w:vAlign w:val="center"/>
                </w:tcPr>
                <w:p w14:paraId="36CF4996">
                  <w:pPr>
                    <w:pStyle w:val="45"/>
                    <w:rPr>
                      <w:rFonts w:hint="default"/>
                      <w:b w:val="0"/>
                      <w:bCs w:val="0"/>
                      <w:u w:val="none"/>
                    </w:rPr>
                  </w:pPr>
                </w:p>
              </w:tc>
              <w:tc>
                <w:tcPr>
                  <w:tcW w:w="761" w:type="dxa"/>
                  <w:tcBorders>
                    <w:tl2br w:val="nil"/>
                    <w:tr2bl w:val="nil"/>
                  </w:tcBorders>
                  <w:shd w:val="clear" w:color="auto" w:fill="auto"/>
                  <w:noWrap/>
                  <w:vAlign w:val="center"/>
                </w:tcPr>
                <w:p w14:paraId="091DD880">
                  <w:pPr>
                    <w:pStyle w:val="45"/>
                    <w:ind w:firstLine="0" w:firstLineChars="0"/>
                    <w:rPr>
                      <w:rFonts w:hint="default"/>
                      <w:b w:val="0"/>
                      <w:bCs w:val="0"/>
                      <w:u w:val="none"/>
                    </w:rPr>
                  </w:pPr>
                  <w:r>
                    <w:rPr>
                      <w:rFonts w:hint="default"/>
                      <w:b w:val="0"/>
                      <w:bCs w:val="0"/>
                      <w:u w:val="none"/>
                    </w:rPr>
                    <w:t>3</w:t>
                  </w:r>
                  <w:r>
                    <w:rPr>
                      <w:rFonts w:hint="eastAsia"/>
                      <w:b w:val="0"/>
                      <w:bCs w:val="0"/>
                      <w:u w:val="none"/>
                      <w:lang w:val="en-US" w:eastAsia="zh-CN"/>
                    </w:rPr>
                    <w:t>9</w:t>
                  </w:r>
                  <w:r>
                    <w:rPr>
                      <w:rFonts w:hint="default"/>
                      <w:b w:val="0"/>
                      <w:bCs w:val="0"/>
                      <w:u w:val="none"/>
                    </w:rPr>
                    <w:t>.</w:t>
                  </w:r>
                  <w:r>
                    <w:rPr>
                      <w:rFonts w:hint="eastAsia"/>
                      <w:b w:val="0"/>
                      <w:bCs w:val="0"/>
                      <w:u w:val="none"/>
                      <w:lang w:val="en-US" w:eastAsia="zh-CN"/>
                    </w:rPr>
                    <w:t>2</w:t>
                  </w:r>
                </w:p>
              </w:tc>
              <w:tc>
                <w:tcPr>
                  <w:tcW w:w="818" w:type="dxa"/>
                  <w:tcBorders>
                    <w:tl2br w:val="nil"/>
                    <w:tr2bl w:val="nil"/>
                  </w:tcBorders>
                  <w:shd w:val="clear" w:color="auto" w:fill="auto"/>
                  <w:noWrap/>
                  <w:vAlign w:val="center"/>
                </w:tcPr>
                <w:p w14:paraId="0B13C719">
                  <w:pPr>
                    <w:pStyle w:val="45"/>
                    <w:ind w:firstLine="0" w:firstLineChars="0"/>
                    <w:rPr>
                      <w:rFonts w:hint="default"/>
                      <w:b w:val="0"/>
                      <w:bCs w:val="0"/>
                      <w:u w:val="none"/>
                    </w:rPr>
                  </w:pPr>
                  <w:r>
                    <w:rPr>
                      <w:rFonts w:hint="default"/>
                      <w:b w:val="0"/>
                      <w:bCs w:val="0"/>
                      <w:u w:val="none"/>
                    </w:rPr>
                    <w:t>110.68</w:t>
                  </w:r>
                </w:p>
              </w:tc>
              <w:tc>
                <w:tcPr>
                  <w:tcW w:w="717" w:type="dxa"/>
                  <w:tcBorders>
                    <w:tl2br w:val="nil"/>
                    <w:tr2bl w:val="nil"/>
                  </w:tcBorders>
                  <w:shd w:val="clear" w:color="auto" w:fill="auto"/>
                  <w:noWrap/>
                  <w:vAlign w:val="center"/>
                </w:tcPr>
                <w:p w14:paraId="34400D44">
                  <w:pPr>
                    <w:pStyle w:val="45"/>
                    <w:ind w:firstLine="0" w:firstLineChars="0"/>
                    <w:rPr>
                      <w:rFonts w:hint="default"/>
                      <w:b w:val="0"/>
                      <w:bCs w:val="0"/>
                      <w:u w:val="none"/>
                    </w:rPr>
                  </w:pPr>
                  <w:r>
                    <w:rPr>
                      <w:rFonts w:hint="default"/>
                      <w:b w:val="0"/>
                      <w:bCs w:val="0"/>
                      <w:u w:val="none"/>
                    </w:rPr>
                    <w:t>1</w:t>
                  </w:r>
                </w:p>
              </w:tc>
              <w:tc>
                <w:tcPr>
                  <w:tcW w:w="914" w:type="dxa"/>
                  <w:tcBorders>
                    <w:tl2br w:val="nil"/>
                    <w:tr2bl w:val="nil"/>
                  </w:tcBorders>
                  <w:shd w:val="clear" w:color="auto" w:fill="auto"/>
                  <w:noWrap/>
                  <w:vAlign w:val="center"/>
                </w:tcPr>
                <w:p w14:paraId="46876128">
                  <w:pPr>
                    <w:pStyle w:val="45"/>
                    <w:rPr>
                      <w:rFonts w:hint="default" w:eastAsia="宋体"/>
                      <w:b w:val="0"/>
                      <w:bCs w:val="0"/>
                      <w:u w:val="none"/>
                      <w:lang w:val="en-US" w:eastAsia="zh-CN"/>
                    </w:rPr>
                  </w:pPr>
                  <w:r>
                    <w:rPr>
                      <w:rFonts w:hint="eastAsia"/>
                      <w:b w:val="0"/>
                      <w:bCs w:val="0"/>
                      <w:u w:val="none"/>
                      <w:lang w:val="en-US" w:eastAsia="zh-CN"/>
                    </w:rPr>
                    <w:t>9.36</w:t>
                  </w:r>
                </w:p>
              </w:tc>
              <w:tc>
                <w:tcPr>
                  <w:tcW w:w="964" w:type="dxa"/>
                  <w:tcBorders>
                    <w:tl2br w:val="nil"/>
                    <w:tr2bl w:val="nil"/>
                  </w:tcBorders>
                  <w:shd w:val="clear" w:color="auto" w:fill="auto"/>
                  <w:noWrap/>
                  <w:vAlign w:val="center"/>
                </w:tcPr>
                <w:p w14:paraId="10842489">
                  <w:pPr>
                    <w:pStyle w:val="45"/>
                    <w:rPr>
                      <w:rFonts w:hint="default"/>
                      <w:b w:val="0"/>
                      <w:bCs w:val="0"/>
                      <w:u w:val="none"/>
                    </w:rPr>
                  </w:pPr>
                  <w:r>
                    <w:rPr>
                      <w:rFonts w:hint="default"/>
                      <w:b w:val="0"/>
                      <w:bCs w:val="0"/>
                      <w:u w:val="none"/>
                    </w:rPr>
                    <w:t>71.56</w:t>
                  </w:r>
                </w:p>
              </w:tc>
              <w:tc>
                <w:tcPr>
                  <w:tcW w:w="616" w:type="dxa"/>
                  <w:tcBorders>
                    <w:tl2br w:val="nil"/>
                    <w:tr2bl w:val="nil"/>
                  </w:tcBorders>
                  <w:shd w:val="clear" w:color="auto" w:fill="auto"/>
                  <w:noWrap/>
                  <w:vAlign w:val="center"/>
                </w:tcPr>
                <w:p w14:paraId="4FCEBA7E">
                  <w:pPr>
                    <w:pStyle w:val="45"/>
                    <w:ind w:firstLine="0" w:firstLineChars="0"/>
                    <w:rPr>
                      <w:rFonts w:hint="default"/>
                      <w:b w:val="0"/>
                      <w:bCs w:val="0"/>
                      <w:u w:val="none"/>
                    </w:rPr>
                  </w:pPr>
                  <w:r>
                    <w:rPr>
                      <w:rFonts w:hint="default"/>
                      <w:b w:val="0"/>
                      <w:bCs w:val="0"/>
                      <w:u w:val="none"/>
                    </w:rPr>
                    <w:t>昼夜</w:t>
                  </w:r>
                </w:p>
              </w:tc>
              <w:tc>
                <w:tcPr>
                  <w:tcW w:w="734" w:type="dxa"/>
                  <w:tcBorders>
                    <w:tl2br w:val="nil"/>
                    <w:tr2bl w:val="nil"/>
                  </w:tcBorders>
                  <w:shd w:val="clear" w:color="auto" w:fill="auto"/>
                  <w:noWrap/>
                  <w:vAlign w:val="center"/>
                </w:tcPr>
                <w:p w14:paraId="312BC333">
                  <w:pPr>
                    <w:pStyle w:val="45"/>
                    <w:ind w:firstLine="0" w:firstLineChars="0"/>
                    <w:rPr>
                      <w:rFonts w:hint="default"/>
                      <w:b w:val="0"/>
                      <w:bCs w:val="0"/>
                      <w:u w:val="none"/>
                    </w:rPr>
                  </w:pPr>
                  <w:r>
                    <w:rPr>
                      <w:rFonts w:hint="default"/>
                      <w:b w:val="0"/>
                      <w:bCs w:val="0"/>
                      <w:u w:val="none"/>
                    </w:rPr>
                    <w:t>连续</w:t>
                  </w:r>
                </w:p>
              </w:tc>
              <w:tc>
                <w:tcPr>
                  <w:tcW w:w="1013" w:type="dxa"/>
                  <w:tcBorders>
                    <w:tl2br w:val="nil"/>
                    <w:tr2bl w:val="nil"/>
                  </w:tcBorders>
                  <w:shd w:val="clear" w:color="auto" w:fill="auto"/>
                  <w:noWrap/>
                  <w:vAlign w:val="center"/>
                </w:tcPr>
                <w:p w14:paraId="124AAE6B">
                  <w:pPr>
                    <w:pStyle w:val="45"/>
                    <w:rPr>
                      <w:rFonts w:hint="default" w:eastAsia="宋体"/>
                      <w:b w:val="0"/>
                      <w:bCs w:val="0"/>
                      <w:u w:val="none"/>
                      <w:lang w:val="en-US" w:eastAsia="zh-CN"/>
                    </w:rPr>
                  </w:pPr>
                  <w:r>
                    <w:rPr>
                      <w:rFonts w:hint="eastAsia"/>
                      <w:b w:val="0"/>
                      <w:bCs w:val="0"/>
                      <w:u w:val="none"/>
                      <w:lang w:val="en-US" w:eastAsia="zh-CN"/>
                    </w:rPr>
                    <w:t>15</w:t>
                  </w:r>
                </w:p>
              </w:tc>
              <w:tc>
                <w:tcPr>
                  <w:tcW w:w="1091" w:type="dxa"/>
                  <w:tcBorders>
                    <w:tl2br w:val="nil"/>
                    <w:tr2bl w:val="nil"/>
                  </w:tcBorders>
                  <w:shd w:val="clear" w:color="auto" w:fill="auto"/>
                  <w:noWrap/>
                  <w:vAlign w:val="center"/>
                </w:tcPr>
                <w:p w14:paraId="31388582">
                  <w:pPr>
                    <w:pStyle w:val="45"/>
                    <w:ind w:firstLine="0" w:firstLineChars="0"/>
                    <w:rPr>
                      <w:rFonts w:hint="default"/>
                      <w:b w:val="0"/>
                      <w:bCs w:val="0"/>
                      <w:u w:val="none"/>
                    </w:rPr>
                  </w:pPr>
                  <w:r>
                    <w:rPr>
                      <w:rFonts w:hint="default"/>
                      <w:b w:val="0"/>
                      <w:bCs w:val="0"/>
                      <w:u w:val="none"/>
                    </w:rPr>
                    <w:t>62.56</w:t>
                  </w:r>
                </w:p>
              </w:tc>
              <w:tc>
                <w:tcPr>
                  <w:tcW w:w="1037" w:type="dxa"/>
                  <w:tcBorders>
                    <w:tl2br w:val="nil"/>
                    <w:tr2bl w:val="nil"/>
                  </w:tcBorders>
                  <w:shd w:val="clear" w:color="auto" w:fill="auto"/>
                  <w:noWrap/>
                  <w:vAlign w:val="center"/>
                </w:tcPr>
                <w:p w14:paraId="135626E7">
                  <w:pPr>
                    <w:pStyle w:val="45"/>
                    <w:ind w:firstLine="0" w:firstLineChars="0"/>
                    <w:rPr>
                      <w:rFonts w:hint="default"/>
                      <w:b w:val="0"/>
                      <w:bCs w:val="0"/>
                      <w:u w:val="none"/>
                    </w:rPr>
                  </w:pPr>
                  <w:r>
                    <w:rPr>
                      <w:rFonts w:hint="default"/>
                      <w:b w:val="0"/>
                      <w:bCs w:val="0"/>
                      <w:u w:val="none"/>
                    </w:rPr>
                    <w:t>1</w:t>
                  </w:r>
                </w:p>
              </w:tc>
            </w:tr>
            <w:tr w14:paraId="00E7876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958" w:type="dxa"/>
                  <w:gridSpan w:val="16"/>
                  <w:tcBorders>
                    <w:tl2br w:val="nil"/>
                    <w:tr2bl w:val="nil"/>
                  </w:tcBorders>
                  <w:shd w:val="clear" w:color="auto" w:fill="auto"/>
                  <w:vAlign w:val="center"/>
                </w:tcPr>
                <w:p w14:paraId="15874179">
                  <w:pPr>
                    <w:pStyle w:val="45"/>
                    <w:rPr>
                      <w:rFonts w:hint="default"/>
                      <w:b w:val="0"/>
                      <w:bCs w:val="0"/>
                      <w:u w:val="none"/>
                    </w:rPr>
                  </w:pPr>
                  <w:r>
                    <w:rPr>
                      <w:rFonts w:hint="default"/>
                      <w:b w:val="0"/>
                      <w:bCs w:val="0"/>
                      <w:u w:val="none"/>
                    </w:rPr>
                    <w:t>备注：*本项目以厂房车间中心点为基准点</w:t>
                  </w:r>
                </w:p>
              </w:tc>
            </w:tr>
          </w:tbl>
          <w:p w14:paraId="4D42B9C9">
            <w:pPr>
              <w:pStyle w:val="44"/>
              <w:numPr>
                <w:ilvl w:val="0"/>
                <w:numId w:val="2"/>
              </w:numPr>
              <w:rPr>
                <w:rFonts w:hint="default"/>
                <w:b w:val="0"/>
                <w:bCs w:val="0"/>
                <w:u w:val="none"/>
              </w:rPr>
            </w:pPr>
            <w:r>
              <w:rPr>
                <w:rFonts w:hint="default"/>
                <w:b w:val="0"/>
                <w:bCs w:val="0"/>
                <w:u w:val="none"/>
              </w:rPr>
              <w:t>本项目室外噪声源强调查清单（室外声源）</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7"/>
              <w:gridCol w:w="1991"/>
              <w:gridCol w:w="2277"/>
              <w:gridCol w:w="1564"/>
              <w:gridCol w:w="1452"/>
              <w:gridCol w:w="1452"/>
              <w:gridCol w:w="1920"/>
              <w:gridCol w:w="1110"/>
              <w:gridCol w:w="1515"/>
            </w:tblGrid>
            <w:tr w14:paraId="47E6999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77" w:type="dxa"/>
                  <w:vMerge w:val="restart"/>
                  <w:tcBorders>
                    <w:tl2br w:val="nil"/>
                    <w:tr2bl w:val="nil"/>
                  </w:tcBorders>
                  <w:shd w:val="clear" w:color="auto" w:fill="auto"/>
                  <w:vAlign w:val="center"/>
                </w:tcPr>
                <w:p w14:paraId="13DE2A6B">
                  <w:pPr>
                    <w:pStyle w:val="45"/>
                    <w:rPr>
                      <w:rFonts w:hint="default"/>
                      <w:b w:val="0"/>
                      <w:bCs w:val="0"/>
                      <w:u w:val="none"/>
                    </w:rPr>
                  </w:pPr>
                  <w:r>
                    <w:rPr>
                      <w:b w:val="0"/>
                      <w:bCs w:val="0"/>
                      <w:u w:val="none"/>
                    </w:rPr>
                    <w:t>序号</w:t>
                  </w:r>
                </w:p>
              </w:tc>
              <w:tc>
                <w:tcPr>
                  <w:tcW w:w="1991" w:type="dxa"/>
                  <w:vMerge w:val="restart"/>
                  <w:tcBorders>
                    <w:tl2br w:val="nil"/>
                    <w:tr2bl w:val="nil"/>
                  </w:tcBorders>
                  <w:shd w:val="clear" w:color="auto" w:fill="auto"/>
                  <w:vAlign w:val="center"/>
                </w:tcPr>
                <w:p w14:paraId="4D0DF402">
                  <w:pPr>
                    <w:pStyle w:val="45"/>
                    <w:rPr>
                      <w:rFonts w:hint="default"/>
                      <w:b w:val="0"/>
                      <w:bCs w:val="0"/>
                      <w:u w:val="none"/>
                    </w:rPr>
                  </w:pPr>
                  <w:r>
                    <w:rPr>
                      <w:b w:val="0"/>
                      <w:bCs w:val="0"/>
                      <w:u w:val="none"/>
                    </w:rPr>
                    <w:t>声源名称</w:t>
                  </w:r>
                </w:p>
              </w:tc>
              <w:tc>
                <w:tcPr>
                  <w:tcW w:w="2277" w:type="dxa"/>
                  <w:vMerge w:val="restart"/>
                  <w:tcBorders>
                    <w:tl2br w:val="nil"/>
                    <w:tr2bl w:val="nil"/>
                  </w:tcBorders>
                  <w:shd w:val="clear" w:color="auto" w:fill="auto"/>
                  <w:vAlign w:val="center"/>
                </w:tcPr>
                <w:p w14:paraId="2B56BFDA">
                  <w:pPr>
                    <w:pStyle w:val="45"/>
                    <w:rPr>
                      <w:rFonts w:hint="default"/>
                      <w:b w:val="0"/>
                      <w:bCs w:val="0"/>
                      <w:u w:val="none"/>
                    </w:rPr>
                  </w:pPr>
                  <w:r>
                    <w:rPr>
                      <w:b w:val="0"/>
                      <w:bCs w:val="0"/>
                      <w:u w:val="none"/>
                    </w:rPr>
                    <w:t>型号</w:t>
                  </w:r>
                </w:p>
              </w:tc>
              <w:tc>
                <w:tcPr>
                  <w:tcW w:w="4468" w:type="dxa"/>
                  <w:gridSpan w:val="3"/>
                  <w:tcBorders>
                    <w:tl2br w:val="nil"/>
                    <w:tr2bl w:val="nil"/>
                  </w:tcBorders>
                  <w:shd w:val="clear" w:color="auto" w:fill="auto"/>
                  <w:vAlign w:val="center"/>
                </w:tcPr>
                <w:p w14:paraId="3A0AE0D8">
                  <w:pPr>
                    <w:pStyle w:val="45"/>
                    <w:rPr>
                      <w:rFonts w:hint="default"/>
                      <w:b w:val="0"/>
                      <w:bCs w:val="0"/>
                      <w:u w:val="none"/>
                    </w:rPr>
                  </w:pPr>
                  <w:r>
                    <w:rPr>
                      <w:b w:val="0"/>
                      <w:bCs w:val="0"/>
                      <w:u w:val="none"/>
                    </w:rPr>
                    <w:t>空间相对位置</w:t>
                  </w:r>
                  <w:r>
                    <w:rPr>
                      <w:rFonts w:hint="default"/>
                      <w:b w:val="0"/>
                      <w:bCs w:val="0"/>
                      <w:u w:val="none"/>
                    </w:rPr>
                    <w:t>/m</w:t>
                  </w:r>
                </w:p>
              </w:tc>
              <w:tc>
                <w:tcPr>
                  <w:tcW w:w="1920" w:type="dxa"/>
                  <w:tcBorders>
                    <w:tl2br w:val="nil"/>
                    <w:tr2bl w:val="nil"/>
                  </w:tcBorders>
                  <w:shd w:val="clear" w:color="auto" w:fill="auto"/>
                  <w:vAlign w:val="center"/>
                </w:tcPr>
                <w:p w14:paraId="4E607F5B">
                  <w:pPr>
                    <w:pStyle w:val="45"/>
                    <w:rPr>
                      <w:rFonts w:hint="default"/>
                      <w:b w:val="0"/>
                      <w:bCs w:val="0"/>
                      <w:u w:val="none"/>
                    </w:rPr>
                  </w:pPr>
                  <w:r>
                    <w:rPr>
                      <w:b w:val="0"/>
                      <w:bCs w:val="0"/>
                      <w:u w:val="none"/>
                    </w:rPr>
                    <w:t>声源源强（任选一种）</w:t>
                  </w:r>
                </w:p>
              </w:tc>
              <w:tc>
                <w:tcPr>
                  <w:tcW w:w="1110" w:type="dxa"/>
                  <w:vMerge w:val="restart"/>
                  <w:tcBorders>
                    <w:tl2br w:val="nil"/>
                    <w:tr2bl w:val="nil"/>
                  </w:tcBorders>
                  <w:shd w:val="clear" w:color="auto" w:fill="auto"/>
                  <w:vAlign w:val="center"/>
                </w:tcPr>
                <w:p w14:paraId="6702AB6F">
                  <w:pPr>
                    <w:pStyle w:val="45"/>
                    <w:rPr>
                      <w:rFonts w:hint="default"/>
                      <w:b w:val="0"/>
                      <w:bCs w:val="0"/>
                      <w:u w:val="none"/>
                    </w:rPr>
                  </w:pPr>
                  <w:r>
                    <w:rPr>
                      <w:b w:val="0"/>
                      <w:bCs w:val="0"/>
                      <w:u w:val="none"/>
                    </w:rPr>
                    <w:t>声源控制措施</w:t>
                  </w:r>
                </w:p>
              </w:tc>
              <w:tc>
                <w:tcPr>
                  <w:tcW w:w="1515" w:type="dxa"/>
                  <w:vMerge w:val="restart"/>
                  <w:tcBorders>
                    <w:tl2br w:val="nil"/>
                    <w:tr2bl w:val="nil"/>
                  </w:tcBorders>
                  <w:shd w:val="clear" w:color="auto" w:fill="auto"/>
                  <w:vAlign w:val="center"/>
                </w:tcPr>
                <w:p w14:paraId="6C77B84F">
                  <w:pPr>
                    <w:pStyle w:val="45"/>
                    <w:rPr>
                      <w:rFonts w:hint="default"/>
                      <w:b w:val="0"/>
                      <w:bCs w:val="0"/>
                      <w:u w:val="none"/>
                    </w:rPr>
                  </w:pPr>
                  <w:r>
                    <w:rPr>
                      <w:b w:val="0"/>
                      <w:bCs w:val="0"/>
                      <w:u w:val="none"/>
                    </w:rPr>
                    <w:t>运行时段</w:t>
                  </w:r>
                </w:p>
              </w:tc>
            </w:tr>
            <w:tr w14:paraId="0972B52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77" w:type="dxa"/>
                  <w:vMerge w:val="continue"/>
                  <w:tcBorders>
                    <w:tl2br w:val="nil"/>
                    <w:tr2bl w:val="nil"/>
                  </w:tcBorders>
                  <w:shd w:val="clear" w:color="auto" w:fill="auto"/>
                  <w:vAlign w:val="center"/>
                </w:tcPr>
                <w:p w14:paraId="74A04A64">
                  <w:pPr>
                    <w:pStyle w:val="45"/>
                    <w:rPr>
                      <w:rFonts w:hint="default"/>
                      <w:b w:val="0"/>
                      <w:bCs w:val="0"/>
                      <w:u w:val="none"/>
                    </w:rPr>
                  </w:pPr>
                </w:p>
              </w:tc>
              <w:tc>
                <w:tcPr>
                  <w:tcW w:w="1991" w:type="dxa"/>
                  <w:vMerge w:val="continue"/>
                  <w:tcBorders>
                    <w:tl2br w:val="nil"/>
                    <w:tr2bl w:val="nil"/>
                  </w:tcBorders>
                  <w:shd w:val="clear" w:color="auto" w:fill="auto"/>
                  <w:vAlign w:val="center"/>
                </w:tcPr>
                <w:p w14:paraId="4452D22B">
                  <w:pPr>
                    <w:pStyle w:val="45"/>
                    <w:rPr>
                      <w:rFonts w:hint="default"/>
                      <w:b w:val="0"/>
                      <w:bCs w:val="0"/>
                      <w:u w:val="none"/>
                    </w:rPr>
                  </w:pPr>
                </w:p>
              </w:tc>
              <w:tc>
                <w:tcPr>
                  <w:tcW w:w="2277" w:type="dxa"/>
                  <w:vMerge w:val="continue"/>
                  <w:tcBorders>
                    <w:tl2br w:val="nil"/>
                    <w:tr2bl w:val="nil"/>
                  </w:tcBorders>
                  <w:shd w:val="clear" w:color="auto" w:fill="auto"/>
                  <w:vAlign w:val="center"/>
                </w:tcPr>
                <w:p w14:paraId="38558E91">
                  <w:pPr>
                    <w:pStyle w:val="45"/>
                    <w:rPr>
                      <w:rFonts w:hint="default"/>
                      <w:b w:val="0"/>
                      <w:bCs w:val="0"/>
                      <w:u w:val="none"/>
                    </w:rPr>
                  </w:pPr>
                </w:p>
              </w:tc>
              <w:tc>
                <w:tcPr>
                  <w:tcW w:w="1564" w:type="dxa"/>
                  <w:tcBorders>
                    <w:tl2br w:val="nil"/>
                    <w:tr2bl w:val="nil"/>
                  </w:tcBorders>
                  <w:shd w:val="clear" w:color="auto" w:fill="auto"/>
                  <w:vAlign w:val="center"/>
                </w:tcPr>
                <w:p w14:paraId="454B2D70">
                  <w:pPr>
                    <w:pStyle w:val="45"/>
                    <w:rPr>
                      <w:rFonts w:hint="default"/>
                      <w:b w:val="0"/>
                      <w:bCs w:val="0"/>
                      <w:u w:val="none"/>
                    </w:rPr>
                  </w:pPr>
                  <w:r>
                    <w:rPr>
                      <w:rFonts w:hint="default"/>
                      <w:b w:val="0"/>
                      <w:bCs w:val="0"/>
                      <w:u w:val="none"/>
                    </w:rPr>
                    <w:t>X</w:t>
                  </w:r>
                </w:p>
              </w:tc>
              <w:tc>
                <w:tcPr>
                  <w:tcW w:w="1452" w:type="dxa"/>
                  <w:tcBorders>
                    <w:tl2br w:val="nil"/>
                    <w:tr2bl w:val="nil"/>
                  </w:tcBorders>
                  <w:shd w:val="clear" w:color="auto" w:fill="auto"/>
                  <w:vAlign w:val="center"/>
                </w:tcPr>
                <w:p w14:paraId="701AF694">
                  <w:pPr>
                    <w:pStyle w:val="45"/>
                    <w:rPr>
                      <w:rFonts w:hint="default"/>
                      <w:b w:val="0"/>
                      <w:bCs w:val="0"/>
                      <w:u w:val="none"/>
                    </w:rPr>
                  </w:pPr>
                  <w:r>
                    <w:rPr>
                      <w:rFonts w:hint="default"/>
                      <w:b w:val="0"/>
                      <w:bCs w:val="0"/>
                      <w:u w:val="none"/>
                    </w:rPr>
                    <w:t>Y</w:t>
                  </w:r>
                </w:p>
              </w:tc>
              <w:tc>
                <w:tcPr>
                  <w:tcW w:w="1452" w:type="dxa"/>
                  <w:tcBorders>
                    <w:tl2br w:val="nil"/>
                    <w:tr2bl w:val="nil"/>
                  </w:tcBorders>
                  <w:shd w:val="clear" w:color="auto" w:fill="auto"/>
                  <w:vAlign w:val="center"/>
                </w:tcPr>
                <w:p w14:paraId="55728440">
                  <w:pPr>
                    <w:pStyle w:val="45"/>
                    <w:rPr>
                      <w:rFonts w:hint="default"/>
                      <w:b w:val="0"/>
                      <w:bCs w:val="0"/>
                      <w:u w:val="none"/>
                    </w:rPr>
                  </w:pPr>
                  <w:r>
                    <w:rPr>
                      <w:rFonts w:hint="default"/>
                      <w:b w:val="0"/>
                      <w:bCs w:val="0"/>
                      <w:u w:val="none"/>
                    </w:rPr>
                    <w:t>Z</w:t>
                  </w:r>
                </w:p>
              </w:tc>
              <w:tc>
                <w:tcPr>
                  <w:tcW w:w="1920" w:type="dxa"/>
                  <w:tcBorders>
                    <w:tl2br w:val="nil"/>
                    <w:tr2bl w:val="nil"/>
                  </w:tcBorders>
                  <w:shd w:val="clear" w:color="auto" w:fill="auto"/>
                  <w:vAlign w:val="center"/>
                </w:tcPr>
                <w:p w14:paraId="25486817">
                  <w:pPr>
                    <w:pStyle w:val="45"/>
                    <w:rPr>
                      <w:rFonts w:hint="default"/>
                      <w:b w:val="0"/>
                      <w:bCs w:val="0"/>
                      <w:u w:val="none"/>
                    </w:rPr>
                  </w:pPr>
                  <w:r>
                    <w:rPr>
                      <w:b w:val="0"/>
                      <w:bCs w:val="0"/>
                      <w:u w:val="none"/>
                    </w:rPr>
                    <w:t>声功率级</w:t>
                  </w:r>
                  <w:r>
                    <w:rPr>
                      <w:rFonts w:hint="default"/>
                      <w:b w:val="0"/>
                      <w:bCs w:val="0"/>
                      <w:u w:val="none"/>
                    </w:rPr>
                    <w:t>/dB(A)</w:t>
                  </w:r>
                </w:p>
              </w:tc>
              <w:tc>
                <w:tcPr>
                  <w:tcW w:w="1110" w:type="dxa"/>
                  <w:vMerge w:val="continue"/>
                  <w:tcBorders>
                    <w:tl2br w:val="nil"/>
                    <w:tr2bl w:val="nil"/>
                  </w:tcBorders>
                  <w:shd w:val="clear" w:color="auto" w:fill="auto"/>
                  <w:vAlign w:val="center"/>
                </w:tcPr>
                <w:p w14:paraId="65CDEFDA">
                  <w:pPr>
                    <w:pStyle w:val="45"/>
                    <w:rPr>
                      <w:rFonts w:hint="default"/>
                      <w:b w:val="0"/>
                      <w:bCs w:val="0"/>
                      <w:u w:val="none"/>
                    </w:rPr>
                  </w:pPr>
                </w:p>
              </w:tc>
              <w:tc>
                <w:tcPr>
                  <w:tcW w:w="1515" w:type="dxa"/>
                  <w:vMerge w:val="continue"/>
                  <w:tcBorders>
                    <w:tl2br w:val="nil"/>
                    <w:tr2bl w:val="nil"/>
                  </w:tcBorders>
                  <w:shd w:val="clear" w:color="auto" w:fill="auto"/>
                  <w:vAlign w:val="center"/>
                </w:tcPr>
                <w:p w14:paraId="28777290">
                  <w:pPr>
                    <w:pStyle w:val="45"/>
                    <w:rPr>
                      <w:rFonts w:hint="default"/>
                      <w:b w:val="0"/>
                      <w:bCs w:val="0"/>
                      <w:u w:val="none"/>
                    </w:rPr>
                  </w:pPr>
                </w:p>
              </w:tc>
            </w:tr>
            <w:tr w14:paraId="1EF73D1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26EDE851">
                  <w:pPr>
                    <w:pStyle w:val="45"/>
                    <w:rPr>
                      <w:rFonts w:hint="default"/>
                      <w:b w:val="0"/>
                      <w:bCs w:val="0"/>
                      <w:u w:val="none"/>
                    </w:rPr>
                  </w:pPr>
                </w:p>
              </w:tc>
              <w:tc>
                <w:tcPr>
                  <w:tcW w:w="1991" w:type="dxa"/>
                  <w:tcBorders>
                    <w:tl2br w:val="nil"/>
                    <w:tr2bl w:val="nil"/>
                  </w:tcBorders>
                  <w:shd w:val="clear" w:color="auto" w:fill="auto"/>
                  <w:vAlign w:val="center"/>
                </w:tcPr>
                <w:p w14:paraId="704709C2">
                  <w:pPr>
                    <w:pStyle w:val="45"/>
                    <w:ind w:firstLine="0" w:firstLineChars="0"/>
                    <w:rPr>
                      <w:b w:val="0"/>
                      <w:bCs w:val="0"/>
                      <w:u w:val="none"/>
                    </w:rPr>
                  </w:pPr>
                  <w:r>
                    <w:rPr>
                      <w:rFonts w:hint="default"/>
                      <w:b w:val="0"/>
                      <w:bCs w:val="0"/>
                      <w:u w:val="none"/>
                    </w:rPr>
                    <w:t>氟利昂冰机（高压）1</w:t>
                  </w:r>
                </w:p>
              </w:tc>
              <w:tc>
                <w:tcPr>
                  <w:tcW w:w="2277" w:type="dxa"/>
                  <w:tcBorders>
                    <w:tl2br w:val="nil"/>
                    <w:tr2bl w:val="nil"/>
                  </w:tcBorders>
                  <w:shd w:val="clear" w:color="auto" w:fill="auto"/>
                  <w:vAlign w:val="center"/>
                </w:tcPr>
                <w:p w14:paraId="25E9F3F8">
                  <w:pPr>
                    <w:pStyle w:val="45"/>
                    <w:ind w:firstLine="0" w:firstLineChars="0"/>
                    <w:rPr>
                      <w:b w:val="0"/>
                      <w:bCs w:val="0"/>
                      <w:u w:val="none"/>
                    </w:rPr>
                  </w:pPr>
                  <w:r>
                    <w:rPr>
                      <w:rFonts w:hint="default"/>
                      <w:b w:val="0"/>
                      <w:bCs w:val="0"/>
                      <w:u w:val="none"/>
                    </w:rPr>
                    <w:t>LG25TYA</w:t>
                  </w:r>
                </w:p>
              </w:tc>
              <w:tc>
                <w:tcPr>
                  <w:tcW w:w="1564" w:type="dxa"/>
                  <w:tcBorders>
                    <w:tl2br w:val="nil"/>
                    <w:tr2bl w:val="nil"/>
                  </w:tcBorders>
                  <w:shd w:val="clear" w:color="auto" w:fill="auto"/>
                  <w:vAlign w:val="center"/>
                </w:tcPr>
                <w:p w14:paraId="00E371A1">
                  <w:pPr>
                    <w:pStyle w:val="45"/>
                    <w:ind w:firstLine="0" w:firstLineChars="0"/>
                    <w:rPr>
                      <w:rFonts w:hint="default"/>
                      <w:b w:val="0"/>
                      <w:bCs w:val="0"/>
                      <w:u w:val="none"/>
                    </w:rPr>
                  </w:pPr>
                  <w:r>
                    <w:rPr>
                      <w:rFonts w:hint="default"/>
                      <w:b w:val="0"/>
                      <w:bCs w:val="0"/>
                      <w:u w:val="none"/>
                    </w:rPr>
                    <w:t>28.04</w:t>
                  </w:r>
                </w:p>
              </w:tc>
              <w:tc>
                <w:tcPr>
                  <w:tcW w:w="1452" w:type="dxa"/>
                  <w:tcBorders>
                    <w:tl2br w:val="nil"/>
                    <w:tr2bl w:val="nil"/>
                  </w:tcBorders>
                  <w:shd w:val="clear" w:color="auto" w:fill="auto"/>
                  <w:vAlign w:val="center"/>
                </w:tcPr>
                <w:p w14:paraId="6D131866">
                  <w:pPr>
                    <w:pStyle w:val="45"/>
                    <w:ind w:firstLine="0" w:firstLineChars="0"/>
                    <w:rPr>
                      <w:rFonts w:hint="default"/>
                      <w:b w:val="0"/>
                      <w:bCs w:val="0"/>
                      <w:u w:val="none"/>
                    </w:rPr>
                  </w:pPr>
                  <w:r>
                    <w:rPr>
                      <w:rFonts w:hint="default"/>
                      <w:b w:val="0"/>
                      <w:bCs w:val="0"/>
                      <w:u w:val="none"/>
                    </w:rPr>
                    <w:t>103.21</w:t>
                  </w:r>
                </w:p>
              </w:tc>
              <w:tc>
                <w:tcPr>
                  <w:tcW w:w="1452" w:type="dxa"/>
                  <w:tcBorders>
                    <w:tl2br w:val="nil"/>
                    <w:tr2bl w:val="nil"/>
                  </w:tcBorders>
                  <w:shd w:val="clear" w:color="auto" w:fill="auto"/>
                  <w:vAlign w:val="center"/>
                </w:tcPr>
                <w:p w14:paraId="05FECFF4">
                  <w:pPr>
                    <w:pStyle w:val="45"/>
                    <w:ind w:firstLine="0" w:firstLineChars="0"/>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54D5785C">
                  <w:pPr>
                    <w:pStyle w:val="45"/>
                    <w:ind w:firstLine="0" w:firstLineChars="0"/>
                    <w:rPr>
                      <w:rFonts w:hint="default" w:eastAsia="宋体"/>
                      <w:b w:val="0"/>
                      <w:bCs w:val="0"/>
                      <w:u w:val="none"/>
                      <w:lang w:val="en-US" w:eastAsia="zh-CN"/>
                    </w:rPr>
                  </w:pPr>
                  <w:r>
                    <w:rPr>
                      <w:rFonts w:hint="eastAsia"/>
                      <w:b w:val="0"/>
                      <w:bCs w:val="0"/>
                      <w:u w:val="none"/>
                      <w:lang w:val="en-US" w:eastAsia="zh-CN"/>
                    </w:rPr>
                    <w:t>80</w:t>
                  </w:r>
                </w:p>
              </w:tc>
              <w:tc>
                <w:tcPr>
                  <w:tcW w:w="1110" w:type="dxa"/>
                  <w:tcBorders>
                    <w:tl2br w:val="nil"/>
                    <w:tr2bl w:val="nil"/>
                  </w:tcBorders>
                  <w:shd w:val="clear" w:color="auto" w:fill="auto"/>
                  <w:noWrap/>
                  <w:vAlign w:val="center"/>
                </w:tcPr>
                <w:p w14:paraId="690AB692">
                  <w:pPr>
                    <w:pStyle w:val="45"/>
                    <w:rPr>
                      <w:b w:val="0"/>
                      <w:bCs w:val="0"/>
                      <w:u w:val="none"/>
                    </w:rPr>
                  </w:pPr>
                  <w:r>
                    <w:rPr>
                      <w:b w:val="0"/>
                      <w:bCs w:val="0"/>
                      <w:u w:val="none"/>
                    </w:rPr>
                    <w:t>减振</w:t>
                  </w:r>
                </w:p>
              </w:tc>
              <w:tc>
                <w:tcPr>
                  <w:tcW w:w="1515" w:type="dxa"/>
                  <w:tcBorders>
                    <w:tl2br w:val="nil"/>
                    <w:tr2bl w:val="nil"/>
                  </w:tcBorders>
                  <w:shd w:val="clear" w:color="auto" w:fill="auto"/>
                  <w:noWrap/>
                  <w:vAlign w:val="center"/>
                </w:tcPr>
                <w:p w14:paraId="0BB5D1EA">
                  <w:pPr>
                    <w:pStyle w:val="45"/>
                    <w:rPr>
                      <w:b w:val="0"/>
                      <w:bCs w:val="0"/>
                      <w:u w:val="none"/>
                    </w:rPr>
                  </w:pPr>
                  <w:r>
                    <w:rPr>
                      <w:b w:val="0"/>
                      <w:bCs w:val="0"/>
                      <w:u w:val="none"/>
                    </w:rPr>
                    <w:t>昼夜</w:t>
                  </w:r>
                </w:p>
              </w:tc>
            </w:tr>
            <w:tr w14:paraId="6A339A5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77" w:type="dxa"/>
                  <w:tcBorders>
                    <w:tl2br w:val="nil"/>
                    <w:tr2bl w:val="nil"/>
                  </w:tcBorders>
                  <w:shd w:val="clear" w:color="auto" w:fill="auto"/>
                  <w:vAlign w:val="center"/>
                </w:tcPr>
                <w:p w14:paraId="566CC00B">
                  <w:pPr>
                    <w:pStyle w:val="45"/>
                    <w:rPr>
                      <w:rFonts w:hint="default"/>
                      <w:b w:val="0"/>
                      <w:bCs w:val="0"/>
                      <w:u w:val="none"/>
                    </w:rPr>
                  </w:pPr>
                </w:p>
              </w:tc>
              <w:tc>
                <w:tcPr>
                  <w:tcW w:w="1991" w:type="dxa"/>
                  <w:tcBorders>
                    <w:tl2br w:val="nil"/>
                    <w:tr2bl w:val="nil"/>
                  </w:tcBorders>
                  <w:shd w:val="clear" w:color="auto" w:fill="auto"/>
                  <w:vAlign w:val="center"/>
                </w:tcPr>
                <w:p w14:paraId="283E8633">
                  <w:pPr>
                    <w:pStyle w:val="45"/>
                    <w:ind w:firstLine="0" w:firstLineChars="0"/>
                    <w:rPr>
                      <w:b w:val="0"/>
                      <w:bCs w:val="0"/>
                      <w:u w:val="none"/>
                    </w:rPr>
                  </w:pPr>
                  <w:r>
                    <w:rPr>
                      <w:rFonts w:hint="default"/>
                      <w:b w:val="0"/>
                      <w:bCs w:val="0"/>
                      <w:u w:val="none"/>
                    </w:rPr>
                    <w:t>氟利昂冰机（高压）2</w:t>
                  </w:r>
                </w:p>
              </w:tc>
              <w:tc>
                <w:tcPr>
                  <w:tcW w:w="2277" w:type="dxa"/>
                  <w:tcBorders>
                    <w:tl2br w:val="nil"/>
                    <w:tr2bl w:val="nil"/>
                  </w:tcBorders>
                  <w:shd w:val="clear" w:color="auto" w:fill="auto"/>
                  <w:vAlign w:val="center"/>
                </w:tcPr>
                <w:p w14:paraId="6C853F66">
                  <w:pPr>
                    <w:pStyle w:val="45"/>
                    <w:ind w:firstLine="0" w:firstLineChars="0"/>
                    <w:rPr>
                      <w:b w:val="0"/>
                      <w:bCs w:val="0"/>
                      <w:u w:val="none"/>
                    </w:rPr>
                  </w:pPr>
                  <w:r>
                    <w:rPr>
                      <w:rFonts w:hint="default"/>
                      <w:b w:val="0"/>
                      <w:bCs w:val="0"/>
                      <w:u w:val="none"/>
                    </w:rPr>
                    <w:t>LG25TYA</w:t>
                  </w:r>
                </w:p>
              </w:tc>
              <w:tc>
                <w:tcPr>
                  <w:tcW w:w="1564" w:type="dxa"/>
                  <w:tcBorders>
                    <w:tl2br w:val="nil"/>
                    <w:tr2bl w:val="nil"/>
                  </w:tcBorders>
                  <w:shd w:val="clear" w:color="auto" w:fill="auto"/>
                  <w:vAlign w:val="center"/>
                </w:tcPr>
                <w:p w14:paraId="1280DDB5">
                  <w:pPr>
                    <w:pStyle w:val="45"/>
                    <w:ind w:firstLine="0" w:firstLineChars="0"/>
                    <w:rPr>
                      <w:rFonts w:hint="default"/>
                      <w:b w:val="0"/>
                      <w:bCs w:val="0"/>
                      <w:u w:val="none"/>
                    </w:rPr>
                  </w:pPr>
                  <w:r>
                    <w:rPr>
                      <w:rFonts w:hint="default"/>
                      <w:b w:val="0"/>
                      <w:bCs w:val="0"/>
                      <w:u w:val="none"/>
                    </w:rPr>
                    <w:t>33.58</w:t>
                  </w:r>
                </w:p>
              </w:tc>
              <w:tc>
                <w:tcPr>
                  <w:tcW w:w="1452" w:type="dxa"/>
                  <w:tcBorders>
                    <w:tl2br w:val="nil"/>
                    <w:tr2bl w:val="nil"/>
                  </w:tcBorders>
                  <w:shd w:val="clear" w:color="auto" w:fill="auto"/>
                  <w:vAlign w:val="center"/>
                </w:tcPr>
                <w:p w14:paraId="6477238F">
                  <w:pPr>
                    <w:pStyle w:val="45"/>
                    <w:ind w:firstLine="0" w:firstLineChars="0"/>
                    <w:rPr>
                      <w:rFonts w:hint="default"/>
                      <w:b w:val="0"/>
                      <w:bCs w:val="0"/>
                      <w:u w:val="none"/>
                    </w:rPr>
                  </w:pPr>
                  <w:r>
                    <w:rPr>
                      <w:rFonts w:hint="default"/>
                      <w:b w:val="0"/>
                      <w:bCs w:val="0"/>
                      <w:u w:val="none"/>
                    </w:rPr>
                    <w:t>102.97</w:t>
                  </w:r>
                </w:p>
              </w:tc>
              <w:tc>
                <w:tcPr>
                  <w:tcW w:w="1452" w:type="dxa"/>
                  <w:tcBorders>
                    <w:tl2br w:val="nil"/>
                    <w:tr2bl w:val="nil"/>
                  </w:tcBorders>
                  <w:shd w:val="clear" w:color="auto" w:fill="auto"/>
                  <w:vAlign w:val="center"/>
                </w:tcPr>
                <w:p w14:paraId="7A1ACADE">
                  <w:pPr>
                    <w:pStyle w:val="45"/>
                    <w:ind w:firstLine="0" w:firstLineChars="0"/>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46AE35EE">
                  <w:pPr>
                    <w:pStyle w:val="45"/>
                    <w:ind w:firstLine="0" w:firstLineChars="0"/>
                    <w:rPr>
                      <w:rFonts w:hint="default" w:eastAsia="宋体"/>
                      <w:b w:val="0"/>
                      <w:bCs w:val="0"/>
                      <w:u w:val="none"/>
                      <w:lang w:val="en-US" w:eastAsia="zh-CN"/>
                    </w:rPr>
                  </w:pPr>
                  <w:r>
                    <w:rPr>
                      <w:rFonts w:hint="eastAsia"/>
                      <w:b w:val="0"/>
                      <w:bCs w:val="0"/>
                      <w:u w:val="none"/>
                      <w:lang w:val="en-US" w:eastAsia="zh-CN"/>
                    </w:rPr>
                    <w:t>80</w:t>
                  </w:r>
                </w:p>
              </w:tc>
              <w:tc>
                <w:tcPr>
                  <w:tcW w:w="1110" w:type="dxa"/>
                  <w:tcBorders>
                    <w:tl2br w:val="nil"/>
                    <w:tr2bl w:val="nil"/>
                  </w:tcBorders>
                  <w:shd w:val="clear" w:color="auto" w:fill="auto"/>
                  <w:noWrap/>
                  <w:vAlign w:val="center"/>
                </w:tcPr>
                <w:p w14:paraId="61D57B0D">
                  <w:pPr>
                    <w:pStyle w:val="45"/>
                    <w:rPr>
                      <w:b w:val="0"/>
                      <w:bCs w:val="0"/>
                      <w:u w:val="none"/>
                    </w:rPr>
                  </w:pPr>
                  <w:r>
                    <w:rPr>
                      <w:b w:val="0"/>
                      <w:bCs w:val="0"/>
                      <w:u w:val="none"/>
                    </w:rPr>
                    <w:t>减振</w:t>
                  </w:r>
                </w:p>
              </w:tc>
              <w:tc>
                <w:tcPr>
                  <w:tcW w:w="1515" w:type="dxa"/>
                  <w:tcBorders>
                    <w:tl2br w:val="nil"/>
                    <w:tr2bl w:val="nil"/>
                  </w:tcBorders>
                  <w:shd w:val="clear" w:color="auto" w:fill="auto"/>
                  <w:noWrap/>
                  <w:vAlign w:val="center"/>
                </w:tcPr>
                <w:p w14:paraId="22565EB6">
                  <w:pPr>
                    <w:pStyle w:val="45"/>
                    <w:rPr>
                      <w:b w:val="0"/>
                      <w:bCs w:val="0"/>
                      <w:u w:val="none"/>
                    </w:rPr>
                  </w:pPr>
                  <w:r>
                    <w:rPr>
                      <w:b w:val="0"/>
                      <w:bCs w:val="0"/>
                      <w:u w:val="none"/>
                    </w:rPr>
                    <w:t>昼夜</w:t>
                  </w:r>
                </w:p>
              </w:tc>
            </w:tr>
            <w:tr w14:paraId="6CC5825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14C20C69">
                  <w:pPr>
                    <w:pStyle w:val="45"/>
                    <w:rPr>
                      <w:rFonts w:hint="default"/>
                      <w:b w:val="0"/>
                      <w:bCs w:val="0"/>
                      <w:u w:val="none"/>
                    </w:rPr>
                  </w:pPr>
                </w:p>
              </w:tc>
              <w:tc>
                <w:tcPr>
                  <w:tcW w:w="1991" w:type="dxa"/>
                  <w:tcBorders>
                    <w:tl2br w:val="nil"/>
                    <w:tr2bl w:val="nil"/>
                  </w:tcBorders>
                  <w:shd w:val="clear" w:color="auto" w:fill="auto"/>
                  <w:vAlign w:val="center"/>
                </w:tcPr>
                <w:p w14:paraId="527C1D5E">
                  <w:pPr>
                    <w:pStyle w:val="45"/>
                    <w:ind w:firstLine="0" w:firstLineChars="0"/>
                    <w:rPr>
                      <w:b w:val="0"/>
                      <w:bCs w:val="0"/>
                      <w:u w:val="none"/>
                    </w:rPr>
                  </w:pPr>
                  <w:r>
                    <w:rPr>
                      <w:rFonts w:hint="default"/>
                      <w:b w:val="0"/>
                      <w:bCs w:val="0"/>
                      <w:u w:val="none"/>
                    </w:rPr>
                    <w:t>氟利昂冰机（低压）1</w:t>
                  </w:r>
                </w:p>
              </w:tc>
              <w:tc>
                <w:tcPr>
                  <w:tcW w:w="2277" w:type="dxa"/>
                  <w:tcBorders>
                    <w:tl2br w:val="nil"/>
                    <w:tr2bl w:val="nil"/>
                  </w:tcBorders>
                  <w:shd w:val="clear" w:color="auto" w:fill="auto"/>
                  <w:vAlign w:val="center"/>
                </w:tcPr>
                <w:p w14:paraId="5E95D133">
                  <w:pPr>
                    <w:pStyle w:val="45"/>
                    <w:ind w:firstLine="0" w:firstLineChars="0"/>
                    <w:rPr>
                      <w:b w:val="0"/>
                      <w:bCs w:val="0"/>
                      <w:u w:val="none"/>
                    </w:rPr>
                  </w:pPr>
                  <w:r>
                    <w:rPr>
                      <w:rFonts w:hint="default"/>
                      <w:b w:val="0"/>
                      <w:bCs w:val="0"/>
                      <w:u w:val="none"/>
                    </w:rPr>
                    <w:t>LG16MYJA</w:t>
                  </w:r>
                </w:p>
              </w:tc>
              <w:tc>
                <w:tcPr>
                  <w:tcW w:w="1564" w:type="dxa"/>
                  <w:tcBorders>
                    <w:tl2br w:val="nil"/>
                    <w:tr2bl w:val="nil"/>
                  </w:tcBorders>
                  <w:shd w:val="clear" w:color="auto" w:fill="auto"/>
                  <w:vAlign w:val="center"/>
                </w:tcPr>
                <w:p w14:paraId="40D9AF76">
                  <w:pPr>
                    <w:pStyle w:val="45"/>
                    <w:ind w:firstLine="0" w:firstLineChars="0"/>
                    <w:rPr>
                      <w:rFonts w:hint="default"/>
                      <w:b w:val="0"/>
                      <w:bCs w:val="0"/>
                      <w:u w:val="none"/>
                    </w:rPr>
                  </w:pPr>
                  <w:r>
                    <w:rPr>
                      <w:rFonts w:hint="default"/>
                      <w:b w:val="0"/>
                      <w:bCs w:val="0"/>
                      <w:u w:val="none"/>
                    </w:rPr>
                    <w:t>28.53</w:t>
                  </w:r>
                </w:p>
              </w:tc>
              <w:tc>
                <w:tcPr>
                  <w:tcW w:w="1452" w:type="dxa"/>
                  <w:tcBorders>
                    <w:tl2br w:val="nil"/>
                    <w:tr2bl w:val="nil"/>
                  </w:tcBorders>
                  <w:shd w:val="clear" w:color="auto" w:fill="auto"/>
                  <w:vAlign w:val="center"/>
                </w:tcPr>
                <w:p w14:paraId="52DF7155">
                  <w:pPr>
                    <w:pStyle w:val="45"/>
                    <w:ind w:firstLine="0" w:firstLineChars="0"/>
                    <w:rPr>
                      <w:rFonts w:hint="default"/>
                      <w:b w:val="0"/>
                      <w:bCs w:val="0"/>
                      <w:u w:val="none"/>
                    </w:rPr>
                  </w:pPr>
                  <w:r>
                    <w:rPr>
                      <w:rFonts w:hint="default"/>
                      <w:b w:val="0"/>
                      <w:bCs w:val="0"/>
                      <w:u w:val="none"/>
                    </w:rPr>
                    <w:t>94.31</w:t>
                  </w:r>
                </w:p>
              </w:tc>
              <w:tc>
                <w:tcPr>
                  <w:tcW w:w="1452" w:type="dxa"/>
                  <w:tcBorders>
                    <w:tl2br w:val="nil"/>
                    <w:tr2bl w:val="nil"/>
                  </w:tcBorders>
                  <w:shd w:val="clear" w:color="auto" w:fill="auto"/>
                  <w:vAlign w:val="center"/>
                </w:tcPr>
                <w:p w14:paraId="4774B166">
                  <w:pPr>
                    <w:pStyle w:val="45"/>
                    <w:ind w:firstLine="0" w:firstLineChars="0"/>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5EC15F53">
                  <w:pPr>
                    <w:pStyle w:val="45"/>
                    <w:ind w:firstLine="0" w:firstLineChars="0"/>
                    <w:rPr>
                      <w:rFonts w:hint="default" w:eastAsia="宋体"/>
                      <w:b w:val="0"/>
                      <w:bCs w:val="0"/>
                      <w:u w:val="none"/>
                      <w:lang w:val="en-US" w:eastAsia="zh-CN"/>
                    </w:rPr>
                  </w:pPr>
                  <w:r>
                    <w:rPr>
                      <w:rFonts w:hint="eastAsia"/>
                      <w:b w:val="0"/>
                      <w:bCs w:val="0"/>
                      <w:u w:val="none"/>
                      <w:lang w:val="en-US" w:eastAsia="zh-CN"/>
                    </w:rPr>
                    <w:t>80</w:t>
                  </w:r>
                </w:p>
              </w:tc>
              <w:tc>
                <w:tcPr>
                  <w:tcW w:w="1110" w:type="dxa"/>
                  <w:tcBorders>
                    <w:tl2br w:val="nil"/>
                    <w:tr2bl w:val="nil"/>
                  </w:tcBorders>
                  <w:shd w:val="clear" w:color="auto" w:fill="auto"/>
                  <w:noWrap/>
                  <w:vAlign w:val="center"/>
                </w:tcPr>
                <w:p w14:paraId="7B281AE3">
                  <w:pPr>
                    <w:pStyle w:val="45"/>
                    <w:rPr>
                      <w:b w:val="0"/>
                      <w:bCs w:val="0"/>
                      <w:u w:val="none"/>
                    </w:rPr>
                  </w:pPr>
                  <w:r>
                    <w:rPr>
                      <w:b w:val="0"/>
                      <w:bCs w:val="0"/>
                      <w:u w:val="none"/>
                    </w:rPr>
                    <w:t>减振</w:t>
                  </w:r>
                </w:p>
              </w:tc>
              <w:tc>
                <w:tcPr>
                  <w:tcW w:w="1515" w:type="dxa"/>
                  <w:tcBorders>
                    <w:tl2br w:val="nil"/>
                    <w:tr2bl w:val="nil"/>
                  </w:tcBorders>
                  <w:shd w:val="clear" w:color="auto" w:fill="auto"/>
                  <w:noWrap/>
                  <w:vAlign w:val="center"/>
                </w:tcPr>
                <w:p w14:paraId="302E48E7">
                  <w:pPr>
                    <w:pStyle w:val="45"/>
                    <w:rPr>
                      <w:b w:val="0"/>
                      <w:bCs w:val="0"/>
                      <w:u w:val="none"/>
                    </w:rPr>
                  </w:pPr>
                  <w:r>
                    <w:rPr>
                      <w:b w:val="0"/>
                      <w:bCs w:val="0"/>
                      <w:u w:val="none"/>
                    </w:rPr>
                    <w:t>昼夜</w:t>
                  </w:r>
                </w:p>
              </w:tc>
            </w:tr>
            <w:tr w14:paraId="21AA6E0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14787408">
                  <w:pPr>
                    <w:pStyle w:val="45"/>
                    <w:rPr>
                      <w:rFonts w:hint="default"/>
                      <w:b w:val="0"/>
                      <w:bCs w:val="0"/>
                      <w:u w:val="none"/>
                    </w:rPr>
                  </w:pPr>
                </w:p>
              </w:tc>
              <w:tc>
                <w:tcPr>
                  <w:tcW w:w="1991" w:type="dxa"/>
                  <w:tcBorders>
                    <w:tl2br w:val="nil"/>
                    <w:tr2bl w:val="nil"/>
                  </w:tcBorders>
                  <w:shd w:val="clear" w:color="auto" w:fill="auto"/>
                  <w:vAlign w:val="center"/>
                </w:tcPr>
                <w:p w14:paraId="63E57BF8">
                  <w:pPr>
                    <w:pStyle w:val="45"/>
                    <w:ind w:firstLine="0" w:firstLineChars="0"/>
                    <w:rPr>
                      <w:b w:val="0"/>
                      <w:bCs w:val="0"/>
                      <w:u w:val="none"/>
                    </w:rPr>
                  </w:pPr>
                  <w:r>
                    <w:rPr>
                      <w:rFonts w:hint="default"/>
                      <w:b w:val="0"/>
                      <w:bCs w:val="0"/>
                      <w:u w:val="none"/>
                    </w:rPr>
                    <w:t>氟利昂冰机（低压）2</w:t>
                  </w:r>
                </w:p>
              </w:tc>
              <w:tc>
                <w:tcPr>
                  <w:tcW w:w="2277" w:type="dxa"/>
                  <w:tcBorders>
                    <w:tl2br w:val="nil"/>
                    <w:tr2bl w:val="nil"/>
                  </w:tcBorders>
                  <w:shd w:val="clear" w:color="auto" w:fill="auto"/>
                  <w:vAlign w:val="center"/>
                </w:tcPr>
                <w:p w14:paraId="1ED026C6">
                  <w:pPr>
                    <w:pStyle w:val="45"/>
                    <w:ind w:firstLine="0" w:firstLineChars="0"/>
                    <w:rPr>
                      <w:b w:val="0"/>
                      <w:bCs w:val="0"/>
                      <w:u w:val="none"/>
                    </w:rPr>
                  </w:pPr>
                  <w:r>
                    <w:rPr>
                      <w:rFonts w:hint="default"/>
                      <w:b w:val="0"/>
                      <w:bCs w:val="0"/>
                      <w:u w:val="none"/>
                    </w:rPr>
                    <w:t>LG16MYJA</w:t>
                  </w:r>
                </w:p>
              </w:tc>
              <w:tc>
                <w:tcPr>
                  <w:tcW w:w="1564" w:type="dxa"/>
                  <w:tcBorders>
                    <w:tl2br w:val="nil"/>
                    <w:tr2bl w:val="nil"/>
                  </w:tcBorders>
                  <w:shd w:val="clear" w:color="auto" w:fill="auto"/>
                  <w:vAlign w:val="center"/>
                </w:tcPr>
                <w:p w14:paraId="5675B1FB">
                  <w:pPr>
                    <w:pStyle w:val="45"/>
                    <w:ind w:firstLine="0" w:firstLineChars="0"/>
                    <w:rPr>
                      <w:rFonts w:hint="default"/>
                      <w:b w:val="0"/>
                      <w:bCs w:val="0"/>
                      <w:u w:val="none"/>
                    </w:rPr>
                  </w:pPr>
                  <w:r>
                    <w:rPr>
                      <w:rFonts w:hint="default"/>
                      <w:b w:val="0"/>
                      <w:bCs w:val="0"/>
                      <w:u w:val="none"/>
                    </w:rPr>
                    <w:t>33.58</w:t>
                  </w:r>
                </w:p>
              </w:tc>
              <w:tc>
                <w:tcPr>
                  <w:tcW w:w="1452" w:type="dxa"/>
                  <w:tcBorders>
                    <w:tl2br w:val="nil"/>
                    <w:tr2bl w:val="nil"/>
                  </w:tcBorders>
                  <w:shd w:val="clear" w:color="auto" w:fill="auto"/>
                  <w:vAlign w:val="center"/>
                </w:tcPr>
                <w:p w14:paraId="548CA2A8">
                  <w:pPr>
                    <w:pStyle w:val="45"/>
                    <w:ind w:firstLine="0" w:firstLineChars="0"/>
                    <w:rPr>
                      <w:rFonts w:hint="default"/>
                      <w:b w:val="0"/>
                      <w:bCs w:val="0"/>
                      <w:u w:val="none"/>
                    </w:rPr>
                  </w:pPr>
                  <w:r>
                    <w:rPr>
                      <w:rFonts w:hint="default"/>
                      <w:b w:val="0"/>
                      <w:bCs w:val="0"/>
                      <w:u w:val="none"/>
                    </w:rPr>
                    <w:t>94.06</w:t>
                  </w:r>
                </w:p>
              </w:tc>
              <w:tc>
                <w:tcPr>
                  <w:tcW w:w="1452" w:type="dxa"/>
                  <w:tcBorders>
                    <w:tl2br w:val="nil"/>
                    <w:tr2bl w:val="nil"/>
                  </w:tcBorders>
                  <w:shd w:val="clear" w:color="auto" w:fill="auto"/>
                  <w:vAlign w:val="center"/>
                </w:tcPr>
                <w:p w14:paraId="00A50B78">
                  <w:pPr>
                    <w:pStyle w:val="45"/>
                    <w:ind w:firstLine="0" w:firstLineChars="0"/>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5E431707">
                  <w:pPr>
                    <w:pStyle w:val="45"/>
                    <w:ind w:firstLine="0" w:firstLineChars="0"/>
                    <w:rPr>
                      <w:rFonts w:hint="default" w:eastAsia="宋体"/>
                      <w:b w:val="0"/>
                      <w:bCs w:val="0"/>
                      <w:u w:val="none"/>
                      <w:lang w:val="en-US" w:eastAsia="zh-CN"/>
                    </w:rPr>
                  </w:pPr>
                  <w:r>
                    <w:rPr>
                      <w:rFonts w:hint="eastAsia"/>
                      <w:b w:val="0"/>
                      <w:bCs w:val="0"/>
                      <w:u w:val="none"/>
                      <w:lang w:val="en-US" w:eastAsia="zh-CN"/>
                    </w:rPr>
                    <w:t>80</w:t>
                  </w:r>
                </w:p>
              </w:tc>
              <w:tc>
                <w:tcPr>
                  <w:tcW w:w="1110" w:type="dxa"/>
                  <w:tcBorders>
                    <w:tl2br w:val="nil"/>
                    <w:tr2bl w:val="nil"/>
                  </w:tcBorders>
                  <w:shd w:val="clear" w:color="auto" w:fill="auto"/>
                  <w:noWrap/>
                  <w:vAlign w:val="center"/>
                </w:tcPr>
                <w:p w14:paraId="28C6887A">
                  <w:pPr>
                    <w:pStyle w:val="45"/>
                    <w:rPr>
                      <w:b w:val="0"/>
                      <w:bCs w:val="0"/>
                      <w:u w:val="none"/>
                    </w:rPr>
                  </w:pPr>
                  <w:r>
                    <w:rPr>
                      <w:b w:val="0"/>
                      <w:bCs w:val="0"/>
                      <w:u w:val="none"/>
                    </w:rPr>
                    <w:t>减振</w:t>
                  </w:r>
                </w:p>
              </w:tc>
              <w:tc>
                <w:tcPr>
                  <w:tcW w:w="1515" w:type="dxa"/>
                  <w:tcBorders>
                    <w:tl2br w:val="nil"/>
                    <w:tr2bl w:val="nil"/>
                  </w:tcBorders>
                  <w:shd w:val="clear" w:color="auto" w:fill="auto"/>
                  <w:noWrap/>
                  <w:vAlign w:val="center"/>
                </w:tcPr>
                <w:p w14:paraId="3292AFE3">
                  <w:pPr>
                    <w:pStyle w:val="45"/>
                    <w:rPr>
                      <w:b w:val="0"/>
                      <w:bCs w:val="0"/>
                      <w:u w:val="none"/>
                    </w:rPr>
                  </w:pPr>
                  <w:r>
                    <w:rPr>
                      <w:b w:val="0"/>
                      <w:bCs w:val="0"/>
                      <w:u w:val="none"/>
                    </w:rPr>
                    <w:t>昼夜</w:t>
                  </w:r>
                </w:p>
              </w:tc>
            </w:tr>
            <w:tr w14:paraId="5F4FF42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01ED488D">
                  <w:pPr>
                    <w:pStyle w:val="45"/>
                    <w:rPr>
                      <w:rFonts w:hint="default"/>
                      <w:b w:val="0"/>
                      <w:bCs w:val="0"/>
                      <w:u w:val="none"/>
                    </w:rPr>
                  </w:pPr>
                </w:p>
              </w:tc>
              <w:tc>
                <w:tcPr>
                  <w:tcW w:w="1991" w:type="dxa"/>
                  <w:tcBorders>
                    <w:tl2br w:val="nil"/>
                    <w:tr2bl w:val="nil"/>
                  </w:tcBorders>
                  <w:shd w:val="clear" w:color="auto" w:fill="auto"/>
                  <w:vAlign w:val="center"/>
                </w:tcPr>
                <w:p w14:paraId="5B37FD89">
                  <w:pPr>
                    <w:pStyle w:val="45"/>
                    <w:ind w:firstLine="0" w:firstLineChars="0"/>
                    <w:rPr>
                      <w:b w:val="0"/>
                      <w:bCs w:val="0"/>
                      <w:u w:val="none"/>
                    </w:rPr>
                  </w:pPr>
                  <w:r>
                    <w:rPr>
                      <w:rFonts w:hint="default"/>
                      <w:b w:val="0"/>
                      <w:bCs w:val="0"/>
                      <w:u w:val="none"/>
                    </w:rPr>
                    <w:t>氨冰机（高压）</w:t>
                  </w:r>
                </w:p>
              </w:tc>
              <w:tc>
                <w:tcPr>
                  <w:tcW w:w="2277" w:type="dxa"/>
                  <w:tcBorders>
                    <w:tl2br w:val="nil"/>
                    <w:tr2bl w:val="nil"/>
                  </w:tcBorders>
                  <w:shd w:val="clear" w:color="auto" w:fill="auto"/>
                  <w:vAlign w:val="center"/>
                </w:tcPr>
                <w:p w14:paraId="5CF4B465">
                  <w:pPr>
                    <w:pStyle w:val="45"/>
                    <w:ind w:firstLine="0" w:firstLineChars="0"/>
                    <w:rPr>
                      <w:b w:val="0"/>
                      <w:bCs w:val="0"/>
                      <w:u w:val="none"/>
                    </w:rPr>
                  </w:pPr>
                  <w:r>
                    <w:rPr>
                      <w:rFonts w:hint="default"/>
                      <w:b w:val="0"/>
                      <w:bCs w:val="0"/>
                      <w:u w:val="none"/>
                    </w:rPr>
                    <w:t>LG25TYA</w:t>
                  </w:r>
                </w:p>
              </w:tc>
              <w:tc>
                <w:tcPr>
                  <w:tcW w:w="1564" w:type="dxa"/>
                  <w:tcBorders>
                    <w:tl2br w:val="nil"/>
                    <w:tr2bl w:val="nil"/>
                  </w:tcBorders>
                  <w:shd w:val="clear" w:color="auto" w:fill="auto"/>
                  <w:vAlign w:val="center"/>
                </w:tcPr>
                <w:p w14:paraId="52CCB8B0">
                  <w:pPr>
                    <w:pStyle w:val="45"/>
                    <w:ind w:firstLine="0" w:firstLineChars="0"/>
                    <w:rPr>
                      <w:rFonts w:hint="default"/>
                      <w:b w:val="0"/>
                      <w:bCs w:val="0"/>
                      <w:u w:val="none"/>
                    </w:rPr>
                  </w:pPr>
                  <w:r>
                    <w:rPr>
                      <w:rFonts w:hint="default"/>
                      <w:b w:val="0"/>
                      <w:bCs w:val="0"/>
                      <w:u w:val="none"/>
                    </w:rPr>
                    <w:t>28.53</w:t>
                  </w:r>
                </w:p>
              </w:tc>
              <w:tc>
                <w:tcPr>
                  <w:tcW w:w="1452" w:type="dxa"/>
                  <w:tcBorders>
                    <w:tl2br w:val="nil"/>
                    <w:tr2bl w:val="nil"/>
                  </w:tcBorders>
                  <w:shd w:val="clear" w:color="auto" w:fill="auto"/>
                  <w:vAlign w:val="center"/>
                </w:tcPr>
                <w:p w14:paraId="0D531B7A">
                  <w:pPr>
                    <w:pStyle w:val="45"/>
                    <w:ind w:firstLine="0" w:firstLineChars="0"/>
                    <w:rPr>
                      <w:rFonts w:hint="default"/>
                      <w:b w:val="0"/>
                      <w:bCs w:val="0"/>
                      <w:u w:val="none"/>
                    </w:rPr>
                  </w:pPr>
                  <w:r>
                    <w:rPr>
                      <w:rFonts w:hint="default"/>
                      <w:b w:val="0"/>
                      <w:bCs w:val="0"/>
                      <w:u w:val="none"/>
                    </w:rPr>
                    <w:t>85.64</w:t>
                  </w:r>
                </w:p>
              </w:tc>
              <w:tc>
                <w:tcPr>
                  <w:tcW w:w="1452" w:type="dxa"/>
                  <w:tcBorders>
                    <w:tl2br w:val="nil"/>
                    <w:tr2bl w:val="nil"/>
                  </w:tcBorders>
                  <w:shd w:val="clear" w:color="auto" w:fill="auto"/>
                  <w:vAlign w:val="center"/>
                </w:tcPr>
                <w:p w14:paraId="0B70C909">
                  <w:pPr>
                    <w:pStyle w:val="45"/>
                    <w:ind w:firstLine="0" w:firstLineChars="0"/>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33A5D4C0">
                  <w:pPr>
                    <w:pStyle w:val="45"/>
                    <w:ind w:firstLine="0" w:firstLineChars="0"/>
                    <w:rPr>
                      <w:rFonts w:hint="default" w:eastAsia="宋体"/>
                      <w:b w:val="0"/>
                      <w:bCs w:val="0"/>
                      <w:u w:val="none"/>
                      <w:lang w:val="en-US" w:eastAsia="zh-CN"/>
                    </w:rPr>
                  </w:pPr>
                  <w:r>
                    <w:rPr>
                      <w:rFonts w:hint="eastAsia"/>
                      <w:b w:val="0"/>
                      <w:bCs w:val="0"/>
                      <w:u w:val="none"/>
                      <w:lang w:val="en-US" w:eastAsia="zh-CN"/>
                    </w:rPr>
                    <w:t>80</w:t>
                  </w:r>
                </w:p>
              </w:tc>
              <w:tc>
                <w:tcPr>
                  <w:tcW w:w="1110" w:type="dxa"/>
                  <w:tcBorders>
                    <w:tl2br w:val="nil"/>
                    <w:tr2bl w:val="nil"/>
                  </w:tcBorders>
                  <w:shd w:val="clear" w:color="auto" w:fill="auto"/>
                  <w:noWrap/>
                  <w:vAlign w:val="center"/>
                </w:tcPr>
                <w:p w14:paraId="4B0F7561">
                  <w:pPr>
                    <w:pStyle w:val="45"/>
                    <w:rPr>
                      <w:b w:val="0"/>
                      <w:bCs w:val="0"/>
                      <w:u w:val="none"/>
                    </w:rPr>
                  </w:pPr>
                  <w:r>
                    <w:rPr>
                      <w:b w:val="0"/>
                      <w:bCs w:val="0"/>
                      <w:u w:val="none"/>
                    </w:rPr>
                    <w:t>减振</w:t>
                  </w:r>
                </w:p>
              </w:tc>
              <w:tc>
                <w:tcPr>
                  <w:tcW w:w="1515" w:type="dxa"/>
                  <w:tcBorders>
                    <w:tl2br w:val="nil"/>
                    <w:tr2bl w:val="nil"/>
                  </w:tcBorders>
                  <w:shd w:val="clear" w:color="auto" w:fill="auto"/>
                  <w:noWrap/>
                  <w:vAlign w:val="center"/>
                </w:tcPr>
                <w:p w14:paraId="3A538565">
                  <w:pPr>
                    <w:pStyle w:val="45"/>
                    <w:rPr>
                      <w:b w:val="0"/>
                      <w:bCs w:val="0"/>
                      <w:u w:val="none"/>
                    </w:rPr>
                  </w:pPr>
                  <w:r>
                    <w:rPr>
                      <w:b w:val="0"/>
                      <w:bCs w:val="0"/>
                      <w:u w:val="none"/>
                    </w:rPr>
                    <w:t>昼夜</w:t>
                  </w:r>
                </w:p>
              </w:tc>
            </w:tr>
            <w:tr w14:paraId="4885465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3255BAB4">
                  <w:pPr>
                    <w:pStyle w:val="45"/>
                    <w:rPr>
                      <w:rFonts w:hint="default"/>
                      <w:b w:val="0"/>
                      <w:bCs w:val="0"/>
                      <w:u w:val="none"/>
                    </w:rPr>
                  </w:pPr>
                </w:p>
              </w:tc>
              <w:tc>
                <w:tcPr>
                  <w:tcW w:w="1991" w:type="dxa"/>
                  <w:tcBorders>
                    <w:tl2br w:val="nil"/>
                    <w:tr2bl w:val="nil"/>
                  </w:tcBorders>
                  <w:shd w:val="clear" w:color="auto" w:fill="auto"/>
                  <w:vAlign w:val="center"/>
                </w:tcPr>
                <w:p w14:paraId="0781C7B9">
                  <w:pPr>
                    <w:pStyle w:val="45"/>
                    <w:ind w:firstLine="0" w:firstLineChars="0"/>
                    <w:rPr>
                      <w:b w:val="0"/>
                      <w:bCs w:val="0"/>
                      <w:u w:val="none"/>
                    </w:rPr>
                  </w:pPr>
                  <w:r>
                    <w:rPr>
                      <w:rFonts w:hint="default"/>
                      <w:b w:val="0"/>
                      <w:bCs w:val="0"/>
                      <w:u w:val="none"/>
                    </w:rPr>
                    <w:t>氨冰机（低压）</w:t>
                  </w:r>
                </w:p>
              </w:tc>
              <w:tc>
                <w:tcPr>
                  <w:tcW w:w="2277" w:type="dxa"/>
                  <w:tcBorders>
                    <w:tl2br w:val="nil"/>
                    <w:tr2bl w:val="nil"/>
                  </w:tcBorders>
                  <w:shd w:val="clear" w:color="auto" w:fill="auto"/>
                  <w:vAlign w:val="center"/>
                </w:tcPr>
                <w:p w14:paraId="3C854257">
                  <w:pPr>
                    <w:pStyle w:val="45"/>
                    <w:ind w:firstLine="0" w:firstLineChars="0"/>
                    <w:rPr>
                      <w:b w:val="0"/>
                      <w:bCs w:val="0"/>
                      <w:u w:val="none"/>
                    </w:rPr>
                  </w:pPr>
                  <w:r>
                    <w:rPr>
                      <w:rFonts w:hint="default"/>
                      <w:b w:val="0"/>
                      <w:bCs w:val="0"/>
                      <w:u w:val="none"/>
                    </w:rPr>
                    <w:t>LG16MYJA</w:t>
                  </w:r>
                </w:p>
              </w:tc>
              <w:tc>
                <w:tcPr>
                  <w:tcW w:w="1564" w:type="dxa"/>
                  <w:tcBorders>
                    <w:tl2br w:val="nil"/>
                    <w:tr2bl w:val="nil"/>
                  </w:tcBorders>
                  <w:shd w:val="clear" w:color="auto" w:fill="auto"/>
                  <w:vAlign w:val="center"/>
                </w:tcPr>
                <w:p w14:paraId="284137F1">
                  <w:pPr>
                    <w:pStyle w:val="45"/>
                    <w:ind w:firstLine="0" w:firstLineChars="0"/>
                    <w:rPr>
                      <w:rFonts w:hint="default"/>
                      <w:b w:val="0"/>
                      <w:bCs w:val="0"/>
                      <w:u w:val="none"/>
                    </w:rPr>
                  </w:pPr>
                  <w:r>
                    <w:rPr>
                      <w:rFonts w:hint="default"/>
                      <w:b w:val="0"/>
                      <w:bCs w:val="0"/>
                      <w:u w:val="none"/>
                    </w:rPr>
                    <w:t>33.58</w:t>
                  </w:r>
                </w:p>
              </w:tc>
              <w:tc>
                <w:tcPr>
                  <w:tcW w:w="1452" w:type="dxa"/>
                  <w:tcBorders>
                    <w:tl2br w:val="nil"/>
                    <w:tr2bl w:val="nil"/>
                  </w:tcBorders>
                  <w:shd w:val="clear" w:color="auto" w:fill="auto"/>
                  <w:vAlign w:val="center"/>
                </w:tcPr>
                <w:p w14:paraId="3E8FD16F">
                  <w:pPr>
                    <w:pStyle w:val="45"/>
                    <w:ind w:firstLine="0" w:firstLineChars="0"/>
                    <w:rPr>
                      <w:rFonts w:hint="default"/>
                      <w:b w:val="0"/>
                      <w:bCs w:val="0"/>
                      <w:u w:val="none"/>
                    </w:rPr>
                  </w:pPr>
                  <w:r>
                    <w:rPr>
                      <w:rFonts w:hint="default"/>
                      <w:b w:val="0"/>
                      <w:bCs w:val="0"/>
                      <w:u w:val="none"/>
                    </w:rPr>
                    <w:t>85.64</w:t>
                  </w:r>
                </w:p>
              </w:tc>
              <w:tc>
                <w:tcPr>
                  <w:tcW w:w="1452" w:type="dxa"/>
                  <w:tcBorders>
                    <w:tl2br w:val="nil"/>
                    <w:tr2bl w:val="nil"/>
                  </w:tcBorders>
                  <w:shd w:val="clear" w:color="auto" w:fill="auto"/>
                  <w:vAlign w:val="center"/>
                </w:tcPr>
                <w:p w14:paraId="074CBD7D">
                  <w:pPr>
                    <w:pStyle w:val="45"/>
                    <w:ind w:firstLine="0" w:firstLineChars="0"/>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091EDF11">
                  <w:pPr>
                    <w:pStyle w:val="45"/>
                    <w:ind w:firstLine="0" w:firstLineChars="0"/>
                    <w:rPr>
                      <w:rFonts w:hint="default" w:eastAsia="宋体"/>
                      <w:b w:val="0"/>
                      <w:bCs w:val="0"/>
                      <w:u w:val="none"/>
                      <w:lang w:val="en-US" w:eastAsia="zh-CN"/>
                    </w:rPr>
                  </w:pPr>
                  <w:r>
                    <w:rPr>
                      <w:rFonts w:hint="eastAsia"/>
                      <w:b w:val="0"/>
                      <w:bCs w:val="0"/>
                      <w:u w:val="none"/>
                      <w:lang w:val="en-US" w:eastAsia="zh-CN"/>
                    </w:rPr>
                    <w:t>80</w:t>
                  </w:r>
                </w:p>
              </w:tc>
              <w:tc>
                <w:tcPr>
                  <w:tcW w:w="1110" w:type="dxa"/>
                  <w:tcBorders>
                    <w:tl2br w:val="nil"/>
                    <w:tr2bl w:val="nil"/>
                  </w:tcBorders>
                  <w:shd w:val="clear" w:color="auto" w:fill="auto"/>
                  <w:noWrap/>
                  <w:vAlign w:val="center"/>
                </w:tcPr>
                <w:p w14:paraId="7E8BD8F2">
                  <w:pPr>
                    <w:pStyle w:val="45"/>
                    <w:rPr>
                      <w:b w:val="0"/>
                      <w:bCs w:val="0"/>
                      <w:u w:val="none"/>
                    </w:rPr>
                  </w:pPr>
                  <w:r>
                    <w:rPr>
                      <w:b w:val="0"/>
                      <w:bCs w:val="0"/>
                      <w:u w:val="none"/>
                    </w:rPr>
                    <w:t>减振</w:t>
                  </w:r>
                </w:p>
              </w:tc>
              <w:tc>
                <w:tcPr>
                  <w:tcW w:w="1515" w:type="dxa"/>
                  <w:tcBorders>
                    <w:tl2br w:val="nil"/>
                    <w:tr2bl w:val="nil"/>
                  </w:tcBorders>
                  <w:shd w:val="clear" w:color="auto" w:fill="auto"/>
                  <w:noWrap/>
                  <w:vAlign w:val="center"/>
                </w:tcPr>
                <w:p w14:paraId="3D254A73">
                  <w:pPr>
                    <w:pStyle w:val="45"/>
                    <w:rPr>
                      <w:b w:val="0"/>
                      <w:bCs w:val="0"/>
                      <w:u w:val="none"/>
                    </w:rPr>
                  </w:pPr>
                  <w:r>
                    <w:rPr>
                      <w:b w:val="0"/>
                      <w:bCs w:val="0"/>
                      <w:u w:val="none"/>
                    </w:rPr>
                    <w:t>昼夜</w:t>
                  </w:r>
                </w:p>
              </w:tc>
            </w:tr>
            <w:tr w14:paraId="655BEF4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48D9FEE1">
                  <w:pPr>
                    <w:pStyle w:val="45"/>
                    <w:rPr>
                      <w:rFonts w:hint="default"/>
                      <w:b w:val="0"/>
                      <w:bCs w:val="0"/>
                      <w:u w:val="none"/>
                    </w:rPr>
                  </w:pPr>
                </w:p>
              </w:tc>
              <w:tc>
                <w:tcPr>
                  <w:tcW w:w="1991" w:type="dxa"/>
                  <w:tcBorders>
                    <w:tl2br w:val="nil"/>
                    <w:tr2bl w:val="nil"/>
                  </w:tcBorders>
                  <w:shd w:val="clear" w:color="auto" w:fill="auto"/>
                  <w:vAlign w:val="center"/>
                </w:tcPr>
                <w:p w14:paraId="6891D0A3">
                  <w:pPr>
                    <w:pStyle w:val="45"/>
                    <w:ind w:firstLine="0" w:firstLineChars="0"/>
                    <w:rPr>
                      <w:rFonts w:hint="default"/>
                      <w:b w:val="0"/>
                      <w:bCs w:val="0"/>
                      <w:u w:val="none"/>
                    </w:rPr>
                  </w:pPr>
                  <w:r>
                    <w:rPr>
                      <w:rFonts w:hint="default"/>
                      <w:b w:val="0"/>
                      <w:bCs w:val="0"/>
                      <w:u w:val="none"/>
                    </w:rPr>
                    <w:t>干冰机</w:t>
                  </w:r>
                </w:p>
              </w:tc>
              <w:tc>
                <w:tcPr>
                  <w:tcW w:w="2277" w:type="dxa"/>
                  <w:tcBorders>
                    <w:tl2br w:val="nil"/>
                    <w:tr2bl w:val="nil"/>
                  </w:tcBorders>
                  <w:shd w:val="clear" w:color="auto" w:fill="auto"/>
                  <w:vAlign w:val="center"/>
                </w:tcPr>
                <w:p w14:paraId="6B135305">
                  <w:pPr>
                    <w:pStyle w:val="45"/>
                    <w:ind w:firstLine="0" w:firstLineChars="0"/>
                    <w:rPr>
                      <w:rFonts w:hint="default"/>
                      <w:b w:val="0"/>
                      <w:bCs w:val="0"/>
                      <w:u w:val="none"/>
                    </w:rPr>
                  </w:pPr>
                  <w:r>
                    <w:rPr>
                      <w:rFonts w:hint="default"/>
                      <w:b w:val="0"/>
                      <w:bCs w:val="0"/>
                      <w:u w:val="none"/>
                    </w:rPr>
                    <w:t>/</w:t>
                  </w:r>
                </w:p>
              </w:tc>
              <w:tc>
                <w:tcPr>
                  <w:tcW w:w="1564" w:type="dxa"/>
                  <w:tcBorders>
                    <w:tl2br w:val="nil"/>
                    <w:tr2bl w:val="nil"/>
                  </w:tcBorders>
                  <w:shd w:val="clear" w:color="auto" w:fill="auto"/>
                  <w:vAlign w:val="center"/>
                </w:tcPr>
                <w:p w14:paraId="67217E80">
                  <w:pPr>
                    <w:pStyle w:val="45"/>
                    <w:ind w:firstLine="0" w:firstLineChars="0"/>
                    <w:rPr>
                      <w:rFonts w:hint="default"/>
                      <w:b w:val="0"/>
                      <w:bCs w:val="0"/>
                      <w:u w:val="none"/>
                    </w:rPr>
                  </w:pPr>
                  <w:r>
                    <w:rPr>
                      <w:rFonts w:hint="default"/>
                      <w:b w:val="0"/>
                      <w:bCs w:val="0"/>
                      <w:u w:val="none"/>
                    </w:rPr>
                    <w:t>9.5</w:t>
                  </w:r>
                </w:p>
              </w:tc>
              <w:tc>
                <w:tcPr>
                  <w:tcW w:w="1452" w:type="dxa"/>
                  <w:tcBorders>
                    <w:tl2br w:val="nil"/>
                    <w:tr2bl w:val="nil"/>
                  </w:tcBorders>
                  <w:shd w:val="clear" w:color="auto" w:fill="auto"/>
                  <w:vAlign w:val="center"/>
                </w:tcPr>
                <w:p w14:paraId="2744FA74">
                  <w:pPr>
                    <w:pStyle w:val="45"/>
                    <w:ind w:firstLine="0" w:firstLineChars="0"/>
                    <w:rPr>
                      <w:rFonts w:hint="default"/>
                      <w:b w:val="0"/>
                      <w:bCs w:val="0"/>
                      <w:u w:val="none"/>
                    </w:rPr>
                  </w:pPr>
                  <w:r>
                    <w:rPr>
                      <w:rFonts w:hint="default"/>
                      <w:b w:val="0"/>
                      <w:bCs w:val="0"/>
                      <w:u w:val="none"/>
                    </w:rPr>
                    <w:t>62.76</w:t>
                  </w:r>
                </w:p>
              </w:tc>
              <w:tc>
                <w:tcPr>
                  <w:tcW w:w="1452" w:type="dxa"/>
                  <w:tcBorders>
                    <w:tl2br w:val="nil"/>
                    <w:tr2bl w:val="nil"/>
                  </w:tcBorders>
                  <w:shd w:val="clear" w:color="auto" w:fill="auto"/>
                  <w:vAlign w:val="center"/>
                </w:tcPr>
                <w:p w14:paraId="76DF02D7">
                  <w:pPr>
                    <w:pStyle w:val="45"/>
                    <w:ind w:firstLine="0" w:firstLineChars="0"/>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7A7104B6">
                  <w:pPr>
                    <w:pStyle w:val="45"/>
                    <w:ind w:firstLine="0" w:firstLineChars="0"/>
                    <w:rPr>
                      <w:rFonts w:hint="default" w:eastAsia="宋体"/>
                      <w:b w:val="0"/>
                      <w:bCs w:val="0"/>
                      <w:u w:val="none"/>
                      <w:lang w:val="en-US" w:eastAsia="zh-CN"/>
                    </w:rPr>
                  </w:pPr>
                  <w:r>
                    <w:rPr>
                      <w:rFonts w:hint="eastAsia"/>
                      <w:b w:val="0"/>
                      <w:bCs w:val="0"/>
                      <w:u w:val="none"/>
                      <w:lang w:val="en-US" w:eastAsia="zh-CN"/>
                    </w:rPr>
                    <w:t>75</w:t>
                  </w:r>
                </w:p>
              </w:tc>
              <w:tc>
                <w:tcPr>
                  <w:tcW w:w="1110" w:type="dxa"/>
                  <w:tcBorders>
                    <w:tl2br w:val="nil"/>
                    <w:tr2bl w:val="nil"/>
                  </w:tcBorders>
                  <w:shd w:val="clear" w:color="auto" w:fill="auto"/>
                  <w:noWrap/>
                  <w:vAlign w:val="center"/>
                </w:tcPr>
                <w:p w14:paraId="7F21D6D4">
                  <w:pPr>
                    <w:pStyle w:val="45"/>
                    <w:rPr>
                      <w:b w:val="0"/>
                      <w:bCs w:val="0"/>
                      <w:u w:val="none"/>
                    </w:rPr>
                  </w:pPr>
                  <w:r>
                    <w:rPr>
                      <w:b w:val="0"/>
                      <w:bCs w:val="0"/>
                      <w:u w:val="none"/>
                    </w:rPr>
                    <w:t>减振</w:t>
                  </w:r>
                </w:p>
              </w:tc>
              <w:tc>
                <w:tcPr>
                  <w:tcW w:w="1515" w:type="dxa"/>
                  <w:tcBorders>
                    <w:tl2br w:val="nil"/>
                    <w:tr2bl w:val="nil"/>
                  </w:tcBorders>
                  <w:shd w:val="clear" w:color="auto" w:fill="auto"/>
                  <w:noWrap/>
                  <w:vAlign w:val="center"/>
                </w:tcPr>
                <w:p w14:paraId="7067FB09">
                  <w:pPr>
                    <w:pStyle w:val="45"/>
                    <w:rPr>
                      <w:b w:val="0"/>
                      <w:bCs w:val="0"/>
                      <w:u w:val="none"/>
                    </w:rPr>
                  </w:pPr>
                  <w:r>
                    <w:rPr>
                      <w:b w:val="0"/>
                      <w:bCs w:val="0"/>
                      <w:u w:val="none"/>
                    </w:rPr>
                    <w:t>昼夜</w:t>
                  </w:r>
                </w:p>
              </w:tc>
            </w:tr>
            <w:tr w14:paraId="756799F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109CBE3D">
                  <w:pPr>
                    <w:pStyle w:val="45"/>
                    <w:rPr>
                      <w:rFonts w:hint="default"/>
                      <w:b w:val="0"/>
                      <w:bCs w:val="0"/>
                      <w:u w:val="none"/>
                    </w:rPr>
                  </w:pPr>
                  <w:r>
                    <w:rPr>
                      <w:rFonts w:hint="default"/>
                      <w:b w:val="0"/>
                      <w:bCs w:val="0"/>
                      <w:u w:val="none"/>
                    </w:rPr>
                    <w:t>1</w:t>
                  </w:r>
                </w:p>
              </w:tc>
              <w:tc>
                <w:tcPr>
                  <w:tcW w:w="1991" w:type="dxa"/>
                  <w:tcBorders>
                    <w:tl2br w:val="nil"/>
                    <w:tr2bl w:val="nil"/>
                  </w:tcBorders>
                  <w:shd w:val="clear" w:color="auto" w:fill="auto"/>
                  <w:vAlign w:val="center"/>
                </w:tcPr>
                <w:p w14:paraId="683AE38E">
                  <w:pPr>
                    <w:pStyle w:val="45"/>
                    <w:rPr>
                      <w:rFonts w:hint="default"/>
                      <w:b w:val="0"/>
                      <w:bCs w:val="0"/>
                      <w:u w:val="none"/>
                    </w:rPr>
                  </w:pPr>
                  <w:r>
                    <w:rPr>
                      <w:b w:val="0"/>
                      <w:bCs w:val="0"/>
                      <w:u w:val="none"/>
                    </w:rPr>
                    <w:t>二氧化碳装车泵1</w:t>
                  </w:r>
                </w:p>
              </w:tc>
              <w:tc>
                <w:tcPr>
                  <w:tcW w:w="2277" w:type="dxa"/>
                  <w:tcBorders>
                    <w:tl2br w:val="nil"/>
                    <w:tr2bl w:val="nil"/>
                  </w:tcBorders>
                  <w:shd w:val="clear" w:color="auto" w:fill="auto"/>
                  <w:vAlign w:val="center"/>
                </w:tcPr>
                <w:p w14:paraId="36389DAC">
                  <w:pPr>
                    <w:pStyle w:val="45"/>
                    <w:rPr>
                      <w:rFonts w:hint="default"/>
                      <w:b w:val="0"/>
                      <w:bCs w:val="0"/>
                      <w:u w:val="none"/>
                    </w:rPr>
                  </w:pPr>
                  <w:r>
                    <w:rPr>
                      <w:b w:val="0"/>
                      <w:bCs w:val="0"/>
                      <w:u w:val="none"/>
                    </w:rPr>
                    <w:t>流量</w:t>
                  </w:r>
                  <w:r>
                    <w:rPr>
                      <w:rFonts w:hint="default"/>
                      <w:b w:val="0"/>
                      <w:bCs w:val="0"/>
                      <w:u w:val="none"/>
                    </w:rPr>
                    <w:t>25m</w:t>
                  </w:r>
                  <w:r>
                    <w:rPr>
                      <w:b w:val="0"/>
                      <w:bCs w:val="0"/>
                      <w:u w:val="none"/>
                    </w:rPr>
                    <w:t>³</w:t>
                  </w:r>
                  <w:r>
                    <w:rPr>
                      <w:rFonts w:hint="default"/>
                      <w:b w:val="0"/>
                      <w:bCs w:val="0"/>
                      <w:u w:val="none"/>
                    </w:rPr>
                    <w:t>/h</w:t>
                  </w:r>
                  <w:r>
                    <w:rPr>
                      <w:b w:val="0"/>
                      <w:bCs w:val="0"/>
                      <w:u w:val="none"/>
                    </w:rPr>
                    <w:t>，扬程</w:t>
                  </w:r>
                  <w:r>
                    <w:rPr>
                      <w:rFonts w:hint="default"/>
                      <w:b w:val="0"/>
                      <w:bCs w:val="0"/>
                      <w:u w:val="none"/>
                    </w:rPr>
                    <w:t>40m</w:t>
                  </w:r>
                </w:p>
              </w:tc>
              <w:tc>
                <w:tcPr>
                  <w:tcW w:w="1564" w:type="dxa"/>
                  <w:tcBorders>
                    <w:tl2br w:val="nil"/>
                    <w:tr2bl w:val="nil"/>
                  </w:tcBorders>
                  <w:shd w:val="clear" w:color="auto" w:fill="auto"/>
                  <w:vAlign w:val="center"/>
                </w:tcPr>
                <w:p w14:paraId="35059638">
                  <w:pPr>
                    <w:pStyle w:val="45"/>
                    <w:rPr>
                      <w:rFonts w:hint="default"/>
                      <w:b w:val="0"/>
                      <w:bCs w:val="0"/>
                      <w:u w:val="none"/>
                    </w:rPr>
                  </w:pPr>
                  <w:r>
                    <w:rPr>
                      <w:rFonts w:hint="default"/>
                      <w:b w:val="0"/>
                      <w:bCs w:val="0"/>
                      <w:u w:val="none"/>
                    </w:rPr>
                    <w:t>-20.92</w:t>
                  </w:r>
                </w:p>
              </w:tc>
              <w:tc>
                <w:tcPr>
                  <w:tcW w:w="1452" w:type="dxa"/>
                  <w:tcBorders>
                    <w:tl2br w:val="nil"/>
                    <w:tr2bl w:val="nil"/>
                  </w:tcBorders>
                  <w:shd w:val="clear" w:color="auto" w:fill="auto"/>
                  <w:vAlign w:val="center"/>
                </w:tcPr>
                <w:p w14:paraId="3260A7CE">
                  <w:pPr>
                    <w:pStyle w:val="45"/>
                    <w:rPr>
                      <w:rFonts w:hint="default"/>
                      <w:b w:val="0"/>
                      <w:bCs w:val="0"/>
                      <w:u w:val="none"/>
                    </w:rPr>
                  </w:pPr>
                  <w:r>
                    <w:rPr>
                      <w:rFonts w:hint="default"/>
                      <w:b w:val="0"/>
                      <w:bCs w:val="0"/>
                      <w:u w:val="none"/>
                    </w:rPr>
                    <w:t>102.49</w:t>
                  </w:r>
                </w:p>
              </w:tc>
              <w:tc>
                <w:tcPr>
                  <w:tcW w:w="1452" w:type="dxa"/>
                  <w:tcBorders>
                    <w:tl2br w:val="nil"/>
                    <w:tr2bl w:val="nil"/>
                  </w:tcBorders>
                  <w:shd w:val="clear" w:color="auto" w:fill="auto"/>
                  <w:vAlign w:val="center"/>
                </w:tcPr>
                <w:p w14:paraId="41124BEC">
                  <w:pPr>
                    <w:pStyle w:val="45"/>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75F77E83">
                  <w:pPr>
                    <w:pStyle w:val="45"/>
                    <w:rPr>
                      <w:rFonts w:hint="default"/>
                      <w:b w:val="0"/>
                      <w:bCs w:val="0"/>
                      <w:u w:val="none"/>
                    </w:rPr>
                  </w:pPr>
                  <w:r>
                    <w:rPr>
                      <w:b w:val="0"/>
                      <w:bCs w:val="0"/>
                      <w:u w:val="none"/>
                    </w:rPr>
                    <w:t>80</w:t>
                  </w:r>
                </w:p>
              </w:tc>
              <w:tc>
                <w:tcPr>
                  <w:tcW w:w="1110" w:type="dxa"/>
                  <w:tcBorders>
                    <w:tl2br w:val="nil"/>
                    <w:tr2bl w:val="nil"/>
                  </w:tcBorders>
                  <w:shd w:val="clear" w:color="auto" w:fill="auto"/>
                  <w:noWrap/>
                  <w:vAlign w:val="center"/>
                </w:tcPr>
                <w:p w14:paraId="32BD695E">
                  <w:pPr>
                    <w:pStyle w:val="45"/>
                    <w:rPr>
                      <w:rFonts w:hint="default"/>
                      <w:b w:val="0"/>
                      <w:bCs w:val="0"/>
                      <w:u w:val="none"/>
                    </w:rPr>
                  </w:pPr>
                  <w:r>
                    <w:rPr>
                      <w:b w:val="0"/>
                      <w:bCs w:val="0"/>
                      <w:u w:val="none"/>
                    </w:rPr>
                    <w:t>减振</w:t>
                  </w:r>
                </w:p>
              </w:tc>
              <w:tc>
                <w:tcPr>
                  <w:tcW w:w="1515" w:type="dxa"/>
                  <w:tcBorders>
                    <w:tl2br w:val="nil"/>
                    <w:tr2bl w:val="nil"/>
                  </w:tcBorders>
                  <w:shd w:val="clear" w:color="auto" w:fill="auto"/>
                  <w:noWrap/>
                  <w:vAlign w:val="center"/>
                </w:tcPr>
                <w:p w14:paraId="278005B4">
                  <w:pPr>
                    <w:pStyle w:val="45"/>
                    <w:rPr>
                      <w:rFonts w:hint="default"/>
                      <w:b w:val="0"/>
                      <w:bCs w:val="0"/>
                      <w:u w:val="none"/>
                    </w:rPr>
                  </w:pPr>
                  <w:r>
                    <w:rPr>
                      <w:b w:val="0"/>
                      <w:bCs w:val="0"/>
                      <w:u w:val="none"/>
                    </w:rPr>
                    <w:t>昼夜</w:t>
                  </w:r>
                </w:p>
              </w:tc>
            </w:tr>
            <w:tr w14:paraId="7B5A2EE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228A6ED3">
                  <w:pPr>
                    <w:pStyle w:val="45"/>
                    <w:rPr>
                      <w:rFonts w:hint="default"/>
                      <w:b w:val="0"/>
                      <w:bCs w:val="0"/>
                      <w:u w:val="none"/>
                    </w:rPr>
                  </w:pPr>
                  <w:r>
                    <w:rPr>
                      <w:rFonts w:hint="default"/>
                      <w:b w:val="0"/>
                      <w:bCs w:val="0"/>
                      <w:u w:val="none"/>
                    </w:rPr>
                    <w:t>2</w:t>
                  </w:r>
                </w:p>
              </w:tc>
              <w:tc>
                <w:tcPr>
                  <w:tcW w:w="1991" w:type="dxa"/>
                  <w:tcBorders>
                    <w:tl2br w:val="nil"/>
                    <w:tr2bl w:val="nil"/>
                  </w:tcBorders>
                  <w:shd w:val="clear" w:color="auto" w:fill="auto"/>
                  <w:vAlign w:val="center"/>
                </w:tcPr>
                <w:p w14:paraId="33CA6341">
                  <w:pPr>
                    <w:pStyle w:val="45"/>
                    <w:rPr>
                      <w:rFonts w:hint="default"/>
                      <w:b w:val="0"/>
                      <w:bCs w:val="0"/>
                      <w:u w:val="none"/>
                    </w:rPr>
                  </w:pPr>
                  <w:r>
                    <w:rPr>
                      <w:b w:val="0"/>
                      <w:bCs w:val="0"/>
                      <w:u w:val="none"/>
                    </w:rPr>
                    <w:t>二氧化碳装车泵2</w:t>
                  </w:r>
                </w:p>
              </w:tc>
              <w:tc>
                <w:tcPr>
                  <w:tcW w:w="2277" w:type="dxa"/>
                  <w:tcBorders>
                    <w:tl2br w:val="nil"/>
                    <w:tr2bl w:val="nil"/>
                  </w:tcBorders>
                  <w:shd w:val="clear" w:color="auto" w:fill="auto"/>
                  <w:vAlign w:val="center"/>
                </w:tcPr>
                <w:p w14:paraId="764E7CD7">
                  <w:pPr>
                    <w:pStyle w:val="45"/>
                    <w:rPr>
                      <w:rFonts w:hint="default"/>
                      <w:b w:val="0"/>
                      <w:bCs w:val="0"/>
                      <w:u w:val="none"/>
                    </w:rPr>
                  </w:pPr>
                  <w:r>
                    <w:rPr>
                      <w:b w:val="0"/>
                      <w:bCs w:val="0"/>
                      <w:u w:val="none"/>
                    </w:rPr>
                    <w:t>流量</w:t>
                  </w:r>
                  <w:r>
                    <w:rPr>
                      <w:rFonts w:hint="default"/>
                      <w:b w:val="0"/>
                      <w:bCs w:val="0"/>
                      <w:u w:val="none"/>
                    </w:rPr>
                    <w:t>25m</w:t>
                  </w:r>
                  <w:r>
                    <w:rPr>
                      <w:b w:val="0"/>
                      <w:bCs w:val="0"/>
                      <w:u w:val="none"/>
                    </w:rPr>
                    <w:t>³</w:t>
                  </w:r>
                  <w:r>
                    <w:rPr>
                      <w:rFonts w:hint="default"/>
                      <w:b w:val="0"/>
                      <w:bCs w:val="0"/>
                      <w:u w:val="none"/>
                    </w:rPr>
                    <w:t>/h</w:t>
                  </w:r>
                  <w:r>
                    <w:rPr>
                      <w:b w:val="0"/>
                      <w:bCs w:val="0"/>
                      <w:u w:val="none"/>
                    </w:rPr>
                    <w:t>，扬程</w:t>
                  </w:r>
                  <w:r>
                    <w:rPr>
                      <w:rFonts w:hint="default"/>
                      <w:b w:val="0"/>
                      <w:bCs w:val="0"/>
                      <w:u w:val="none"/>
                    </w:rPr>
                    <w:t>40m</w:t>
                  </w:r>
                </w:p>
              </w:tc>
              <w:tc>
                <w:tcPr>
                  <w:tcW w:w="1564" w:type="dxa"/>
                  <w:tcBorders>
                    <w:tl2br w:val="nil"/>
                    <w:tr2bl w:val="nil"/>
                  </w:tcBorders>
                  <w:shd w:val="clear" w:color="auto" w:fill="auto"/>
                  <w:vAlign w:val="center"/>
                </w:tcPr>
                <w:p w14:paraId="3C184834">
                  <w:pPr>
                    <w:pStyle w:val="45"/>
                    <w:rPr>
                      <w:rFonts w:hint="default"/>
                      <w:b w:val="0"/>
                      <w:bCs w:val="0"/>
                      <w:u w:val="none"/>
                    </w:rPr>
                  </w:pPr>
                  <w:r>
                    <w:rPr>
                      <w:rFonts w:hint="default"/>
                      <w:b w:val="0"/>
                      <w:bCs w:val="0"/>
                      <w:u w:val="none"/>
                    </w:rPr>
                    <w:t>-20.76</w:t>
                  </w:r>
                </w:p>
              </w:tc>
              <w:tc>
                <w:tcPr>
                  <w:tcW w:w="1452" w:type="dxa"/>
                  <w:tcBorders>
                    <w:tl2br w:val="nil"/>
                    <w:tr2bl w:val="nil"/>
                  </w:tcBorders>
                  <w:shd w:val="clear" w:color="auto" w:fill="auto"/>
                  <w:vAlign w:val="center"/>
                </w:tcPr>
                <w:p w14:paraId="0A96D5BA">
                  <w:pPr>
                    <w:pStyle w:val="45"/>
                    <w:rPr>
                      <w:rFonts w:hint="default"/>
                      <w:b w:val="0"/>
                      <w:bCs w:val="0"/>
                      <w:u w:val="none"/>
                    </w:rPr>
                  </w:pPr>
                  <w:r>
                    <w:rPr>
                      <w:rFonts w:hint="default"/>
                      <w:b w:val="0"/>
                      <w:bCs w:val="0"/>
                      <w:u w:val="none"/>
                    </w:rPr>
                    <w:t>98.47</w:t>
                  </w:r>
                </w:p>
              </w:tc>
              <w:tc>
                <w:tcPr>
                  <w:tcW w:w="1452" w:type="dxa"/>
                  <w:tcBorders>
                    <w:tl2br w:val="nil"/>
                    <w:tr2bl w:val="nil"/>
                  </w:tcBorders>
                  <w:shd w:val="clear" w:color="auto" w:fill="auto"/>
                  <w:vAlign w:val="center"/>
                </w:tcPr>
                <w:p w14:paraId="5791E416">
                  <w:pPr>
                    <w:pStyle w:val="45"/>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12E7FD95">
                  <w:pPr>
                    <w:pStyle w:val="45"/>
                    <w:rPr>
                      <w:rFonts w:hint="default"/>
                      <w:b w:val="0"/>
                      <w:bCs w:val="0"/>
                      <w:u w:val="none"/>
                    </w:rPr>
                  </w:pPr>
                  <w:r>
                    <w:rPr>
                      <w:b w:val="0"/>
                      <w:bCs w:val="0"/>
                      <w:u w:val="none"/>
                    </w:rPr>
                    <w:t>80</w:t>
                  </w:r>
                </w:p>
              </w:tc>
              <w:tc>
                <w:tcPr>
                  <w:tcW w:w="1110" w:type="dxa"/>
                  <w:tcBorders>
                    <w:tl2br w:val="nil"/>
                    <w:tr2bl w:val="nil"/>
                  </w:tcBorders>
                  <w:shd w:val="clear" w:color="auto" w:fill="auto"/>
                  <w:noWrap/>
                  <w:vAlign w:val="center"/>
                </w:tcPr>
                <w:p w14:paraId="68F7EB95">
                  <w:pPr>
                    <w:pStyle w:val="45"/>
                    <w:rPr>
                      <w:rFonts w:hint="default"/>
                      <w:b w:val="0"/>
                      <w:bCs w:val="0"/>
                      <w:u w:val="none"/>
                    </w:rPr>
                  </w:pPr>
                  <w:r>
                    <w:rPr>
                      <w:b w:val="0"/>
                      <w:bCs w:val="0"/>
                      <w:u w:val="none"/>
                    </w:rPr>
                    <w:t>减振</w:t>
                  </w:r>
                </w:p>
              </w:tc>
              <w:tc>
                <w:tcPr>
                  <w:tcW w:w="1515" w:type="dxa"/>
                  <w:tcBorders>
                    <w:tl2br w:val="nil"/>
                    <w:tr2bl w:val="nil"/>
                  </w:tcBorders>
                  <w:shd w:val="clear" w:color="auto" w:fill="auto"/>
                  <w:noWrap/>
                  <w:vAlign w:val="center"/>
                </w:tcPr>
                <w:p w14:paraId="0A15A4A6">
                  <w:pPr>
                    <w:pStyle w:val="45"/>
                    <w:rPr>
                      <w:rFonts w:hint="default"/>
                      <w:b w:val="0"/>
                      <w:bCs w:val="0"/>
                      <w:u w:val="none"/>
                    </w:rPr>
                  </w:pPr>
                  <w:r>
                    <w:rPr>
                      <w:b w:val="0"/>
                      <w:bCs w:val="0"/>
                      <w:u w:val="none"/>
                    </w:rPr>
                    <w:t>昼夜</w:t>
                  </w:r>
                </w:p>
              </w:tc>
            </w:tr>
            <w:tr w14:paraId="46D7B17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4DC6090B">
                  <w:pPr>
                    <w:pStyle w:val="45"/>
                    <w:rPr>
                      <w:rFonts w:hint="default"/>
                      <w:b w:val="0"/>
                      <w:bCs w:val="0"/>
                      <w:u w:val="none"/>
                    </w:rPr>
                  </w:pPr>
                  <w:r>
                    <w:rPr>
                      <w:rFonts w:hint="default"/>
                      <w:b w:val="0"/>
                      <w:bCs w:val="0"/>
                      <w:u w:val="none"/>
                    </w:rPr>
                    <w:t>3</w:t>
                  </w:r>
                </w:p>
              </w:tc>
              <w:tc>
                <w:tcPr>
                  <w:tcW w:w="1991" w:type="dxa"/>
                  <w:tcBorders>
                    <w:tl2br w:val="nil"/>
                    <w:tr2bl w:val="nil"/>
                  </w:tcBorders>
                  <w:shd w:val="clear" w:color="auto" w:fill="auto"/>
                  <w:vAlign w:val="center"/>
                </w:tcPr>
                <w:p w14:paraId="4155BC98">
                  <w:pPr>
                    <w:pStyle w:val="45"/>
                    <w:rPr>
                      <w:rFonts w:hint="default"/>
                      <w:b w:val="0"/>
                      <w:bCs w:val="0"/>
                      <w:u w:val="none"/>
                    </w:rPr>
                  </w:pPr>
                  <w:r>
                    <w:rPr>
                      <w:b w:val="0"/>
                      <w:bCs w:val="0"/>
                      <w:u w:val="none"/>
                    </w:rPr>
                    <w:t>二氧化碳装车泵3</w:t>
                  </w:r>
                </w:p>
              </w:tc>
              <w:tc>
                <w:tcPr>
                  <w:tcW w:w="2277" w:type="dxa"/>
                  <w:tcBorders>
                    <w:tl2br w:val="nil"/>
                    <w:tr2bl w:val="nil"/>
                  </w:tcBorders>
                  <w:shd w:val="clear" w:color="auto" w:fill="auto"/>
                  <w:vAlign w:val="center"/>
                </w:tcPr>
                <w:p w14:paraId="1130E5A5">
                  <w:pPr>
                    <w:pStyle w:val="45"/>
                    <w:rPr>
                      <w:rFonts w:hint="default"/>
                      <w:b w:val="0"/>
                      <w:bCs w:val="0"/>
                      <w:u w:val="none"/>
                    </w:rPr>
                  </w:pPr>
                  <w:r>
                    <w:rPr>
                      <w:b w:val="0"/>
                      <w:bCs w:val="0"/>
                      <w:u w:val="none"/>
                    </w:rPr>
                    <w:t>流量</w:t>
                  </w:r>
                  <w:r>
                    <w:rPr>
                      <w:rFonts w:hint="default"/>
                      <w:b w:val="0"/>
                      <w:bCs w:val="0"/>
                      <w:u w:val="none"/>
                    </w:rPr>
                    <w:t>25m</w:t>
                  </w:r>
                  <w:r>
                    <w:rPr>
                      <w:b w:val="0"/>
                      <w:bCs w:val="0"/>
                      <w:u w:val="none"/>
                    </w:rPr>
                    <w:t>³</w:t>
                  </w:r>
                  <w:r>
                    <w:rPr>
                      <w:rFonts w:hint="default"/>
                      <w:b w:val="0"/>
                      <w:bCs w:val="0"/>
                      <w:u w:val="none"/>
                    </w:rPr>
                    <w:t>/h</w:t>
                  </w:r>
                  <w:r>
                    <w:rPr>
                      <w:b w:val="0"/>
                      <w:bCs w:val="0"/>
                      <w:u w:val="none"/>
                    </w:rPr>
                    <w:t>，扬程</w:t>
                  </w:r>
                  <w:r>
                    <w:rPr>
                      <w:rFonts w:hint="default"/>
                      <w:b w:val="0"/>
                      <w:bCs w:val="0"/>
                      <w:u w:val="none"/>
                    </w:rPr>
                    <w:t>40m</w:t>
                  </w:r>
                </w:p>
              </w:tc>
              <w:tc>
                <w:tcPr>
                  <w:tcW w:w="1564" w:type="dxa"/>
                  <w:tcBorders>
                    <w:tl2br w:val="nil"/>
                    <w:tr2bl w:val="nil"/>
                  </w:tcBorders>
                  <w:shd w:val="clear" w:color="auto" w:fill="auto"/>
                  <w:vAlign w:val="center"/>
                </w:tcPr>
                <w:p w14:paraId="1BE696ED">
                  <w:pPr>
                    <w:pStyle w:val="45"/>
                    <w:rPr>
                      <w:rFonts w:hint="default"/>
                      <w:b w:val="0"/>
                      <w:bCs w:val="0"/>
                      <w:u w:val="none"/>
                    </w:rPr>
                  </w:pPr>
                  <w:r>
                    <w:rPr>
                      <w:rFonts w:hint="default"/>
                      <w:b w:val="0"/>
                      <w:bCs w:val="0"/>
                      <w:u w:val="none"/>
                    </w:rPr>
                    <w:t>-20.6</w:t>
                  </w:r>
                </w:p>
              </w:tc>
              <w:tc>
                <w:tcPr>
                  <w:tcW w:w="1452" w:type="dxa"/>
                  <w:tcBorders>
                    <w:tl2br w:val="nil"/>
                    <w:tr2bl w:val="nil"/>
                  </w:tcBorders>
                  <w:shd w:val="clear" w:color="auto" w:fill="auto"/>
                  <w:vAlign w:val="center"/>
                </w:tcPr>
                <w:p w14:paraId="7838CD79">
                  <w:pPr>
                    <w:pStyle w:val="45"/>
                    <w:rPr>
                      <w:rFonts w:hint="default"/>
                      <w:b w:val="0"/>
                      <w:bCs w:val="0"/>
                      <w:u w:val="none"/>
                    </w:rPr>
                  </w:pPr>
                  <w:r>
                    <w:rPr>
                      <w:rFonts w:hint="default"/>
                      <w:b w:val="0"/>
                      <w:bCs w:val="0"/>
                      <w:u w:val="none"/>
                    </w:rPr>
                    <w:t>94.77</w:t>
                  </w:r>
                </w:p>
              </w:tc>
              <w:tc>
                <w:tcPr>
                  <w:tcW w:w="1452" w:type="dxa"/>
                  <w:tcBorders>
                    <w:tl2br w:val="nil"/>
                    <w:tr2bl w:val="nil"/>
                  </w:tcBorders>
                  <w:shd w:val="clear" w:color="auto" w:fill="auto"/>
                  <w:vAlign w:val="center"/>
                </w:tcPr>
                <w:p w14:paraId="362F90D2">
                  <w:pPr>
                    <w:pStyle w:val="45"/>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59D3977D">
                  <w:pPr>
                    <w:pStyle w:val="45"/>
                    <w:rPr>
                      <w:rFonts w:hint="default"/>
                      <w:b w:val="0"/>
                      <w:bCs w:val="0"/>
                      <w:u w:val="none"/>
                    </w:rPr>
                  </w:pPr>
                  <w:r>
                    <w:rPr>
                      <w:b w:val="0"/>
                      <w:bCs w:val="0"/>
                      <w:u w:val="none"/>
                    </w:rPr>
                    <w:t>80</w:t>
                  </w:r>
                </w:p>
              </w:tc>
              <w:tc>
                <w:tcPr>
                  <w:tcW w:w="1110" w:type="dxa"/>
                  <w:tcBorders>
                    <w:tl2br w:val="nil"/>
                    <w:tr2bl w:val="nil"/>
                  </w:tcBorders>
                  <w:shd w:val="clear" w:color="auto" w:fill="auto"/>
                  <w:noWrap/>
                  <w:vAlign w:val="center"/>
                </w:tcPr>
                <w:p w14:paraId="25677007">
                  <w:pPr>
                    <w:pStyle w:val="45"/>
                    <w:rPr>
                      <w:rFonts w:hint="default"/>
                      <w:b w:val="0"/>
                      <w:bCs w:val="0"/>
                      <w:u w:val="none"/>
                    </w:rPr>
                  </w:pPr>
                  <w:r>
                    <w:rPr>
                      <w:b w:val="0"/>
                      <w:bCs w:val="0"/>
                      <w:u w:val="none"/>
                    </w:rPr>
                    <w:t>减振</w:t>
                  </w:r>
                </w:p>
              </w:tc>
              <w:tc>
                <w:tcPr>
                  <w:tcW w:w="1515" w:type="dxa"/>
                  <w:tcBorders>
                    <w:tl2br w:val="nil"/>
                    <w:tr2bl w:val="nil"/>
                  </w:tcBorders>
                  <w:shd w:val="clear" w:color="auto" w:fill="auto"/>
                  <w:noWrap/>
                  <w:vAlign w:val="center"/>
                </w:tcPr>
                <w:p w14:paraId="0C417950">
                  <w:pPr>
                    <w:pStyle w:val="45"/>
                    <w:rPr>
                      <w:rFonts w:hint="default"/>
                      <w:b w:val="0"/>
                      <w:bCs w:val="0"/>
                      <w:u w:val="none"/>
                    </w:rPr>
                  </w:pPr>
                  <w:r>
                    <w:rPr>
                      <w:b w:val="0"/>
                      <w:bCs w:val="0"/>
                      <w:u w:val="none"/>
                    </w:rPr>
                    <w:t>昼夜</w:t>
                  </w:r>
                </w:p>
              </w:tc>
            </w:tr>
            <w:tr w14:paraId="660C766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5BBF7C3E">
                  <w:pPr>
                    <w:pStyle w:val="45"/>
                    <w:rPr>
                      <w:rFonts w:hint="default"/>
                      <w:b w:val="0"/>
                      <w:bCs w:val="0"/>
                      <w:u w:val="none"/>
                    </w:rPr>
                  </w:pPr>
                  <w:r>
                    <w:rPr>
                      <w:rFonts w:hint="default"/>
                      <w:b w:val="0"/>
                      <w:bCs w:val="0"/>
                      <w:u w:val="none"/>
                    </w:rPr>
                    <w:t>4</w:t>
                  </w:r>
                </w:p>
              </w:tc>
              <w:tc>
                <w:tcPr>
                  <w:tcW w:w="1991" w:type="dxa"/>
                  <w:tcBorders>
                    <w:tl2br w:val="nil"/>
                    <w:tr2bl w:val="nil"/>
                  </w:tcBorders>
                  <w:shd w:val="clear" w:color="auto" w:fill="auto"/>
                  <w:vAlign w:val="center"/>
                </w:tcPr>
                <w:p w14:paraId="5C0E2CD7">
                  <w:pPr>
                    <w:pStyle w:val="45"/>
                    <w:rPr>
                      <w:rFonts w:hint="default"/>
                      <w:b w:val="0"/>
                      <w:bCs w:val="0"/>
                      <w:u w:val="none"/>
                    </w:rPr>
                  </w:pPr>
                  <w:r>
                    <w:rPr>
                      <w:b w:val="0"/>
                      <w:bCs w:val="0"/>
                      <w:u w:val="none"/>
                    </w:rPr>
                    <w:t>二氧化碳装车泵4</w:t>
                  </w:r>
                </w:p>
              </w:tc>
              <w:tc>
                <w:tcPr>
                  <w:tcW w:w="2277" w:type="dxa"/>
                  <w:tcBorders>
                    <w:tl2br w:val="nil"/>
                    <w:tr2bl w:val="nil"/>
                  </w:tcBorders>
                  <w:shd w:val="clear" w:color="auto" w:fill="auto"/>
                  <w:vAlign w:val="center"/>
                </w:tcPr>
                <w:p w14:paraId="26DB178A">
                  <w:pPr>
                    <w:pStyle w:val="45"/>
                    <w:rPr>
                      <w:rFonts w:hint="default"/>
                      <w:b w:val="0"/>
                      <w:bCs w:val="0"/>
                      <w:u w:val="none"/>
                    </w:rPr>
                  </w:pPr>
                  <w:r>
                    <w:rPr>
                      <w:b w:val="0"/>
                      <w:bCs w:val="0"/>
                      <w:u w:val="none"/>
                    </w:rPr>
                    <w:t>流量</w:t>
                  </w:r>
                  <w:r>
                    <w:rPr>
                      <w:rFonts w:hint="default"/>
                      <w:b w:val="0"/>
                      <w:bCs w:val="0"/>
                      <w:u w:val="none"/>
                    </w:rPr>
                    <w:t>25m</w:t>
                  </w:r>
                  <w:r>
                    <w:rPr>
                      <w:b w:val="0"/>
                      <w:bCs w:val="0"/>
                      <w:u w:val="none"/>
                    </w:rPr>
                    <w:t>³</w:t>
                  </w:r>
                  <w:r>
                    <w:rPr>
                      <w:rFonts w:hint="default"/>
                      <w:b w:val="0"/>
                      <w:bCs w:val="0"/>
                      <w:u w:val="none"/>
                    </w:rPr>
                    <w:t>/h</w:t>
                  </w:r>
                  <w:r>
                    <w:rPr>
                      <w:b w:val="0"/>
                      <w:bCs w:val="0"/>
                      <w:u w:val="none"/>
                    </w:rPr>
                    <w:t>，扬程</w:t>
                  </w:r>
                  <w:r>
                    <w:rPr>
                      <w:rFonts w:hint="default"/>
                      <w:b w:val="0"/>
                      <w:bCs w:val="0"/>
                      <w:u w:val="none"/>
                    </w:rPr>
                    <w:t>40m</w:t>
                  </w:r>
                </w:p>
              </w:tc>
              <w:tc>
                <w:tcPr>
                  <w:tcW w:w="1564" w:type="dxa"/>
                  <w:tcBorders>
                    <w:tl2br w:val="nil"/>
                    <w:tr2bl w:val="nil"/>
                  </w:tcBorders>
                  <w:shd w:val="clear" w:color="auto" w:fill="auto"/>
                  <w:vAlign w:val="center"/>
                </w:tcPr>
                <w:p w14:paraId="3E22BE08">
                  <w:pPr>
                    <w:pStyle w:val="45"/>
                    <w:rPr>
                      <w:rFonts w:hint="default"/>
                      <w:b w:val="0"/>
                      <w:bCs w:val="0"/>
                      <w:u w:val="none"/>
                    </w:rPr>
                  </w:pPr>
                  <w:r>
                    <w:rPr>
                      <w:rFonts w:hint="default"/>
                      <w:b w:val="0"/>
                      <w:bCs w:val="0"/>
                      <w:u w:val="none"/>
                    </w:rPr>
                    <w:t>-20.44</w:t>
                  </w:r>
                </w:p>
              </w:tc>
              <w:tc>
                <w:tcPr>
                  <w:tcW w:w="1452" w:type="dxa"/>
                  <w:tcBorders>
                    <w:tl2br w:val="nil"/>
                    <w:tr2bl w:val="nil"/>
                  </w:tcBorders>
                  <w:shd w:val="clear" w:color="auto" w:fill="auto"/>
                  <w:vAlign w:val="center"/>
                </w:tcPr>
                <w:p w14:paraId="55E11BE3">
                  <w:pPr>
                    <w:pStyle w:val="45"/>
                    <w:rPr>
                      <w:rFonts w:hint="default"/>
                      <w:b w:val="0"/>
                      <w:bCs w:val="0"/>
                      <w:u w:val="none"/>
                    </w:rPr>
                  </w:pPr>
                  <w:r>
                    <w:rPr>
                      <w:rFonts w:hint="default"/>
                      <w:b w:val="0"/>
                      <w:bCs w:val="0"/>
                      <w:u w:val="none"/>
                    </w:rPr>
                    <w:t>90.26</w:t>
                  </w:r>
                </w:p>
              </w:tc>
              <w:tc>
                <w:tcPr>
                  <w:tcW w:w="1452" w:type="dxa"/>
                  <w:tcBorders>
                    <w:tl2br w:val="nil"/>
                    <w:tr2bl w:val="nil"/>
                  </w:tcBorders>
                  <w:shd w:val="clear" w:color="auto" w:fill="auto"/>
                  <w:vAlign w:val="center"/>
                </w:tcPr>
                <w:p w14:paraId="37F7AB48">
                  <w:pPr>
                    <w:pStyle w:val="45"/>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3372BE80">
                  <w:pPr>
                    <w:pStyle w:val="45"/>
                    <w:rPr>
                      <w:rFonts w:hint="default"/>
                      <w:b w:val="0"/>
                      <w:bCs w:val="0"/>
                      <w:u w:val="none"/>
                    </w:rPr>
                  </w:pPr>
                  <w:r>
                    <w:rPr>
                      <w:b w:val="0"/>
                      <w:bCs w:val="0"/>
                      <w:u w:val="none"/>
                    </w:rPr>
                    <w:t>80</w:t>
                  </w:r>
                </w:p>
              </w:tc>
              <w:tc>
                <w:tcPr>
                  <w:tcW w:w="1110" w:type="dxa"/>
                  <w:tcBorders>
                    <w:tl2br w:val="nil"/>
                    <w:tr2bl w:val="nil"/>
                  </w:tcBorders>
                  <w:shd w:val="clear" w:color="auto" w:fill="auto"/>
                  <w:noWrap/>
                  <w:vAlign w:val="center"/>
                </w:tcPr>
                <w:p w14:paraId="54030A11">
                  <w:pPr>
                    <w:pStyle w:val="45"/>
                    <w:rPr>
                      <w:rFonts w:hint="default"/>
                      <w:b w:val="0"/>
                      <w:bCs w:val="0"/>
                      <w:u w:val="none"/>
                    </w:rPr>
                  </w:pPr>
                  <w:r>
                    <w:rPr>
                      <w:b w:val="0"/>
                      <w:bCs w:val="0"/>
                      <w:u w:val="none"/>
                    </w:rPr>
                    <w:t>减振</w:t>
                  </w:r>
                </w:p>
              </w:tc>
              <w:tc>
                <w:tcPr>
                  <w:tcW w:w="1515" w:type="dxa"/>
                  <w:tcBorders>
                    <w:tl2br w:val="nil"/>
                    <w:tr2bl w:val="nil"/>
                  </w:tcBorders>
                  <w:shd w:val="clear" w:color="auto" w:fill="auto"/>
                  <w:noWrap/>
                  <w:vAlign w:val="center"/>
                </w:tcPr>
                <w:p w14:paraId="13A618A7">
                  <w:pPr>
                    <w:pStyle w:val="45"/>
                    <w:rPr>
                      <w:rFonts w:hint="default"/>
                      <w:b w:val="0"/>
                      <w:bCs w:val="0"/>
                      <w:u w:val="none"/>
                    </w:rPr>
                  </w:pPr>
                  <w:r>
                    <w:rPr>
                      <w:b w:val="0"/>
                      <w:bCs w:val="0"/>
                      <w:u w:val="none"/>
                    </w:rPr>
                    <w:t>昼夜</w:t>
                  </w:r>
                </w:p>
              </w:tc>
            </w:tr>
            <w:tr w14:paraId="69C4764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07279FBF">
                  <w:pPr>
                    <w:pStyle w:val="45"/>
                    <w:rPr>
                      <w:rFonts w:hint="default"/>
                      <w:b w:val="0"/>
                      <w:bCs w:val="0"/>
                      <w:u w:val="none"/>
                    </w:rPr>
                  </w:pPr>
                  <w:r>
                    <w:rPr>
                      <w:rFonts w:hint="default"/>
                      <w:b w:val="0"/>
                      <w:bCs w:val="0"/>
                      <w:u w:val="none"/>
                    </w:rPr>
                    <w:t>5</w:t>
                  </w:r>
                </w:p>
              </w:tc>
              <w:tc>
                <w:tcPr>
                  <w:tcW w:w="1991" w:type="dxa"/>
                  <w:tcBorders>
                    <w:tl2br w:val="nil"/>
                    <w:tr2bl w:val="nil"/>
                  </w:tcBorders>
                  <w:shd w:val="clear" w:color="auto" w:fill="auto"/>
                  <w:vAlign w:val="center"/>
                </w:tcPr>
                <w:p w14:paraId="162810B2">
                  <w:pPr>
                    <w:pStyle w:val="45"/>
                    <w:rPr>
                      <w:rFonts w:hint="default"/>
                      <w:b w:val="0"/>
                      <w:bCs w:val="0"/>
                      <w:u w:val="none"/>
                    </w:rPr>
                  </w:pPr>
                  <w:r>
                    <w:rPr>
                      <w:b w:val="0"/>
                      <w:bCs w:val="0"/>
                      <w:u w:val="none"/>
                    </w:rPr>
                    <w:t>液氨泵1</w:t>
                  </w:r>
                </w:p>
              </w:tc>
              <w:tc>
                <w:tcPr>
                  <w:tcW w:w="2277" w:type="dxa"/>
                  <w:tcBorders>
                    <w:tl2br w:val="nil"/>
                    <w:tr2bl w:val="nil"/>
                  </w:tcBorders>
                  <w:shd w:val="clear" w:color="auto" w:fill="auto"/>
                  <w:vAlign w:val="center"/>
                </w:tcPr>
                <w:p w14:paraId="1A1539E2">
                  <w:pPr>
                    <w:pStyle w:val="45"/>
                    <w:rPr>
                      <w:rFonts w:hint="default"/>
                      <w:b w:val="0"/>
                      <w:bCs w:val="0"/>
                      <w:u w:val="none"/>
                    </w:rPr>
                  </w:pPr>
                  <w:r>
                    <w:rPr>
                      <w:b w:val="0"/>
                      <w:bCs w:val="0"/>
                      <w:u w:val="none"/>
                    </w:rPr>
                    <w:t>/</w:t>
                  </w:r>
                </w:p>
              </w:tc>
              <w:tc>
                <w:tcPr>
                  <w:tcW w:w="1564" w:type="dxa"/>
                  <w:tcBorders>
                    <w:tl2br w:val="nil"/>
                    <w:tr2bl w:val="nil"/>
                  </w:tcBorders>
                  <w:shd w:val="clear" w:color="auto" w:fill="auto"/>
                  <w:vAlign w:val="center"/>
                </w:tcPr>
                <w:p w14:paraId="3B5A55F0">
                  <w:pPr>
                    <w:pStyle w:val="45"/>
                    <w:rPr>
                      <w:rFonts w:hint="default"/>
                      <w:b w:val="0"/>
                      <w:bCs w:val="0"/>
                      <w:u w:val="none"/>
                    </w:rPr>
                  </w:pPr>
                  <w:r>
                    <w:rPr>
                      <w:rFonts w:hint="default"/>
                      <w:b w:val="0"/>
                      <w:bCs w:val="0"/>
                      <w:u w:val="none"/>
                    </w:rPr>
                    <w:t>-14.81</w:t>
                  </w:r>
                </w:p>
              </w:tc>
              <w:tc>
                <w:tcPr>
                  <w:tcW w:w="1452" w:type="dxa"/>
                  <w:tcBorders>
                    <w:tl2br w:val="nil"/>
                    <w:tr2bl w:val="nil"/>
                  </w:tcBorders>
                  <w:shd w:val="clear" w:color="auto" w:fill="auto"/>
                  <w:vAlign w:val="center"/>
                </w:tcPr>
                <w:p w14:paraId="139FB2EE">
                  <w:pPr>
                    <w:pStyle w:val="45"/>
                    <w:rPr>
                      <w:rFonts w:hint="default"/>
                      <w:b w:val="0"/>
                      <w:bCs w:val="0"/>
                      <w:u w:val="none"/>
                    </w:rPr>
                  </w:pPr>
                  <w:r>
                    <w:rPr>
                      <w:rFonts w:hint="default"/>
                      <w:b w:val="0"/>
                      <w:bCs w:val="0"/>
                      <w:u w:val="none"/>
                    </w:rPr>
                    <w:t>25.3</w:t>
                  </w:r>
                </w:p>
              </w:tc>
              <w:tc>
                <w:tcPr>
                  <w:tcW w:w="1452" w:type="dxa"/>
                  <w:tcBorders>
                    <w:tl2br w:val="nil"/>
                    <w:tr2bl w:val="nil"/>
                  </w:tcBorders>
                  <w:shd w:val="clear" w:color="auto" w:fill="auto"/>
                  <w:vAlign w:val="center"/>
                </w:tcPr>
                <w:p w14:paraId="70A006A9">
                  <w:pPr>
                    <w:pStyle w:val="45"/>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462C760F">
                  <w:pPr>
                    <w:pStyle w:val="45"/>
                    <w:rPr>
                      <w:rFonts w:hint="default"/>
                      <w:b w:val="0"/>
                      <w:bCs w:val="0"/>
                      <w:u w:val="none"/>
                    </w:rPr>
                  </w:pPr>
                  <w:r>
                    <w:rPr>
                      <w:b w:val="0"/>
                      <w:bCs w:val="0"/>
                      <w:u w:val="none"/>
                    </w:rPr>
                    <w:t>80</w:t>
                  </w:r>
                </w:p>
              </w:tc>
              <w:tc>
                <w:tcPr>
                  <w:tcW w:w="1110" w:type="dxa"/>
                  <w:tcBorders>
                    <w:tl2br w:val="nil"/>
                    <w:tr2bl w:val="nil"/>
                  </w:tcBorders>
                  <w:shd w:val="clear" w:color="auto" w:fill="auto"/>
                  <w:noWrap/>
                  <w:vAlign w:val="center"/>
                </w:tcPr>
                <w:p w14:paraId="32B9F03F">
                  <w:pPr>
                    <w:pStyle w:val="45"/>
                    <w:rPr>
                      <w:rFonts w:hint="default"/>
                      <w:b w:val="0"/>
                      <w:bCs w:val="0"/>
                      <w:u w:val="none"/>
                    </w:rPr>
                  </w:pPr>
                  <w:r>
                    <w:rPr>
                      <w:b w:val="0"/>
                      <w:bCs w:val="0"/>
                      <w:u w:val="none"/>
                    </w:rPr>
                    <w:t>减振</w:t>
                  </w:r>
                </w:p>
              </w:tc>
              <w:tc>
                <w:tcPr>
                  <w:tcW w:w="1515" w:type="dxa"/>
                  <w:tcBorders>
                    <w:tl2br w:val="nil"/>
                    <w:tr2bl w:val="nil"/>
                  </w:tcBorders>
                  <w:shd w:val="clear" w:color="auto" w:fill="auto"/>
                  <w:noWrap/>
                  <w:vAlign w:val="center"/>
                </w:tcPr>
                <w:p w14:paraId="22426FB7">
                  <w:pPr>
                    <w:pStyle w:val="45"/>
                    <w:rPr>
                      <w:rFonts w:hint="default"/>
                      <w:b w:val="0"/>
                      <w:bCs w:val="0"/>
                      <w:u w:val="none"/>
                    </w:rPr>
                  </w:pPr>
                  <w:r>
                    <w:rPr>
                      <w:b w:val="0"/>
                      <w:bCs w:val="0"/>
                      <w:u w:val="none"/>
                    </w:rPr>
                    <w:t>昼夜</w:t>
                  </w:r>
                </w:p>
              </w:tc>
            </w:tr>
            <w:tr w14:paraId="65E1FB5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30F96CFD">
                  <w:pPr>
                    <w:pStyle w:val="45"/>
                    <w:rPr>
                      <w:rFonts w:hint="default"/>
                      <w:b w:val="0"/>
                      <w:bCs w:val="0"/>
                      <w:u w:val="none"/>
                    </w:rPr>
                  </w:pPr>
                  <w:r>
                    <w:rPr>
                      <w:rFonts w:hint="default"/>
                      <w:b w:val="0"/>
                      <w:bCs w:val="0"/>
                      <w:u w:val="none"/>
                    </w:rPr>
                    <w:t>6</w:t>
                  </w:r>
                </w:p>
              </w:tc>
              <w:tc>
                <w:tcPr>
                  <w:tcW w:w="1991" w:type="dxa"/>
                  <w:tcBorders>
                    <w:tl2br w:val="nil"/>
                    <w:tr2bl w:val="nil"/>
                  </w:tcBorders>
                  <w:shd w:val="clear" w:color="auto" w:fill="auto"/>
                  <w:vAlign w:val="center"/>
                </w:tcPr>
                <w:p w14:paraId="6BD6E36D">
                  <w:pPr>
                    <w:pStyle w:val="45"/>
                    <w:rPr>
                      <w:rFonts w:hint="default"/>
                      <w:b w:val="0"/>
                      <w:bCs w:val="0"/>
                      <w:u w:val="none"/>
                    </w:rPr>
                  </w:pPr>
                  <w:r>
                    <w:rPr>
                      <w:b w:val="0"/>
                      <w:bCs w:val="0"/>
                      <w:u w:val="none"/>
                    </w:rPr>
                    <w:t>液氨泵2</w:t>
                  </w:r>
                </w:p>
              </w:tc>
              <w:tc>
                <w:tcPr>
                  <w:tcW w:w="2277" w:type="dxa"/>
                  <w:tcBorders>
                    <w:tl2br w:val="nil"/>
                    <w:tr2bl w:val="nil"/>
                  </w:tcBorders>
                  <w:shd w:val="clear" w:color="auto" w:fill="auto"/>
                  <w:vAlign w:val="center"/>
                </w:tcPr>
                <w:p w14:paraId="2DDFAB4F">
                  <w:pPr>
                    <w:pStyle w:val="45"/>
                    <w:rPr>
                      <w:rFonts w:hint="default"/>
                      <w:b w:val="0"/>
                      <w:bCs w:val="0"/>
                      <w:u w:val="none"/>
                    </w:rPr>
                  </w:pPr>
                  <w:r>
                    <w:rPr>
                      <w:b w:val="0"/>
                      <w:bCs w:val="0"/>
                      <w:u w:val="none"/>
                    </w:rPr>
                    <w:t>/</w:t>
                  </w:r>
                </w:p>
              </w:tc>
              <w:tc>
                <w:tcPr>
                  <w:tcW w:w="1564" w:type="dxa"/>
                  <w:tcBorders>
                    <w:tl2br w:val="nil"/>
                    <w:tr2bl w:val="nil"/>
                  </w:tcBorders>
                  <w:shd w:val="clear" w:color="auto" w:fill="auto"/>
                  <w:vAlign w:val="center"/>
                </w:tcPr>
                <w:p w14:paraId="78BBBFF3">
                  <w:pPr>
                    <w:pStyle w:val="45"/>
                    <w:rPr>
                      <w:rFonts w:hint="default"/>
                      <w:b w:val="0"/>
                      <w:bCs w:val="0"/>
                      <w:u w:val="none"/>
                    </w:rPr>
                  </w:pPr>
                  <w:r>
                    <w:rPr>
                      <w:rFonts w:hint="default"/>
                      <w:b w:val="0"/>
                      <w:bCs w:val="0"/>
                      <w:u w:val="none"/>
                    </w:rPr>
                    <w:t>-9.98</w:t>
                  </w:r>
                </w:p>
              </w:tc>
              <w:tc>
                <w:tcPr>
                  <w:tcW w:w="1452" w:type="dxa"/>
                  <w:tcBorders>
                    <w:tl2br w:val="nil"/>
                    <w:tr2bl w:val="nil"/>
                  </w:tcBorders>
                  <w:shd w:val="clear" w:color="auto" w:fill="auto"/>
                  <w:vAlign w:val="center"/>
                </w:tcPr>
                <w:p w14:paraId="55BFCDB4">
                  <w:pPr>
                    <w:pStyle w:val="45"/>
                    <w:rPr>
                      <w:rFonts w:hint="default"/>
                      <w:b w:val="0"/>
                      <w:bCs w:val="0"/>
                      <w:u w:val="none"/>
                    </w:rPr>
                  </w:pPr>
                  <w:r>
                    <w:rPr>
                      <w:rFonts w:hint="default"/>
                      <w:b w:val="0"/>
                      <w:bCs w:val="0"/>
                      <w:u w:val="none"/>
                    </w:rPr>
                    <w:t>24.98</w:t>
                  </w:r>
                </w:p>
              </w:tc>
              <w:tc>
                <w:tcPr>
                  <w:tcW w:w="1452" w:type="dxa"/>
                  <w:tcBorders>
                    <w:tl2br w:val="nil"/>
                    <w:tr2bl w:val="nil"/>
                  </w:tcBorders>
                  <w:shd w:val="clear" w:color="auto" w:fill="auto"/>
                  <w:vAlign w:val="center"/>
                </w:tcPr>
                <w:p w14:paraId="3A43591E">
                  <w:pPr>
                    <w:pStyle w:val="45"/>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44BEAEDD">
                  <w:pPr>
                    <w:pStyle w:val="45"/>
                    <w:rPr>
                      <w:rFonts w:hint="default"/>
                      <w:b w:val="0"/>
                      <w:bCs w:val="0"/>
                      <w:u w:val="none"/>
                    </w:rPr>
                  </w:pPr>
                  <w:r>
                    <w:rPr>
                      <w:b w:val="0"/>
                      <w:bCs w:val="0"/>
                      <w:u w:val="none"/>
                    </w:rPr>
                    <w:t>80</w:t>
                  </w:r>
                </w:p>
              </w:tc>
              <w:tc>
                <w:tcPr>
                  <w:tcW w:w="1110" w:type="dxa"/>
                  <w:tcBorders>
                    <w:tl2br w:val="nil"/>
                    <w:tr2bl w:val="nil"/>
                  </w:tcBorders>
                  <w:shd w:val="clear" w:color="auto" w:fill="auto"/>
                  <w:noWrap/>
                  <w:vAlign w:val="center"/>
                </w:tcPr>
                <w:p w14:paraId="62471B64">
                  <w:pPr>
                    <w:pStyle w:val="45"/>
                    <w:rPr>
                      <w:rFonts w:hint="default"/>
                      <w:b w:val="0"/>
                      <w:bCs w:val="0"/>
                      <w:u w:val="none"/>
                    </w:rPr>
                  </w:pPr>
                  <w:r>
                    <w:rPr>
                      <w:b w:val="0"/>
                      <w:bCs w:val="0"/>
                      <w:u w:val="none"/>
                    </w:rPr>
                    <w:t>减振</w:t>
                  </w:r>
                </w:p>
              </w:tc>
              <w:tc>
                <w:tcPr>
                  <w:tcW w:w="1515" w:type="dxa"/>
                  <w:tcBorders>
                    <w:tl2br w:val="nil"/>
                    <w:tr2bl w:val="nil"/>
                  </w:tcBorders>
                  <w:shd w:val="clear" w:color="auto" w:fill="auto"/>
                  <w:noWrap/>
                  <w:vAlign w:val="center"/>
                </w:tcPr>
                <w:p w14:paraId="5CF2B3A0">
                  <w:pPr>
                    <w:pStyle w:val="45"/>
                    <w:rPr>
                      <w:rFonts w:hint="default"/>
                      <w:b w:val="0"/>
                      <w:bCs w:val="0"/>
                      <w:u w:val="none"/>
                    </w:rPr>
                  </w:pPr>
                  <w:r>
                    <w:rPr>
                      <w:b w:val="0"/>
                      <w:bCs w:val="0"/>
                      <w:u w:val="none"/>
                    </w:rPr>
                    <w:t>昼夜</w:t>
                  </w:r>
                </w:p>
              </w:tc>
            </w:tr>
            <w:tr w14:paraId="436CC1C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2973CF89">
                  <w:pPr>
                    <w:pStyle w:val="45"/>
                    <w:rPr>
                      <w:rFonts w:hint="default"/>
                      <w:b w:val="0"/>
                      <w:bCs w:val="0"/>
                      <w:u w:val="none"/>
                    </w:rPr>
                  </w:pPr>
                  <w:r>
                    <w:rPr>
                      <w:rFonts w:hint="default"/>
                      <w:b w:val="0"/>
                      <w:bCs w:val="0"/>
                      <w:u w:val="none"/>
                    </w:rPr>
                    <w:t>7</w:t>
                  </w:r>
                </w:p>
              </w:tc>
              <w:tc>
                <w:tcPr>
                  <w:tcW w:w="1991" w:type="dxa"/>
                  <w:tcBorders>
                    <w:tl2br w:val="nil"/>
                    <w:tr2bl w:val="nil"/>
                  </w:tcBorders>
                  <w:shd w:val="clear" w:color="auto" w:fill="auto"/>
                  <w:vAlign w:val="center"/>
                </w:tcPr>
                <w:p w14:paraId="5AED8493">
                  <w:pPr>
                    <w:pStyle w:val="45"/>
                    <w:rPr>
                      <w:rFonts w:hint="default"/>
                      <w:b w:val="0"/>
                      <w:bCs w:val="0"/>
                      <w:u w:val="none"/>
                    </w:rPr>
                  </w:pPr>
                  <w:r>
                    <w:rPr>
                      <w:b w:val="0"/>
                      <w:bCs w:val="0"/>
                      <w:u w:val="none"/>
                    </w:rPr>
                    <w:t>液氨泵3</w:t>
                  </w:r>
                </w:p>
              </w:tc>
              <w:tc>
                <w:tcPr>
                  <w:tcW w:w="2277" w:type="dxa"/>
                  <w:tcBorders>
                    <w:tl2br w:val="nil"/>
                    <w:tr2bl w:val="nil"/>
                  </w:tcBorders>
                  <w:shd w:val="clear" w:color="auto" w:fill="auto"/>
                  <w:vAlign w:val="center"/>
                </w:tcPr>
                <w:p w14:paraId="6503D204">
                  <w:pPr>
                    <w:pStyle w:val="45"/>
                    <w:rPr>
                      <w:rFonts w:hint="default"/>
                      <w:b w:val="0"/>
                      <w:bCs w:val="0"/>
                      <w:u w:val="none"/>
                    </w:rPr>
                  </w:pPr>
                  <w:r>
                    <w:rPr>
                      <w:b w:val="0"/>
                      <w:bCs w:val="0"/>
                      <w:u w:val="none"/>
                    </w:rPr>
                    <w:t>/</w:t>
                  </w:r>
                </w:p>
              </w:tc>
              <w:tc>
                <w:tcPr>
                  <w:tcW w:w="1564" w:type="dxa"/>
                  <w:tcBorders>
                    <w:tl2br w:val="nil"/>
                    <w:tr2bl w:val="nil"/>
                  </w:tcBorders>
                  <w:shd w:val="clear" w:color="auto" w:fill="auto"/>
                  <w:vAlign w:val="center"/>
                </w:tcPr>
                <w:p w14:paraId="5E9CE2C1">
                  <w:pPr>
                    <w:pStyle w:val="45"/>
                    <w:rPr>
                      <w:rFonts w:hint="default"/>
                      <w:b w:val="0"/>
                      <w:bCs w:val="0"/>
                      <w:u w:val="none"/>
                    </w:rPr>
                  </w:pPr>
                  <w:r>
                    <w:rPr>
                      <w:rFonts w:hint="default"/>
                      <w:b w:val="0"/>
                      <w:bCs w:val="0"/>
                      <w:u w:val="none"/>
                    </w:rPr>
                    <w:t>-5.16</w:t>
                  </w:r>
                </w:p>
              </w:tc>
              <w:tc>
                <w:tcPr>
                  <w:tcW w:w="1452" w:type="dxa"/>
                  <w:tcBorders>
                    <w:tl2br w:val="nil"/>
                    <w:tr2bl w:val="nil"/>
                  </w:tcBorders>
                  <w:shd w:val="clear" w:color="auto" w:fill="auto"/>
                  <w:vAlign w:val="center"/>
                </w:tcPr>
                <w:p w14:paraId="43B3F741">
                  <w:pPr>
                    <w:pStyle w:val="45"/>
                    <w:rPr>
                      <w:rFonts w:hint="default"/>
                      <w:b w:val="0"/>
                      <w:bCs w:val="0"/>
                      <w:u w:val="none"/>
                    </w:rPr>
                  </w:pPr>
                  <w:r>
                    <w:rPr>
                      <w:rFonts w:hint="default"/>
                      <w:b w:val="0"/>
                      <w:bCs w:val="0"/>
                      <w:u w:val="none"/>
                    </w:rPr>
                    <w:t>25.14</w:t>
                  </w:r>
                </w:p>
              </w:tc>
              <w:tc>
                <w:tcPr>
                  <w:tcW w:w="1452" w:type="dxa"/>
                  <w:tcBorders>
                    <w:tl2br w:val="nil"/>
                    <w:tr2bl w:val="nil"/>
                  </w:tcBorders>
                  <w:shd w:val="clear" w:color="auto" w:fill="auto"/>
                  <w:vAlign w:val="center"/>
                </w:tcPr>
                <w:p w14:paraId="6A215D17">
                  <w:pPr>
                    <w:pStyle w:val="45"/>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1CFD2B73">
                  <w:pPr>
                    <w:pStyle w:val="45"/>
                    <w:rPr>
                      <w:rFonts w:hint="default"/>
                      <w:b w:val="0"/>
                      <w:bCs w:val="0"/>
                      <w:u w:val="none"/>
                    </w:rPr>
                  </w:pPr>
                  <w:r>
                    <w:rPr>
                      <w:b w:val="0"/>
                      <w:bCs w:val="0"/>
                      <w:u w:val="none"/>
                    </w:rPr>
                    <w:t>80</w:t>
                  </w:r>
                </w:p>
              </w:tc>
              <w:tc>
                <w:tcPr>
                  <w:tcW w:w="1110" w:type="dxa"/>
                  <w:tcBorders>
                    <w:tl2br w:val="nil"/>
                    <w:tr2bl w:val="nil"/>
                  </w:tcBorders>
                  <w:shd w:val="clear" w:color="auto" w:fill="auto"/>
                  <w:noWrap/>
                  <w:vAlign w:val="center"/>
                </w:tcPr>
                <w:p w14:paraId="3778AA6D">
                  <w:pPr>
                    <w:pStyle w:val="45"/>
                    <w:rPr>
                      <w:rFonts w:hint="default"/>
                      <w:b w:val="0"/>
                      <w:bCs w:val="0"/>
                      <w:u w:val="none"/>
                    </w:rPr>
                  </w:pPr>
                  <w:r>
                    <w:rPr>
                      <w:b w:val="0"/>
                      <w:bCs w:val="0"/>
                      <w:u w:val="none"/>
                    </w:rPr>
                    <w:t>减振</w:t>
                  </w:r>
                </w:p>
              </w:tc>
              <w:tc>
                <w:tcPr>
                  <w:tcW w:w="1515" w:type="dxa"/>
                  <w:tcBorders>
                    <w:tl2br w:val="nil"/>
                    <w:tr2bl w:val="nil"/>
                  </w:tcBorders>
                  <w:shd w:val="clear" w:color="auto" w:fill="auto"/>
                  <w:noWrap/>
                  <w:vAlign w:val="center"/>
                </w:tcPr>
                <w:p w14:paraId="2B2EF4A9">
                  <w:pPr>
                    <w:pStyle w:val="45"/>
                    <w:rPr>
                      <w:rFonts w:hint="default"/>
                      <w:b w:val="0"/>
                      <w:bCs w:val="0"/>
                      <w:u w:val="none"/>
                    </w:rPr>
                  </w:pPr>
                  <w:r>
                    <w:rPr>
                      <w:b w:val="0"/>
                      <w:bCs w:val="0"/>
                      <w:u w:val="none"/>
                    </w:rPr>
                    <w:t>昼夜</w:t>
                  </w:r>
                </w:p>
              </w:tc>
            </w:tr>
            <w:tr w14:paraId="632F712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3E53971C">
                  <w:pPr>
                    <w:pStyle w:val="45"/>
                    <w:rPr>
                      <w:rFonts w:hint="default"/>
                      <w:b w:val="0"/>
                      <w:bCs w:val="0"/>
                      <w:u w:val="none"/>
                    </w:rPr>
                  </w:pPr>
                  <w:r>
                    <w:rPr>
                      <w:rFonts w:hint="default"/>
                      <w:b w:val="0"/>
                      <w:bCs w:val="0"/>
                      <w:u w:val="none"/>
                    </w:rPr>
                    <w:t>8</w:t>
                  </w:r>
                </w:p>
              </w:tc>
              <w:tc>
                <w:tcPr>
                  <w:tcW w:w="1991" w:type="dxa"/>
                  <w:tcBorders>
                    <w:tl2br w:val="nil"/>
                    <w:tr2bl w:val="nil"/>
                  </w:tcBorders>
                  <w:shd w:val="clear" w:color="auto" w:fill="auto"/>
                  <w:vAlign w:val="center"/>
                </w:tcPr>
                <w:p w14:paraId="27D8EB82">
                  <w:pPr>
                    <w:pStyle w:val="45"/>
                    <w:rPr>
                      <w:rFonts w:hint="default"/>
                      <w:b w:val="0"/>
                      <w:bCs w:val="0"/>
                      <w:u w:val="none"/>
                    </w:rPr>
                  </w:pPr>
                  <w:r>
                    <w:rPr>
                      <w:b w:val="0"/>
                      <w:bCs w:val="0"/>
                      <w:u w:val="none"/>
                    </w:rPr>
                    <w:t>液氨泵4</w:t>
                  </w:r>
                </w:p>
              </w:tc>
              <w:tc>
                <w:tcPr>
                  <w:tcW w:w="2277" w:type="dxa"/>
                  <w:tcBorders>
                    <w:tl2br w:val="nil"/>
                    <w:tr2bl w:val="nil"/>
                  </w:tcBorders>
                  <w:shd w:val="clear" w:color="auto" w:fill="auto"/>
                  <w:vAlign w:val="center"/>
                </w:tcPr>
                <w:p w14:paraId="47CFA801">
                  <w:pPr>
                    <w:pStyle w:val="45"/>
                    <w:rPr>
                      <w:rFonts w:hint="default"/>
                      <w:b w:val="0"/>
                      <w:bCs w:val="0"/>
                      <w:u w:val="none"/>
                    </w:rPr>
                  </w:pPr>
                  <w:r>
                    <w:rPr>
                      <w:b w:val="0"/>
                      <w:bCs w:val="0"/>
                      <w:u w:val="none"/>
                    </w:rPr>
                    <w:t>/</w:t>
                  </w:r>
                </w:p>
              </w:tc>
              <w:tc>
                <w:tcPr>
                  <w:tcW w:w="1564" w:type="dxa"/>
                  <w:tcBorders>
                    <w:tl2br w:val="nil"/>
                    <w:tr2bl w:val="nil"/>
                  </w:tcBorders>
                  <w:shd w:val="clear" w:color="auto" w:fill="auto"/>
                  <w:vAlign w:val="center"/>
                </w:tcPr>
                <w:p w14:paraId="046CF6AC">
                  <w:pPr>
                    <w:pStyle w:val="45"/>
                    <w:rPr>
                      <w:rFonts w:hint="default"/>
                      <w:b w:val="0"/>
                      <w:bCs w:val="0"/>
                      <w:u w:val="none"/>
                    </w:rPr>
                  </w:pPr>
                  <w:r>
                    <w:rPr>
                      <w:rFonts w:hint="default"/>
                      <w:b w:val="0"/>
                      <w:bCs w:val="0"/>
                      <w:u w:val="none"/>
                    </w:rPr>
                    <w:t>-0.18</w:t>
                  </w:r>
                </w:p>
              </w:tc>
              <w:tc>
                <w:tcPr>
                  <w:tcW w:w="1452" w:type="dxa"/>
                  <w:tcBorders>
                    <w:tl2br w:val="nil"/>
                    <w:tr2bl w:val="nil"/>
                  </w:tcBorders>
                  <w:shd w:val="clear" w:color="auto" w:fill="auto"/>
                  <w:vAlign w:val="center"/>
                </w:tcPr>
                <w:p w14:paraId="633FE2D3">
                  <w:pPr>
                    <w:pStyle w:val="45"/>
                    <w:rPr>
                      <w:rFonts w:hint="default"/>
                      <w:b w:val="0"/>
                      <w:bCs w:val="0"/>
                      <w:u w:val="none"/>
                    </w:rPr>
                  </w:pPr>
                  <w:r>
                    <w:rPr>
                      <w:rFonts w:hint="default"/>
                      <w:b w:val="0"/>
                      <w:bCs w:val="0"/>
                      <w:u w:val="none"/>
                    </w:rPr>
                    <w:t>24.66</w:t>
                  </w:r>
                </w:p>
              </w:tc>
              <w:tc>
                <w:tcPr>
                  <w:tcW w:w="1452" w:type="dxa"/>
                  <w:tcBorders>
                    <w:tl2br w:val="nil"/>
                    <w:tr2bl w:val="nil"/>
                  </w:tcBorders>
                  <w:shd w:val="clear" w:color="auto" w:fill="auto"/>
                  <w:vAlign w:val="center"/>
                </w:tcPr>
                <w:p w14:paraId="24ED974A">
                  <w:pPr>
                    <w:pStyle w:val="45"/>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49D1B52B">
                  <w:pPr>
                    <w:pStyle w:val="45"/>
                    <w:rPr>
                      <w:rFonts w:hint="default"/>
                      <w:b w:val="0"/>
                      <w:bCs w:val="0"/>
                      <w:u w:val="none"/>
                    </w:rPr>
                  </w:pPr>
                  <w:r>
                    <w:rPr>
                      <w:b w:val="0"/>
                      <w:bCs w:val="0"/>
                      <w:u w:val="none"/>
                    </w:rPr>
                    <w:t>80</w:t>
                  </w:r>
                </w:p>
              </w:tc>
              <w:tc>
                <w:tcPr>
                  <w:tcW w:w="1110" w:type="dxa"/>
                  <w:tcBorders>
                    <w:tl2br w:val="nil"/>
                    <w:tr2bl w:val="nil"/>
                  </w:tcBorders>
                  <w:shd w:val="clear" w:color="auto" w:fill="auto"/>
                  <w:noWrap/>
                  <w:vAlign w:val="center"/>
                </w:tcPr>
                <w:p w14:paraId="0D2010CF">
                  <w:pPr>
                    <w:pStyle w:val="45"/>
                    <w:rPr>
                      <w:rFonts w:hint="default"/>
                      <w:b w:val="0"/>
                      <w:bCs w:val="0"/>
                      <w:u w:val="none"/>
                    </w:rPr>
                  </w:pPr>
                  <w:r>
                    <w:rPr>
                      <w:b w:val="0"/>
                      <w:bCs w:val="0"/>
                      <w:u w:val="none"/>
                    </w:rPr>
                    <w:t>减振</w:t>
                  </w:r>
                </w:p>
              </w:tc>
              <w:tc>
                <w:tcPr>
                  <w:tcW w:w="1515" w:type="dxa"/>
                  <w:tcBorders>
                    <w:tl2br w:val="nil"/>
                    <w:tr2bl w:val="nil"/>
                  </w:tcBorders>
                  <w:shd w:val="clear" w:color="auto" w:fill="auto"/>
                  <w:noWrap/>
                  <w:vAlign w:val="center"/>
                </w:tcPr>
                <w:p w14:paraId="2231950A">
                  <w:pPr>
                    <w:pStyle w:val="45"/>
                    <w:rPr>
                      <w:rFonts w:hint="default"/>
                      <w:b w:val="0"/>
                      <w:bCs w:val="0"/>
                      <w:u w:val="none"/>
                    </w:rPr>
                  </w:pPr>
                  <w:r>
                    <w:rPr>
                      <w:b w:val="0"/>
                      <w:bCs w:val="0"/>
                      <w:u w:val="none"/>
                    </w:rPr>
                    <w:t>昼夜</w:t>
                  </w:r>
                </w:p>
              </w:tc>
            </w:tr>
            <w:tr w14:paraId="59A294E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2E15D5AB">
                  <w:pPr>
                    <w:pStyle w:val="45"/>
                    <w:rPr>
                      <w:rFonts w:hint="default"/>
                      <w:b w:val="0"/>
                      <w:bCs w:val="0"/>
                      <w:u w:val="none"/>
                    </w:rPr>
                  </w:pPr>
                  <w:r>
                    <w:rPr>
                      <w:rFonts w:hint="default"/>
                      <w:b w:val="0"/>
                      <w:bCs w:val="0"/>
                      <w:u w:val="none"/>
                    </w:rPr>
                    <w:t>9</w:t>
                  </w:r>
                </w:p>
              </w:tc>
              <w:tc>
                <w:tcPr>
                  <w:tcW w:w="1991" w:type="dxa"/>
                  <w:tcBorders>
                    <w:tl2br w:val="nil"/>
                    <w:tr2bl w:val="nil"/>
                  </w:tcBorders>
                  <w:shd w:val="clear" w:color="auto" w:fill="auto"/>
                  <w:noWrap/>
                  <w:vAlign w:val="center"/>
                </w:tcPr>
                <w:p w14:paraId="16B2C070">
                  <w:pPr>
                    <w:pStyle w:val="45"/>
                    <w:rPr>
                      <w:rFonts w:hint="default"/>
                      <w:b w:val="0"/>
                      <w:bCs w:val="0"/>
                      <w:u w:val="none"/>
                    </w:rPr>
                  </w:pPr>
                  <w:r>
                    <w:rPr>
                      <w:b w:val="0"/>
                      <w:bCs w:val="0"/>
                      <w:u w:val="none"/>
                    </w:rPr>
                    <w:t>超级吸氨器A</w:t>
                  </w:r>
                </w:p>
              </w:tc>
              <w:tc>
                <w:tcPr>
                  <w:tcW w:w="2277" w:type="dxa"/>
                  <w:tcBorders>
                    <w:tl2br w:val="nil"/>
                    <w:tr2bl w:val="nil"/>
                  </w:tcBorders>
                  <w:shd w:val="clear" w:color="auto" w:fill="auto"/>
                  <w:noWrap/>
                  <w:vAlign w:val="center"/>
                </w:tcPr>
                <w:p w14:paraId="628D4ED2">
                  <w:pPr>
                    <w:pStyle w:val="45"/>
                    <w:rPr>
                      <w:rFonts w:hint="default"/>
                      <w:b w:val="0"/>
                      <w:bCs w:val="0"/>
                      <w:u w:val="none"/>
                    </w:rPr>
                  </w:pPr>
                  <w:r>
                    <w:rPr>
                      <w:b w:val="0"/>
                      <w:bCs w:val="0"/>
                      <w:u w:val="none"/>
                    </w:rPr>
                    <w:t>JDAS-1000-Q</w:t>
                  </w:r>
                </w:p>
              </w:tc>
              <w:tc>
                <w:tcPr>
                  <w:tcW w:w="1564" w:type="dxa"/>
                  <w:tcBorders>
                    <w:tl2br w:val="nil"/>
                    <w:tr2bl w:val="nil"/>
                  </w:tcBorders>
                  <w:shd w:val="clear" w:color="auto" w:fill="auto"/>
                  <w:vAlign w:val="center"/>
                </w:tcPr>
                <w:p w14:paraId="6215A8BA">
                  <w:pPr>
                    <w:pStyle w:val="45"/>
                    <w:rPr>
                      <w:rFonts w:hint="default"/>
                      <w:b w:val="0"/>
                      <w:bCs w:val="0"/>
                      <w:u w:val="none"/>
                    </w:rPr>
                  </w:pPr>
                  <w:r>
                    <w:rPr>
                      <w:rFonts w:hint="default"/>
                      <w:b w:val="0"/>
                      <w:bCs w:val="0"/>
                      <w:u w:val="none"/>
                    </w:rPr>
                    <w:t>-15.29</w:t>
                  </w:r>
                </w:p>
              </w:tc>
              <w:tc>
                <w:tcPr>
                  <w:tcW w:w="1452" w:type="dxa"/>
                  <w:tcBorders>
                    <w:tl2br w:val="nil"/>
                    <w:tr2bl w:val="nil"/>
                  </w:tcBorders>
                  <w:shd w:val="clear" w:color="auto" w:fill="auto"/>
                  <w:vAlign w:val="center"/>
                </w:tcPr>
                <w:p w14:paraId="73F6CA9F">
                  <w:pPr>
                    <w:pStyle w:val="45"/>
                    <w:rPr>
                      <w:rFonts w:hint="default"/>
                      <w:b w:val="0"/>
                      <w:bCs w:val="0"/>
                      <w:u w:val="none"/>
                    </w:rPr>
                  </w:pPr>
                  <w:r>
                    <w:rPr>
                      <w:rFonts w:hint="default"/>
                      <w:b w:val="0"/>
                      <w:bCs w:val="0"/>
                      <w:u w:val="none"/>
                    </w:rPr>
                    <w:t>-15.91</w:t>
                  </w:r>
                </w:p>
              </w:tc>
              <w:tc>
                <w:tcPr>
                  <w:tcW w:w="1452" w:type="dxa"/>
                  <w:tcBorders>
                    <w:tl2br w:val="nil"/>
                    <w:tr2bl w:val="nil"/>
                  </w:tcBorders>
                  <w:shd w:val="clear" w:color="auto" w:fill="auto"/>
                  <w:vAlign w:val="center"/>
                </w:tcPr>
                <w:p w14:paraId="5DC83AE8">
                  <w:pPr>
                    <w:pStyle w:val="45"/>
                    <w:rPr>
                      <w:rFonts w:hint="default"/>
                      <w:b w:val="0"/>
                      <w:bCs w:val="0"/>
                      <w:u w:val="none"/>
                    </w:rPr>
                  </w:pPr>
                  <w:r>
                    <w:rPr>
                      <w:rFonts w:hint="default"/>
                      <w:b w:val="0"/>
                      <w:bCs w:val="0"/>
                      <w:u w:val="none"/>
                    </w:rPr>
                    <w:t>5</w:t>
                  </w:r>
                </w:p>
              </w:tc>
              <w:tc>
                <w:tcPr>
                  <w:tcW w:w="1920" w:type="dxa"/>
                  <w:tcBorders>
                    <w:tl2br w:val="nil"/>
                    <w:tr2bl w:val="nil"/>
                  </w:tcBorders>
                  <w:shd w:val="clear" w:color="auto" w:fill="auto"/>
                  <w:noWrap/>
                  <w:vAlign w:val="center"/>
                </w:tcPr>
                <w:p w14:paraId="6588CDF1">
                  <w:pPr>
                    <w:pStyle w:val="45"/>
                    <w:rPr>
                      <w:rFonts w:hint="default"/>
                      <w:b w:val="0"/>
                      <w:bCs w:val="0"/>
                      <w:u w:val="none"/>
                    </w:rPr>
                  </w:pPr>
                  <w:r>
                    <w:rPr>
                      <w:b w:val="0"/>
                      <w:bCs w:val="0"/>
                      <w:u w:val="none"/>
                    </w:rPr>
                    <w:t>65</w:t>
                  </w:r>
                </w:p>
              </w:tc>
              <w:tc>
                <w:tcPr>
                  <w:tcW w:w="1110" w:type="dxa"/>
                  <w:tcBorders>
                    <w:tl2br w:val="nil"/>
                    <w:tr2bl w:val="nil"/>
                  </w:tcBorders>
                  <w:shd w:val="clear" w:color="auto" w:fill="auto"/>
                  <w:noWrap/>
                  <w:vAlign w:val="center"/>
                </w:tcPr>
                <w:p w14:paraId="4C517376">
                  <w:pPr>
                    <w:pStyle w:val="45"/>
                    <w:rPr>
                      <w:rFonts w:hint="default"/>
                      <w:b w:val="0"/>
                      <w:bCs w:val="0"/>
                      <w:u w:val="none"/>
                    </w:rPr>
                  </w:pPr>
                  <w:r>
                    <w:rPr>
                      <w:b w:val="0"/>
                      <w:bCs w:val="0"/>
                      <w:u w:val="none"/>
                    </w:rPr>
                    <w:t>减振</w:t>
                  </w:r>
                </w:p>
              </w:tc>
              <w:tc>
                <w:tcPr>
                  <w:tcW w:w="1515" w:type="dxa"/>
                  <w:tcBorders>
                    <w:tl2br w:val="nil"/>
                    <w:tr2bl w:val="nil"/>
                  </w:tcBorders>
                  <w:shd w:val="clear" w:color="auto" w:fill="auto"/>
                  <w:noWrap/>
                  <w:vAlign w:val="center"/>
                </w:tcPr>
                <w:p w14:paraId="6BC758B2">
                  <w:pPr>
                    <w:pStyle w:val="45"/>
                    <w:rPr>
                      <w:rFonts w:hint="default"/>
                      <w:b w:val="0"/>
                      <w:bCs w:val="0"/>
                      <w:u w:val="none"/>
                    </w:rPr>
                  </w:pPr>
                  <w:r>
                    <w:rPr>
                      <w:b w:val="0"/>
                      <w:bCs w:val="0"/>
                      <w:u w:val="none"/>
                    </w:rPr>
                    <w:t>昼夜</w:t>
                  </w:r>
                </w:p>
              </w:tc>
            </w:tr>
            <w:tr w14:paraId="42A62E8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4D376604">
                  <w:pPr>
                    <w:pStyle w:val="45"/>
                    <w:rPr>
                      <w:rFonts w:hint="default"/>
                      <w:b w:val="0"/>
                      <w:bCs w:val="0"/>
                      <w:u w:val="none"/>
                    </w:rPr>
                  </w:pPr>
                  <w:r>
                    <w:rPr>
                      <w:rFonts w:hint="default"/>
                      <w:b w:val="0"/>
                      <w:bCs w:val="0"/>
                      <w:u w:val="none"/>
                    </w:rPr>
                    <w:t>10</w:t>
                  </w:r>
                </w:p>
              </w:tc>
              <w:tc>
                <w:tcPr>
                  <w:tcW w:w="1991" w:type="dxa"/>
                  <w:tcBorders>
                    <w:tl2br w:val="nil"/>
                    <w:tr2bl w:val="nil"/>
                  </w:tcBorders>
                  <w:shd w:val="clear" w:color="auto" w:fill="auto"/>
                  <w:noWrap/>
                  <w:vAlign w:val="center"/>
                </w:tcPr>
                <w:p w14:paraId="61518A35">
                  <w:pPr>
                    <w:pStyle w:val="45"/>
                    <w:rPr>
                      <w:rFonts w:hint="default"/>
                      <w:b w:val="0"/>
                      <w:bCs w:val="0"/>
                      <w:u w:val="none"/>
                    </w:rPr>
                  </w:pPr>
                  <w:r>
                    <w:rPr>
                      <w:b w:val="0"/>
                      <w:bCs w:val="0"/>
                      <w:u w:val="none"/>
                    </w:rPr>
                    <w:t>超级吸氨器B</w:t>
                  </w:r>
                </w:p>
              </w:tc>
              <w:tc>
                <w:tcPr>
                  <w:tcW w:w="2277" w:type="dxa"/>
                  <w:tcBorders>
                    <w:tl2br w:val="nil"/>
                    <w:tr2bl w:val="nil"/>
                  </w:tcBorders>
                  <w:shd w:val="clear" w:color="auto" w:fill="auto"/>
                  <w:noWrap/>
                  <w:vAlign w:val="center"/>
                </w:tcPr>
                <w:p w14:paraId="102FFC88">
                  <w:pPr>
                    <w:pStyle w:val="45"/>
                    <w:rPr>
                      <w:rFonts w:hint="default"/>
                      <w:b w:val="0"/>
                      <w:bCs w:val="0"/>
                      <w:u w:val="none"/>
                    </w:rPr>
                  </w:pPr>
                  <w:r>
                    <w:rPr>
                      <w:b w:val="0"/>
                      <w:bCs w:val="0"/>
                      <w:u w:val="none"/>
                    </w:rPr>
                    <w:t>JDAS-500-Q</w:t>
                  </w:r>
                </w:p>
              </w:tc>
              <w:tc>
                <w:tcPr>
                  <w:tcW w:w="1564" w:type="dxa"/>
                  <w:tcBorders>
                    <w:tl2br w:val="nil"/>
                    <w:tr2bl w:val="nil"/>
                  </w:tcBorders>
                  <w:shd w:val="clear" w:color="auto" w:fill="auto"/>
                  <w:vAlign w:val="center"/>
                </w:tcPr>
                <w:p w14:paraId="1BF7A8C1">
                  <w:pPr>
                    <w:pStyle w:val="45"/>
                    <w:rPr>
                      <w:rFonts w:hint="default"/>
                      <w:b w:val="0"/>
                      <w:bCs w:val="0"/>
                      <w:u w:val="none"/>
                    </w:rPr>
                  </w:pPr>
                  <w:r>
                    <w:rPr>
                      <w:rFonts w:hint="default"/>
                      <w:b w:val="0"/>
                      <w:bCs w:val="0"/>
                      <w:u w:val="none"/>
                    </w:rPr>
                    <w:t>-14.86</w:t>
                  </w:r>
                </w:p>
              </w:tc>
              <w:tc>
                <w:tcPr>
                  <w:tcW w:w="1452" w:type="dxa"/>
                  <w:tcBorders>
                    <w:tl2br w:val="nil"/>
                    <w:tr2bl w:val="nil"/>
                  </w:tcBorders>
                  <w:shd w:val="clear" w:color="auto" w:fill="auto"/>
                  <w:vAlign w:val="center"/>
                </w:tcPr>
                <w:p w14:paraId="0711A233">
                  <w:pPr>
                    <w:pStyle w:val="45"/>
                    <w:rPr>
                      <w:rFonts w:hint="default"/>
                      <w:b w:val="0"/>
                      <w:bCs w:val="0"/>
                      <w:u w:val="none"/>
                    </w:rPr>
                  </w:pPr>
                  <w:r>
                    <w:rPr>
                      <w:rFonts w:hint="default"/>
                      <w:b w:val="0"/>
                      <w:bCs w:val="0"/>
                      <w:u w:val="none"/>
                    </w:rPr>
                    <w:t>-13.99</w:t>
                  </w:r>
                </w:p>
              </w:tc>
              <w:tc>
                <w:tcPr>
                  <w:tcW w:w="1452" w:type="dxa"/>
                  <w:tcBorders>
                    <w:tl2br w:val="nil"/>
                    <w:tr2bl w:val="nil"/>
                  </w:tcBorders>
                  <w:shd w:val="clear" w:color="auto" w:fill="auto"/>
                  <w:vAlign w:val="center"/>
                </w:tcPr>
                <w:p w14:paraId="4A8826D7">
                  <w:pPr>
                    <w:pStyle w:val="45"/>
                    <w:rPr>
                      <w:rFonts w:hint="default"/>
                      <w:b w:val="0"/>
                      <w:bCs w:val="0"/>
                      <w:u w:val="none"/>
                    </w:rPr>
                  </w:pPr>
                  <w:r>
                    <w:rPr>
                      <w:rFonts w:hint="default"/>
                      <w:b w:val="0"/>
                      <w:bCs w:val="0"/>
                      <w:u w:val="none"/>
                    </w:rPr>
                    <w:t>5</w:t>
                  </w:r>
                </w:p>
              </w:tc>
              <w:tc>
                <w:tcPr>
                  <w:tcW w:w="1920" w:type="dxa"/>
                  <w:tcBorders>
                    <w:tl2br w:val="nil"/>
                    <w:tr2bl w:val="nil"/>
                  </w:tcBorders>
                  <w:shd w:val="clear" w:color="auto" w:fill="auto"/>
                  <w:noWrap/>
                  <w:vAlign w:val="center"/>
                </w:tcPr>
                <w:p w14:paraId="6446D54E">
                  <w:pPr>
                    <w:pStyle w:val="45"/>
                    <w:rPr>
                      <w:rFonts w:hint="default"/>
                      <w:b w:val="0"/>
                      <w:bCs w:val="0"/>
                      <w:u w:val="none"/>
                    </w:rPr>
                  </w:pPr>
                  <w:r>
                    <w:rPr>
                      <w:b w:val="0"/>
                      <w:bCs w:val="0"/>
                      <w:u w:val="none"/>
                    </w:rPr>
                    <w:t>65</w:t>
                  </w:r>
                </w:p>
              </w:tc>
              <w:tc>
                <w:tcPr>
                  <w:tcW w:w="1110" w:type="dxa"/>
                  <w:tcBorders>
                    <w:tl2br w:val="nil"/>
                    <w:tr2bl w:val="nil"/>
                  </w:tcBorders>
                  <w:shd w:val="clear" w:color="auto" w:fill="auto"/>
                  <w:noWrap/>
                  <w:vAlign w:val="center"/>
                </w:tcPr>
                <w:p w14:paraId="0C71EAF4">
                  <w:pPr>
                    <w:pStyle w:val="45"/>
                    <w:rPr>
                      <w:rFonts w:hint="default"/>
                      <w:b w:val="0"/>
                      <w:bCs w:val="0"/>
                      <w:u w:val="none"/>
                    </w:rPr>
                  </w:pPr>
                  <w:r>
                    <w:rPr>
                      <w:b w:val="0"/>
                      <w:bCs w:val="0"/>
                      <w:u w:val="none"/>
                    </w:rPr>
                    <w:t>减振</w:t>
                  </w:r>
                </w:p>
              </w:tc>
              <w:tc>
                <w:tcPr>
                  <w:tcW w:w="1515" w:type="dxa"/>
                  <w:tcBorders>
                    <w:tl2br w:val="nil"/>
                    <w:tr2bl w:val="nil"/>
                  </w:tcBorders>
                  <w:shd w:val="clear" w:color="auto" w:fill="auto"/>
                  <w:noWrap/>
                  <w:vAlign w:val="center"/>
                </w:tcPr>
                <w:p w14:paraId="094F4F69">
                  <w:pPr>
                    <w:pStyle w:val="45"/>
                    <w:rPr>
                      <w:rFonts w:hint="default"/>
                      <w:b w:val="0"/>
                      <w:bCs w:val="0"/>
                      <w:u w:val="none"/>
                    </w:rPr>
                  </w:pPr>
                  <w:r>
                    <w:rPr>
                      <w:b w:val="0"/>
                      <w:bCs w:val="0"/>
                      <w:u w:val="none"/>
                    </w:rPr>
                    <w:t>昼夜</w:t>
                  </w:r>
                </w:p>
              </w:tc>
            </w:tr>
            <w:tr w14:paraId="0D55D95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7C540ADE">
                  <w:pPr>
                    <w:pStyle w:val="45"/>
                    <w:rPr>
                      <w:rFonts w:hint="default"/>
                      <w:b w:val="0"/>
                      <w:bCs w:val="0"/>
                      <w:u w:val="none"/>
                    </w:rPr>
                  </w:pPr>
                  <w:r>
                    <w:rPr>
                      <w:rFonts w:hint="default"/>
                      <w:b w:val="0"/>
                      <w:bCs w:val="0"/>
                      <w:u w:val="none"/>
                    </w:rPr>
                    <w:t>11</w:t>
                  </w:r>
                </w:p>
              </w:tc>
              <w:tc>
                <w:tcPr>
                  <w:tcW w:w="1991" w:type="dxa"/>
                  <w:tcBorders>
                    <w:tl2br w:val="nil"/>
                    <w:tr2bl w:val="nil"/>
                  </w:tcBorders>
                  <w:shd w:val="clear" w:color="auto" w:fill="auto"/>
                  <w:noWrap/>
                  <w:vAlign w:val="center"/>
                </w:tcPr>
                <w:p w14:paraId="3F31E354">
                  <w:pPr>
                    <w:pStyle w:val="45"/>
                    <w:rPr>
                      <w:rFonts w:hint="default"/>
                      <w:b w:val="0"/>
                      <w:bCs w:val="0"/>
                      <w:u w:val="none"/>
                    </w:rPr>
                  </w:pPr>
                  <w:r>
                    <w:rPr>
                      <w:b w:val="0"/>
                      <w:bCs w:val="0"/>
                      <w:u w:val="none"/>
                    </w:rPr>
                    <w:t>氨水泵1</w:t>
                  </w:r>
                </w:p>
              </w:tc>
              <w:tc>
                <w:tcPr>
                  <w:tcW w:w="2277" w:type="dxa"/>
                  <w:tcBorders>
                    <w:tl2br w:val="nil"/>
                    <w:tr2bl w:val="nil"/>
                  </w:tcBorders>
                  <w:shd w:val="clear" w:color="auto" w:fill="auto"/>
                  <w:noWrap/>
                  <w:vAlign w:val="center"/>
                </w:tcPr>
                <w:p w14:paraId="77EAF0F1">
                  <w:pPr>
                    <w:pStyle w:val="45"/>
                    <w:rPr>
                      <w:rFonts w:hint="default"/>
                      <w:b w:val="0"/>
                      <w:bCs w:val="0"/>
                      <w:u w:val="none"/>
                    </w:rPr>
                  </w:pPr>
                  <w:r>
                    <w:rPr>
                      <w:b w:val="0"/>
                      <w:bCs w:val="0"/>
                      <w:u w:val="none"/>
                    </w:rPr>
                    <w:t>/</w:t>
                  </w:r>
                </w:p>
              </w:tc>
              <w:tc>
                <w:tcPr>
                  <w:tcW w:w="1564" w:type="dxa"/>
                  <w:tcBorders>
                    <w:tl2br w:val="nil"/>
                    <w:tr2bl w:val="nil"/>
                  </w:tcBorders>
                  <w:shd w:val="clear" w:color="auto" w:fill="auto"/>
                  <w:vAlign w:val="center"/>
                </w:tcPr>
                <w:p w14:paraId="0B2A4F2E">
                  <w:pPr>
                    <w:pStyle w:val="45"/>
                    <w:rPr>
                      <w:rFonts w:hint="default"/>
                      <w:b w:val="0"/>
                      <w:bCs w:val="0"/>
                      <w:u w:val="none"/>
                    </w:rPr>
                  </w:pPr>
                  <w:r>
                    <w:rPr>
                      <w:rFonts w:hint="default"/>
                      <w:b w:val="0"/>
                      <w:bCs w:val="0"/>
                      <w:u w:val="none"/>
                    </w:rPr>
                    <w:t>-58.81</w:t>
                  </w:r>
                </w:p>
              </w:tc>
              <w:tc>
                <w:tcPr>
                  <w:tcW w:w="1452" w:type="dxa"/>
                  <w:tcBorders>
                    <w:tl2br w:val="nil"/>
                    <w:tr2bl w:val="nil"/>
                  </w:tcBorders>
                  <w:shd w:val="clear" w:color="auto" w:fill="auto"/>
                  <w:vAlign w:val="center"/>
                </w:tcPr>
                <w:p w14:paraId="712C547A">
                  <w:pPr>
                    <w:pStyle w:val="45"/>
                    <w:rPr>
                      <w:rFonts w:hint="default"/>
                      <w:b w:val="0"/>
                      <w:bCs w:val="0"/>
                      <w:u w:val="none"/>
                    </w:rPr>
                  </w:pPr>
                  <w:r>
                    <w:rPr>
                      <w:rFonts w:hint="default"/>
                      <w:b w:val="0"/>
                      <w:bCs w:val="0"/>
                      <w:u w:val="none"/>
                    </w:rPr>
                    <w:t>-18.7</w:t>
                  </w:r>
                </w:p>
              </w:tc>
              <w:tc>
                <w:tcPr>
                  <w:tcW w:w="1452" w:type="dxa"/>
                  <w:tcBorders>
                    <w:tl2br w:val="nil"/>
                    <w:tr2bl w:val="nil"/>
                  </w:tcBorders>
                  <w:shd w:val="clear" w:color="auto" w:fill="auto"/>
                  <w:vAlign w:val="center"/>
                </w:tcPr>
                <w:p w14:paraId="4CB1B213">
                  <w:pPr>
                    <w:pStyle w:val="45"/>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58095027">
                  <w:pPr>
                    <w:pStyle w:val="45"/>
                    <w:rPr>
                      <w:rFonts w:hint="default"/>
                      <w:b w:val="0"/>
                      <w:bCs w:val="0"/>
                      <w:u w:val="none"/>
                    </w:rPr>
                  </w:pPr>
                  <w:r>
                    <w:rPr>
                      <w:b w:val="0"/>
                      <w:bCs w:val="0"/>
                      <w:u w:val="none"/>
                    </w:rPr>
                    <w:t>80</w:t>
                  </w:r>
                </w:p>
              </w:tc>
              <w:tc>
                <w:tcPr>
                  <w:tcW w:w="1110" w:type="dxa"/>
                  <w:tcBorders>
                    <w:tl2br w:val="nil"/>
                    <w:tr2bl w:val="nil"/>
                  </w:tcBorders>
                  <w:shd w:val="clear" w:color="auto" w:fill="auto"/>
                  <w:noWrap/>
                  <w:vAlign w:val="center"/>
                </w:tcPr>
                <w:p w14:paraId="7854CC6B">
                  <w:pPr>
                    <w:pStyle w:val="45"/>
                    <w:rPr>
                      <w:rFonts w:hint="default"/>
                      <w:b w:val="0"/>
                      <w:bCs w:val="0"/>
                      <w:u w:val="none"/>
                    </w:rPr>
                  </w:pPr>
                  <w:r>
                    <w:rPr>
                      <w:b w:val="0"/>
                      <w:bCs w:val="0"/>
                      <w:u w:val="none"/>
                    </w:rPr>
                    <w:t>减振</w:t>
                  </w:r>
                </w:p>
              </w:tc>
              <w:tc>
                <w:tcPr>
                  <w:tcW w:w="1515" w:type="dxa"/>
                  <w:tcBorders>
                    <w:tl2br w:val="nil"/>
                    <w:tr2bl w:val="nil"/>
                  </w:tcBorders>
                  <w:shd w:val="clear" w:color="auto" w:fill="auto"/>
                  <w:noWrap/>
                  <w:vAlign w:val="center"/>
                </w:tcPr>
                <w:p w14:paraId="6833266C">
                  <w:pPr>
                    <w:pStyle w:val="45"/>
                    <w:rPr>
                      <w:rFonts w:hint="default"/>
                      <w:b w:val="0"/>
                      <w:bCs w:val="0"/>
                      <w:u w:val="none"/>
                    </w:rPr>
                  </w:pPr>
                  <w:r>
                    <w:rPr>
                      <w:b w:val="0"/>
                      <w:bCs w:val="0"/>
                      <w:u w:val="none"/>
                    </w:rPr>
                    <w:t>昼夜</w:t>
                  </w:r>
                </w:p>
              </w:tc>
            </w:tr>
            <w:tr w14:paraId="2675792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317F01B2">
                  <w:pPr>
                    <w:pStyle w:val="45"/>
                    <w:rPr>
                      <w:rFonts w:hint="default"/>
                      <w:b w:val="0"/>
                      <w:bCs w:val="0"/>
                      <w:u w:val="none"/>
                    </w:rPr>
                  </w:pPr>
                  <w:r>
                    <w:rPr>
                      <w:rFonts w:hint="default"/>
                      <w:b w:val="0"/>
                      <w:bCs w:val="0"/>
                      <w:u w:val="none"/>
                    </w:rPr>
                    <w:t>12</w:t>
                  </w:r>
                </w:p>
              </w:tc>
              <w:tc>
                <w:tcPr>
                  <w:tcW w:w="1991" w:type="dxa"/>
                  <w:tcBorders>
                    <w:tl2br w:val="nil"/>
                    <w:tr2bl w:val="nil"/>
                  </w:tcBorders>
                  <w:shd w:val="clear" w:color="auto" w:fill="auto"/>
                  <w:noWrap/>
                  <w:vAlign w:val="center"/>
                </w:tcPr>
                <w:p w14:paraId="7070DA82">
                  <w:pPr>
                    <w:pStyle w:val="45"/>
                    <w:rPr>
                      <w:rFonts w:hint="default"/>
                      <w:b w:val="0"/>
                      <w:bCs w:val="0"/>
                      <w:u w:val="none"/>
                    </w:rPr>
                  </w:pPr>
                  <w:r>
                    <w:rPr>
                      <w:b w:val="0"/>
                      <w:bCs w:val="0"/>
                      <w:u w:val="none"/>
                    </w:rPr>
                    <w:t>氨水泵2</w:t>
                  </w:r>
                </w:p>
              </w:tc>
              <w:tc>
                <w:tcPr>
                  <w:tcW w:w="2277" w:type="dxa"/>
                  <w:tcBorders>
                    <w:tl2br w:val="nil"/>
                    <w:tr2bl w:val="nil"/>
                  </w:tcBorders>
                  <w:shd w:val="clear" w:color="auto" w:fill="auto"/>
                  <w:noWrap/>
                  <w:vAlign w:val="center"/>
                </w:tcPr>
                <w:p w14:paraId="347BAD0E">
                  <w:pPr>
                    <w:pStyle w:val="45"/>
                    <w:rPr>
                      <w:rFonts w:hint="default"/>
                      <w:b w:val="0"/>
                      <w:bCs w:val="0"/>
                      <w:u w:val="none"/>
                    </w:rPr>
                  </w:pPr>
                  <w:r>
                    <w:rPr>
                      <w:b w:val="0"/>
                      <w:bCs w:val="0"/>
                      <w:u w:val="none"/>
                    </w:rPr>
                    <w:t>/</w:t>
                  </w:r>
                </w:p>
              </w:tc>
              <w:tc>
                <w:tcPr>
                  <w:tcW w:w="1564" w:type="dxa"/>
                  <w:tcBorders>
                    <w:tl2br w:val="nil"/>
                    <w:tr2bl w:val="nil"/>
                  </w:tcBorders>
                  <w:shd w:val="clear" w:color="auto" w:fill="auto"/>
                  <w:vAlign w:val="center"/>
                </w:tcPr>
                <w:p w14:paraId="07AAC76F">
                  <w:pPr>
                    <w:pStyle w:val="45"/>
                    <w:rPr>
                      <w:rFonts w:hint="default"/>
                      <w:b w:val="0"/>
                      <w:bCs w:val="0"/>
                      <w:u w:val="none"/>
                    </w:rPr>
                  </w:pPr>
                  <w:r>
                    <w:rPr>
                      <w:rFonts w:hint="default"/>
                      <w:b w:val="0"/>
                      <w:bCs w:val="0"/>
                      <w:u w:val="none"/>
                    </w:rPr>
                    <w:t>-58.6</w:t>
                  </w:r>
                </w:p>
              </w:tc>
              <w:tc>
                <w:tcPr>
                  <w:tcW w:w="1452" w:type="dxa"/>
                  <w:tcBorders>
                    <w:tl2br w:val="nil"/>
                    <w:tr2bl w:val="nil"/>
                  </w:tcBorders>
                  <w:shd w:val="clear" w:color="auto" w:fill="auto"/>
                  <w:vAlign w:val="center"/>
                </w:tcPr>
                <w:p w14:paraId="3DB19C88">
                  <w:pPr>
                    <w:pStyle w:val="45"/>
                    <w:rPr>
                      <w:rFonts w:hint="default"/>
                      <w:b w:val="0"/>
                      <w:bCs w:val="0"/>
                      <w:u w:val="none"/>
                    </w:rPr>
                  </w:pPr>
                  <w:r>
                    <w:rPr>
                      <w:rFonts w:hint="default"/>
                      <w:b w:val="0"/>
                      <w:bCs w:val="0"/>
                      <w:u w:val="none"/>
                    </w:rPr>
                    <w:t>-12.06</w:t>
                  </w:r>
                </w:p>
              </w:tc>
              <w:tc>
                <w:tcPr>
                  <w:tcW w:w="1452" w:type="dxa"/>
                  <w:tcBorders>
                    <w:tl2br w:val="nil"/>
                    <w:tr2bl w:val="nil"/>
                  </w:tcBorders>
                  <w:shd w:val="clear" w:color="auto" w:fill="auto"/>
                  <w:vAlign w:val="center"/>
                </w:tcPr>
                <w:p w14:paraId="61CED184">
                  <w:pPr>
                    <w:pStyle w:val="45"/>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56489310">
                  <w:pPr>
                    <w:pStyle w:val="45"/>
                    <w:rPr>
                      <w:rFonts w:hint="default"/>
                      <w:b w:val="0"/>
                      <w:bCs w:val="0"/>
                      <w:u w:val="none"/>
                    </w:rPr>
                  </w:pPr>
                  <w:r>
                    <w:rPr>
                      <w:b w:val="0"/>
                      <w:bCs w:val="0"/>
                      <w:u w:val="none"/>
                    </w:rPr>
                    <w:t>80</w:t>
                  </w:r>
                </w:p>
              </w:tc>
              <w:tc>
                <w:tcPr>
                  <w:tcW w:w="1110" w:type="dxa"/>
                  <w:tcBorders>
                    <w:tl2br w:val="nil"/>
                    <w:tr2bl w:val="nil"/>
                  </w:tcBorders>
                  <w:shd w:val="clear" w:color="auto" w:fill="auto"/>
                  <w:noWrap/>
                  <w:vAlign w:val="center"/>
                </w:tcPr>
                <w:p w14:paraId="393EAC0C">
                  <w:pPr>
                    <w:pStyle w:val="45"/>
                    <w:rPr>
                      <w:rFonts w:hint="default"/>
                      <w:b w:val="0"/>
                      <w:bCs w:val="0"/>
                      <w:u w:val="none"/>
                    </w:rPr>
                  </w:pPr>
                  <w:r>
                    <w:rPr>
                      <w:b w:val="0"/>
                      <w:bCs w:val="0"/>
                      <w:u w:val="none"/>
                    </w:rPr>
                    <w:t>减振</w:t>
                  </w:r>
                </w:p>
              </w:tc>
              <w:tc>
                <w:tcPr>
                  <w:tcW w:w="1515" w:type="dxa"/>
                  <w:tcBorders>
                    <w:tl2br w:val="nil"/>
                    <w:tr2bl w:val="nil"/>
                  </w:tcBorders>
                  <w:shd w:val="clear" w:color="auto" w:fill="auto"/>
                  <w:noWrap/>
                  <w:vAlign w:val="center"/>
                </w:tcPr>
                <w:p w14:paraId="345B1D08">
                  <w:pPr>
                    <w:pStyle w:val="45"/>
                    <w:rPr>
                      <w:rFonts w:hint="default"/>
                      <w:b w:val="0"/>
                      <w:bCs w:val="0"/>
                      <w:u w:val="none"/>
                    </w:rPr>
                  </w:pPr>
                  <w:r>
                    <w:rPr>
                      <w:b w:val="0"/>
                      <w:bCs w:val="0"/>
                      <w:u w:val="none"/>
                    </w:rPr>
                    <w:t>昼夜</w:t>
                  </w:r>
                </w:p>
              </w:tc>
            </w:tr>
            <w:tr w14:paraId="33CB32D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03B48377">
                  <w:pPr>
                    <w:pStyle w:val="45"/>
                    <w:rPr>
                      <w:rFonts w:hint="default"/>
                      <w:b w:val="0"/>
                      <w:bCs w:val="0"/>
                      <w:u w:val="none"/>
                    </w:rPr>
                  </w:pPr>
                  <w:r>
                    <w:rPr>
                      <w:rFonts w:hint="default"/>
                      <w:b w:val="0"/>
                      <w:bCs w:val="0"/>
                      <w:u w:val="none"/>
                    </w:rPr>
                    <w:t>13</w:t>
                  </w:r>
                </w:p>
              </w:tc>
              <w:tc>
                <w:tcPr>
                  <w:tcW w:w="1991" w:type="dxa"/>
                  <w:tcBorders>
                    <w:tl2br w:val="nil"/>
                    <w:tr2bl w:val="nil"/>
                  </w:tcBorders>
                  <w:shd w:val="clear" w:color="auto" w:fill="auto"/>
                  <w:vAlign w:val="center"/>
                </w:tcPr>
                <w:p w14:paraId="3F24209B">
                  <w:pPr>
                    <w:pStyle w:val="45"/>
                    <w:rPr>
                      <w:rFonts w:hint="default"/>
                      <w:b w:val="0"/>
                      <w:bCs w:val="0"/>
                      <w:u w:val="none"/>
                    </w:rPr>
                  </w:pPr>
                  <w:r>
                    <w:rPr>
                      <w:b w:val="0"/>
                      <w:bCs w:val="0"/>
                      <w:u w:val="none"/>
                    </w:rPr>
                    <w:t>循环水泵1</w:t>
                  </w:r>
                </w:p>
              </w:tc>
              <w:tc>
                <w:tcPr>
                  <w:tcW w:w="2277" w:type="dxa"/>
                  <w:tcBorders>
                    <w:tl2br w:val="nil"/>
                    <w:tr2bl w:val="nil"/>
                  </w:tcBorders>
                  <w:shd w:val="clear" w:color="auto" w:fill="auto"/>
                  <w:vAlign w:val="center"/>
                </w:tcPr>
                <w:p w14:paraId="6803B2DF">
                  <w:pPr>
                    <w:pStyle w:val="45"/>
                    <w:rPr>
                      <w:rFonts w:hint="default"/>
                      <w:b w:val="0"/>
                      <w:bCs w:val="0"/>
                      <w:u w:val="none"/>
                    </w:rPr>
                  </w:pPr>
                  <w:r>
                    <w:rPr>
                      <w:b w:val="0"/>
                      <w:bCs w:val="0"/>
                      <w:u w:val="none"/>
                    </w:rPr>
                    <w:t>流量</w:t>
                  </w:r>
                  <w:r>
                    <w:rPr>
                      <w:rFonts w:hint="default"/>
                      <w:b w:val="0"/>
                      <w:bCs w:val="0"/>
                      <w:u w:val="none"/>
                    </w:rPr>
                    <w:t>150m</w:t>
                  </w:r>
                  <w:r>
                    <w:rPr>
                      <w:b w:val="0"/>
                      <w:bCs w:val="0"/>
                      <w:u w:val="none"/>
                    </w:rPr>
                    <w:t>³</w:t>
                  </w:r>
                  <w:r>
                    <w:rPr>
                      <w:rFonts w:hint="default"/>
                      <w:b w:val="0"/>
                      <w:bCs w:val="0"/>
                      <w:u w:val="none"/>
                    </w:rPr>
                    <w:t>/h</w:t>
                  </w:r>
                  <w:r>
                    <w:rPr>
                      <w:b w:val="0"/>
                      <w:bCs w:val="0"/>
                      <w:u w:val="none"/>
                    </w:rPr>
                    <w:t>，扬程</w:t>
                  </w:r>
                  <w:r>
                    <w:rPr>
                      <w:rFonts w:hint="default"/>
                      <w:b w:val="0"/>
                      <w:bCs w:val="0"/>
                      <w:u w:val="none"/>
                    </w:rPr>
                    <w:t>40m</w:t>
                  </w:r>
                </w:p>
              </w:tc>
              <w:tc>
                <w:tcPr>
                  <w:tcW w:w="1564" w:type="dxa"/>
                  <w:tcBorders>
                    <w:tl2br w:val="nil"/>
                    <w:tr2bl w:val="nil"/>
                  </w:tcBorders>
                  <w:shd w:val="clear" w:color="auto" w:fill="auto"/>
                  <w:vAlign w:val="center"/>
                </w:tcPr>
                <w:p w14:paraId="70F209AC">
                  <w:pPr>
                    <w:pStyle w:val="45"/>
                    <w:rPr>
                      <w:rFonts w:hint="default"/>
                      <w:b w:val="0"/>
                      <w:bCs w:val="0"/>
                      <w:u w:val="none"/>
                    </w:rPr>
                  </w:pPr>
                  <w:r>
                    <w:rPr>
                      <w:rFonts w:hint="default"/>
                      <w:b w:val="0"/>
                      <w:bCs w:val="0"/>
                      <w:u w:val="none"/>
                    </w:rPr>
                    <w:t>53.96</w:t>
                  </w:r>
                </w:p>
              </w:tc>
              <w:tc>
                <w:tcPr>
                  <w:tcW w:w="1452" w:type="dxa"/>
                  <w:tcBorders>
                    <w:tl2br w:val="nil"/>
                    <w:tr2bl w:val="nil"/>
                  </w:tcBorders>
                  <w:shd w:val="clear" w:color="auto" w:fill="auto"/>
                  <w:vAlign w:val="center"/>
                </w:tcPr>
                <w:p w14:paraId="106A0492">
                  <w:pPr>
                    <w:pStyle w:val="45"/>
                    <w:rPr>
                      <w:rFonts w:hint="default"/>
                      <w:b w:val="0"/>
                      <w:bCs w:val="0"/>
                      <w:u w:val="none"/>
                    </w:rPr>
                  </w:pPr>
                  <w:r>
                    <w:rPr>
                      <w:rFonts w:hint="default"/>
                      <w:b w:val="0"/>
                      <w:bCs w:val="0"/>
                      <w:u w:val="none"/>
                    </w:rPr>
                    <w:t>116.15</w:t>
                  </w:r>
                </w:p>
              </w:tc>
              <w:tc>
                <w:tcPr>
                  <w:tcW w:w="1452" w:type="dxa"/>
                  <w:tcBorders>
                    <w:tl2br w:val="nil"/>
                    <w:tr2bl w:val="nil"/>
                  </w:tcBorders>
                  <w:shd w:val="clear" w:color="auto" w:fill="auto"/>
                  <w:vAlign w:val="center"/>
                </w:tcPr>
                <w:p w14:paraId="4E3E1CE5">
                  <w:pPr>
                    <w:pStyle w:val="45"/>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3FE75E73">
                  <w:pPr>
                    <w:pStyle w:val="45"/>
                    <w:rPr>
                      <w:rFonts w:hint="default"/>
                      <w:b w:val="0"/>
                      <w:bCs w:val="0"/>
                      <w:u w:val="none"/>
                    </w:rPr>
                  </w:pPr>
                  <w:r>
                    <w:rPr>
                      <w:b w:val="0"/>
                      <w:bCs w:val="0"/>
                      <w:u w:val="none"/>
                    </w:rPr>
                    <w:t>80</w:t>
                  </w:r>
                </w:p>
              </w:tc>
              <w:tc>
                <w:tcPr>
                  <w:tcW w:w="1110" w:type="dxa"/>
                  <w:tcBorders>
                    <w:tl2br w:val="nil"/>
                    <w:tr2bl w:val="nil"/>
                  </w:tcBorders>
                  <w:shd w:val="clear" w:color="auto" w:fill="auto"/>
                  <w:noWrap/>
                  <w:vAlign w:val="center"/>
                </w:tcPr>
                <w:p w14:paraId="2A1F32C7">
                  <w:pPr>
                    <w:pStyle w:val="45"/>
                    <w:rPr>
                      <w:rFonts w:hint="default"/>
                      <w:b w:val="0"/>
                      <w:bCs w:val="0"/>
                      <w:u w:val="none"/>
                    </w:rPr>
                  </w:pPr>
                  <w:r>
                    <w:rPr>
                      <w:b w:val="0"/>
                      <w:bCs w:val="0"/>
                      <w:u w:val="none"/>
                    </w:rPr>
                    <w:t>减振</w:t>
                  </w:r>
                </w:p>
              </w:tc>
              <w:tc>
                <w:tcPr>
                  <w:tcW w:w="1515" w:type="dxa"/>
                  <w:tcBorders>
                    <w:tl2br w:val="nil"/>
                    <w:tr2bl w:val="nil"/>
                  </w:tcBorders>
                  <w:shd w:val="clear" w:color="auto" w:fill="auto"/>
                  <w:noWrap/>
                  <w:vAlign w:val="center"/>
                </w:tcPr>
                <w:p w14:paraId="09EBBD56">
                  <w:pPr>
                    <w:pStyle w:val="45"/>
                    <w:rPr>
                      <w:rFonts w:hint="default"/>
                      <w:b w:val="0"/>
                      <w:bCs w:val="0"/>
                      <w:u w:val="none"/>
                    </w:rPr>
                  </w:pPr>
                  <w:r>
                    <w:rPr>
                      <w:b w:val="0"/>
                      <w:bCs w:val="0"/>
                      <w:u w:val="none"/>
                    </w:rPr>
                    <w:t>昼夜</w:t>
                  </w:r>
                </w:p>
              </w:tc>
            </w:tr>
            <w:tr w14:paraId="1288987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1569DDC3">
                  <w:pPr>
                    <w:pStyle w:val="45"/>
                    <w:rPr>
                      <w:rFonts w:hint="default"/>
                      <w:b w:val="0"/>
                      <w:bCs w:val="0"/>
                      <w:u w:val="none"/>
                    </w:rPr>
                  </w:pPr>
                  <w:r>
                    <w:rPr>
                      <w:rFonts w:hint="default"/>
                      <w:b w:val="0"/>
                      <w:bCs w:val="0"/>
                      <w:u w:val="none"/>
                    </w:rPr>
                    <w:t>14</w:t>
                  </w:r>
                </w:p>
              </w:tc>
              <w:tc>
                <w:tcPr>
                  <w:tcW w:w="1991" w:type="dxa"/>
                  <w:tcBorders>
                    <w:tl2br w:val="nil"/>
                    <w:tr2bl w:val="nil"/>
                  </w:tcBorders>
                  <w:shd w:val="clear" w:color="auto" w:fill="auto"/>
                  <w:vAlign w:val="center"/>
                </w:tcPr>
                <w:p w14:paraId="196D4727">
                  <w:pPr>
                    <w:pStyle w:val="45"/>
                    <w:rPr>
                      <w:rFonts w:hint="default"/>
                      <w:b w:val="0"/>
                      <w:bCs w:val="0"/>
                      <w:u w:val="none"/>
                    </w:rPr>
                  </w:pPr>
                  <w:r>
                    <w:rPr>
                      <w:b w:val="0"/>
                      <w:bCs w:val="0"/>
                      <w:u w:val="none"/>
                    </w:rPr>
                    <w:t>循环水泵2</w:t>
                  </w:r>
                </w:p>
              </w:tc>
              <w:tc>
                <w:tcPr>
                  <w:tcW w:w="2277" w:type="dxa"/>
                  <w:tcBorders>
                    <w:tl2br w:val="nil"/>
                    <w:tr2bl w:val="nil"/>
                  </w:tcBorders>
                  <w:shd w:val="clear" w:color="auto" w:fill="auto"/>
                  <w:vAlign w:val="center"/>
                </w:tcPr>
                <w:p w14:paraId="104F5752">
                  <w:pPr>
                    <w:pStyle w:val="45"/>
                    <w:rPr>
                      <w:rFonts w:hint="default"/>
                      <w:b w:val="0"/>
                      <w:bCs w:val="0"/>
                      <w:u w:val="none"/>
                    </w:rPr>
                  </w:pPr>
                  <w:r>
                    <w:rPr>
                      <w:b w:val="0"/>
                      <w:bCs w:val="0"/>
                      <w:u w:val="none"/>
                    </w:rPr>
                    <w:t>流量</w:t>
                  </w:r>
                  <w:r>
                    <w:rPr>
                      <w:rFonts w:hint="default"/>
                      <w:b w:val="0"/>
                      <w:bCs w:val="0"/>
                      <w:u w:val="none"/>
                    </w:rPr>
                    <w:t>150m</w:t>
                  </w:r>
                  <w:r>
                    <w:rPr>
                      <w:b w:val="0"/>
                      <w:bCs w:val="0"/>
                      <w:u w:val="none"/>
                    </w:rPr>
                    <w:t>³</w:t>
                  </w:r>
                  <w:r>
                    <w:rPr>
                      <w:rFonts w:hint="default"/>
                      <w:b w:val="0"/>
                      <w:bCs w:val="0"/>
                      <w:u w:val="none"/>
                    </w:rPr>
                    <w:t>/h</w:t>
                  </w:r>
                  <w:r>
                    <w:rPr>
                      <w:b w:val="0"/>
                      <w:bCs w:val="0"/>
                      <w:u w:val="none"/>
                    </w:rPr>
                    <w:t>，扬程</w:t>
                  </w:r>
                  <w:r>
                    <w:rPr>
                      <w:rFonts w:hint="default"/>
                      <w:b w:val="0"/>
                      <w:bCs w:val="0"/>
                      <w:u w:val="none"/>
                    </w:rPr>
                    <w:t>40m</w:t>
                  </w:r>
                </w:p>
              </w:tc>
              <w:tc>
                <w:tcPr>
                  <w:tcW w:w="1564" w:type="dxa"/>
                  <w:tcBorders>
                    <w:tl2br w:val="nil"/>
                    <w:tr2bl w:val="nil"/>
                  </w:tcBorders>
                  <w:shd w:val="clear" w:color="auto" w:fill="auto"/>
                  <w:vAlign w:val="center"/>
                </w:tcPr>
                <w:p w14:paraId="4ED5A873">
                  <w:pPr>
                    <w:pStyle w:val="45"/>
                    <w:rPr>
                      <w:rFonts w:hint="default"/>
                      <w:b w:val="0"/>
                      <w:bCs w:val="0"/>
                      <w:u w:val="none"/>
                    </w:rPr>
                  </w:pPr>
                  <w:r>
                    <w:rPr>
                      <w:rFonts w:hint="default"/>
                      <w:b w:val="0"/>
                      <w:bCs w:val="0"/>
                      <w:u w:val="none"/>
                    </w:rPr>
                    <w:t>61.03</w:t>
                  </w:r>
                </w:p>
              </w:tc>
              <w:tc>
                <w:tcPr>
                  <w:tcW w:w="1452" w:type="dxa"/>
                  <w:tcBorders>
                    <w:tl2br w:val="nil"/>
                    <w:tr2bl w:val="nil"/>
                  </w:tcBorders>
                  <w:shd w:val="clear" w:color="auto" w:fill="auto"/>
                  <w:vAlign w:val="center"/>
                </w:tcPr>
                <w:p w14:paraId="75AC1E70">
                  <w:pPr>
                    <w:pStyle w:val="45"/>
                    <w:rPr>
                      <w:rFonts w:hint="default"/>
                      <w:b w:val="0"/>
                      <w:bCs w:val="0"/>
                      <w:u w:val="none"/>
                    </w:rPr>
                  </w:pPr>
                  <w:r>
                    <w:rPr>
                      <w:rFonts w:hint="default"/>
                      <w:b w:val="0"/>
                      <w:bCs w:val="0"/>
                      <w:u w:val="none"/>
                    </w:rPr>
                    <w:t>115.3</w:t>
                  </w:r>
                </w:p>
              </w:tc>
              <w:tc>
                <w:tcPr>
                  <w:tcW w:w="1452" w:type="dxa"/>
                  <w:tcBorders>
                    <w:tl2br w:val="nil"/>
                    <w:tr2bl w:val="nil"/>
                  </w:tcBorders>
                  <w:shd w:val="clear" w:color="auto" w:fill="auto"/>
                  <w:vAlign w:val="center"/>
                </w:tcPr>
                <w:p w14:paraId="6718A6A5">
                  <w:pPr>
                    <w:pStyle w:val="45"/>
                    <w:rPr>
                      <w:rFonts w:hint="default"/>
                      <w:b w:val="0"/>
                      <w:bCs w:val="0"/>
                      <w:u w:val="none"/>
                    </w:rPr>
                  </w:pPr>
                  <w:r>
                    <w:rPr>
                      <w:rFonts w:hint="default"/>
                      <w:b w:val="0"/>
                      <w:bCs w:val="0"/>
                      <w:u w:val="none"/>
                    </w:rPr>
                    <w:t>1</w:t>
                  </w:r>
                </w:p>
              </w:tc>
              <w:tc>
                <w:tcPr>
                  <w:tcW w:w="1920" w:type="dxa"/>
                  <w:tcBorders>
                    <w:tl2br w:val="nil"/>
                    <w:tr2bl w:val="nil"/>
                  </w:tcBorders>
                  <w:shd w:val="clear" w:color="auto" w:fill="auto"/>
                  <w:noWrap/>
                  <w:vAlign w:val="center"/>
                </w:tcPr>
                <w:p w14:paraId="37BE00CD">
                  <w:pPr>
                    <w:pStyle w:val="45"/>
                    <w:rPr>
                      <w:rFonts w:hint="default"/>
                      <w:b w:val="0"/>
                      <w:bCs w:val="0"/>
                      <w:u w:val="none"/>
                    </w:rPr>
                  </w:pPr>
                  <w:r>
                    <w:rPr>
                      <w:b w:val="0"/>
                      <w:bCs w:val="0"/>
                      <w:u w:val="none"/>
                    </w:rPr>
                    <w:t>80</w:t>
                  </w:r>
                </w:p>
              </w:tc>
              <w:tc>
                <w:tcPr>
                  <w:tcW w:w="1110" w:type="dxa"/>
                  <w:tcBorders>
                    <w:tl2br w:val="nil"/>
                    <w:tr2bl w:val="nil"/>
                  </w:tcBorders>
                  <w:shd w:val="clear" w:color="auto" w:fill="auto"/>
                  <w:noWrap/>
                  <w:vAlign w:val="center"/>
                </w:tcPr>
                <w:p w14:paraId="0F3191CA">
                  <w:pPr>
                    <w:pStyle w:val="45"/>
                    <w:rPr>
                      <w:rFonts w:hint="default"/>
                      <w:b w:val="0"/>
                      <w:bCs w:val="0"/>
                      <w:u w:val="none"/>
                    </w:rPr>
                  </w:pPr>
                  <w:r>
                    <w:rPr>
                      <w:b w:val="0"/>
                      <w:bCs w:val="0"/>
                      <w:u w:val="none"/>
                    </w:rPr>
                    <w:t>减振</w:t>
                  </w:r>
                </w:p>
              </w:tc>
              <w:tc>
                <w:tcPr>
                  <w:tcW w:w="1515" w:type="dxa"/>
                  <w:tcBorders>
                    <w:tl2br w:val="nil"/>
                    <w:tr2bl w:val="nil"/>
                  </w:tcBorders>
                  <w:shd w:val="clear" w:color="auto" w:fill="auto"/>
                  <w:noWrap/>
                  <w:vAlign w:val="center"/>
                </w:tcPr>
                <w:p w14:paraId="7BB2B9A3">
                  <w:pPr>
                    <w:pStyle w:val="45"/>
                    <w:rPr>
                      <w:rFonts w:hint="default"/>
                      <w:b w:val="0"/>
                      <w:bCs w:val="0"/>
                      <w:u w:val="none"/>
                    </w:rPr>
                  </w:pPr>
                  <w:r>
                    <w:rPr>
                      <w:b w:val="0"/>
                      <w:bCs w:val="0"/>
                      <w:u w:val="none"/>
                    </w:rPr>
                    <w:t>昼夜</w:t>
                  </w:r>
                </w:p>
              </w:tc>
            </w:tr>
            <w:tr w14:paraId="7F6BD4D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1D4D65E5">
                  <w:pPr>
                    <w:pStyle w:val="45"/>
                    <w:rPr>
                      <w:rFonts w:hint="default"/>
                      <w:b w:val="0"/>
                      <w:bCs w:val="0"/>
                      <w:u w:val="none"/>
                    </w:rPr>
                  </w:pPr>
                  <w:r>
                    <w:rPr>
                      <w:rFonts w:hint="default"/>
                      <w:b w:val="0"/>
                      <w:bCs w:val="0"/>
                      <w:u w:val="none"/>
                    </w:rPr>
                    <w:t>15</w:t>
                  </w:r>
                </w:p>
              </w:tc>
              <w:tc>
                <w:tcPr>
                  <w:tcW w:w="1991" w:type="dxa"/>
                  <w:tcBorders>
                    <w:tl2br w:val="nil"/>
                    <w:tr2bl w:val="nil"/>
                  </w:tcBorders>
                  <w:shd w:val="clear" w:color="auto" w:fill="auto"/>
                  <w:vAlign w:val="center"/>
                </w:tcPr>
                <w:p w14:paraId="3D4ACE2B">
                  <w:pPr>
                    <w:pStyle w:val="45"/>
                    <w:rPr>
                      <w:rFonts w:hint="default"/>
                      <w:b w:val="0"/>
                      <w:bCs w:val="0"/>
                      <w:u w:val="none"/>
                    </w:rPr>
                  </w:pPr>
                  <w:r>
                    <w:rPr>
                      <w:b w:val="0"/>
                      <w:bCs w:val="0"/>
                      <w:u w:val="none"/>
                    </w:rPr>
                    <w:t>冷却塔1</w:t>
                  </w:r>
                </w:p>
              </w:tc>
              <w:tc>
                <w:tcPr>
                  <w:tcW w:w="2277" w:type="dxa"/>
                  <w:tcBorders>
                    <w:tl2br w:val="nil"/>
                    <w:tr2bl w:val="nil"/>
                  </w:tcBorders>
                  <w:shd w:val="clear" w:color="auto" w:fill="auto"/>
                  <w:vAlign w:val="center"/>
                </w:tcPr>
                <w:p w14:paraId="79D42880">
                  <w:pPr>
                    <w:pStyle w:val="45"/>
                    <w:rPr>
                      <w:rFonts w:hint="default"/>
                      <w:b w:val="0"/>
                      <w:bCs w:val="0"/>
                      <w:u w:val="none"/>
                    </w:rPr>
                  </w:pPr>
                  <w:r>
                    <w:rPr>
                      <w:b w:val="0"/>
                      <w:bCs w:val="0"/>
                      <w:u w:val="none"/>
                    </w:rPr>
                    <w:t>/</w:t>
                  </w:r>
                </w:p>
              </w:tc>
              <w:tc>
                <w:tcPr>
                  <w:tcW w:w="1564" w:type="dxa"/>
                  <w:tcBorders>
                    <w:tl2br w:val="nil"/>
                    <w:tr2bl w:val="nil"/>
                  </w:tcBorders>
                  <w:shd w:val="clear" w:color="auto" w:fill="auto"/>
                  <w:vAlign w:val="center"/>
                </w:tcPr>
                <w:p w14:paraId="5B22B162">
                  <w:pPr>
                    <w:pStyle w:val="45"/>
                    <w:rPr>
                      <w:rFonts w:hint="default"/>
                      <w:b w:val="0"/>
                      <w:bCs w:val="0"/>
                      <w:u w:val="none"/>
                    </w:rPr>
                  </w:pPr>
                  <w:r>
                    <w:rPr>
                      <w:rFonts w:hint="default"/>
                      <w:b w:val="0"/>
                      <w:bCs w:val="0"/>
                      <w:u w:val="none"/>
                    </w:rPr>
                    <w:t>61.46</w:t>
                  </w:r>
                </w:p>
              </w:tc>
              <w:tc>
                <w:tcPr>
                  <w:tcW w:w="1452" w:type="dxa"/>
                  <w:tcBorders>
                    <w:tl2br w:val="nil"/>
                    <w:tr2bl w:val="nil"/>
                  </w:tcBorders>
                  <w:shd w:val="clear" w:color="auto" w:fill="auto"/>
                  <w:vAlign w:val="center"/>
                </w:tcPr>
                <w:p w14:paraId="5CFBD23E">
                  <w:pPr>
                    <w:pStyle w:val="45"/>
                    <w:rPr>
                      <w:rFonts w:hint="default"/>
                      <w:b w:val="0"/>
                      <w:bCs w:val="0"/>
                      <w:u w:val="none"/>
                    </w:rPr>
                  </w:pPr>
                  <w:r>
                    <w:rPr>
                      <w:rFonts w:hint="default"/>
                      <w:b w:val="0"/>
                      <w:bCs w:val="0"/>
                      <w:u w:val="none"/>
                    </w:rPr>
                    <w:t>123.44</w:t>
                  </w:r>
                </w:p>
              </w:tc>
              <w:tc>
                <w:tcPr>
                  <w:tcW w:w="1452" w:type="dxa"/>
                  <w:tcBorders>
                    <w:tl2br w:val="nil"/>
                    <w:tr2bl w:val="nil"/>
                  </w:tcBorders>
                  <w:shd w:val="clear" w:color="auto" w:fill="auto"/>
                  <w:vAlign w:val="center"/>
                </w:tcPr>
                <w:p w14:paraId="43BD85F7">
                  <w:pPr>
                    <w:pStyle w:val="45"/>
                    <w:rPr>
                      <w:rFonts w:hint="default"/>
                      <w:b w:val="0"/>
                      <w:bCs w:val="0"/>
                      <w:u w:val="none"/>
                    </w:rPr>
                  </w:pPr>
                  <w:r>
                    <w:rPr>
                      <w:rFonts w:hint="default"/>
                      <w:b w:val="0"/>
                      <w:bCs w:val="0"/>
                      <w:u w:val="none"/>
                    </w:rPr>
                    <w:t>3</w:t>
                  </w:r>
                </w:p>
              </w:tc>
              <w:tc>
                <w:tcPr>
                  <w:tcW w:w="1920" w:type="dxa"/>
                  <w:tcBorders>
                    <w:tl2br w:val="nil"/>
                    <w:tr2bl w:val="nil"/>
                  </w:tcBorders>
                  <w:shd w:val="clear" w:color="auto" w:fill="auto"/>
                  <w:noWrap/>
                  <w:vAlign w:val="center"/>
                </w:tcPr>
                <w:p w14:paraId="58C92EB8">
                  <w:pPr>
                    <w:pStyle w:val="45"/>
                    <w:rPr>
                      <w:rFonts w:hint="default"/>
                      <w:b w:val="0"/>
                      <w:bCs w:val="0"/>
                      <w:u w:val="none"/>
                    </w:rPr>
                  </w:pPr>
                  <w:r>
                    <w:rPr>
                      <w:b w:val="0"/>
                      <w:bCs w:val="0"/>
                      <w:u w:val="none"/>
                    </w:rPr>
                    <w:t>75</w:t>
                  </w:r>
                </w:p>
              </w:tc>
              <w:tc>
                <w:tcPr>
                  <w:tcW w:w="1110" w:type="dxa"/>
                  <w:tcBorders>
                    <w:tl2br w:val="nil"/>
                    <w:tr2bl w:val="nil"/>
                  </w:tcBorders>
                  <w:shd w:val="clear" w:color="auto" w:fill="auto"/>
                  <w:noWrap/>
                  <w:vAlign w:val="center"/>
                </w:tcPr>
                <w:p w14:paraId="39122874">
                  <w:pPr>
                    <w:pStyle w:val="45"/>
                    <w:rPr>
                      <w:rFonts w:hint="default"/>
                      <w:b w:val="0"/>
                      <w:bCs w:val="0"/>
                      <w:u w:val="none"/>
                    </w:rPr>
                  </w:pPr>
                  <w:r>
                    <w:rPr>
                      <w:b w:val="0"/>
                      <w:bCs w:val="0"/>
                      <w:u w:val="none"/>
                    </w:rPr>
                    <w:t>减振、消声</w:t>
                  </w:r>
                </w:p>
              </w:tc>
              <w:tc>
                <w:tcPr>
                  <w:tcW w:w="1515" w:type="dxa"/>
                  <w:tcBorders>
                    <w:tl2br w:val="nil"/>
                    <w:tr2bl w:val="nil"/>
                  </w:tcBorders>
                  <w:shd w:val="clear" w:color="auto" w:fill="auto"/>
                  <w:noWrap/>
                  <w:vAlign w:val="center"/>
                </w:tcPr>
                <w:p w14:paraId="08A6BB4B">
                  <w:pPr>
                    <w:pStyle w:val="45"/>
                    <w:rPr>
                      <w:rFonts w:hint="default"/>
                      <w:b w:val="0"/>
                      <w:bCs w:val="0"/>
                      <w:u w:val="none"/>
                    </w:rPr>
                  </w:pPr>
                  <w:r>
                    <w:rPr>
                      <w:b w:val="0"/>
                      <w:bCs w:val="0"/>
                      <w:u w:val="none"/>
                    </w:rPr>
                    <w:t>昼夜</w:t>
                  </w:r>
                </w:p>
              </w:tc>
            </w:tr>
            <w:tr w14:paraId="7E5E24C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66D1C0A1">
                  <w:pPr>
                    <w:pStyle w:val="45"/>
                    <w:rPr>
                      <w:rFonts w:hint="default"/>
                      <w:b w:val="0"/>
                      <w:bCs w:val="0"/>
                      <w:u w:val="none"/>
                    </w:rPr>
                  </w:pPr>
                  <w:r>
                    <w:rPr>
                      <w:rFonts w:hint="default"/>
                      <w:b w:val="0"/>
                      <w:bCs w:val="0"/>
                      <w:u w:val="none"/>
                    </w:rPr>
                    <w:t>16</w:t>
                  </w:r>
                </w:p>
              </w:tc>
              <w:tc>
                <w:tcPr>
                  <w:tcW w:w="1991" w:type="dxa"/>
                  <w:tcBorders>
                    <w:tl2br w:val="nil"/>
                    <w:tr2bl w:val="nil"/>
                  </w:tcBorders>
                  <w:shd w:val="clear" w:color="auto" w:fill="auto"/>
                  <w:vAlign w:val="center"/>
                </w:tcPr>
                <w:p w14:paraId="17D7D00F">
                  <w:pPr>
                    <w:pStyle w:val="45"/>
                    <w:rPr>
                      <w:rFonts w:hint="default"/>
                      <w:b w:val="0"/>
                      <w:bCs w:val="0"/>
                      <w:u w:val="none"/>
                    </w:rPr>
                  </w:pPr>
                  <w:r>
                    <w:rPr>
                      <w:b w:val="0"/>
                      <w:bCs w:val="0"/>
                      <w:u w:val="none"/>
                    </w:rPr>
                    <w:t>冷却塔2</w:t>
                  </w:r>
                </w:p>
              </w:tc>
              <w:tc>
                <w:tcPr>
                  <w:tcW w:w="2277" w:type="dxa"/>
                  <w:tcBorders>
                    <w:tl2br w:val="nil"/>
                    <w:tr2bl w:val="nil"/>
                  </w:tcBorders>
                  <w:shd w:val="clear" w:color="auto" w:fill="auto"/>
                  <w:vAlign w:val="center"/>
                </w:tcPr>
                <w:p w14:paraId="4D5594AF">
                  <w:pPr>
                    <w:pStyle w:val="45"/>
                    <w:rPr>
                      <w:rFonts w:hint="default"/>
                      <w:b w:val="0"/>
                      <w:bCs w:val="0"/>
                      <w:u w:val="none"/>
                    </w:rPr>
                  </w:pPr>
                  <w:r>
                    <w:rPr>
                      <w:b w:val="0"/>
                      <w:bCs w:val="0"/>
                      <w:u w:val="none"/>
                    </w:rPr>
                    <w:t>/</w:t>
                  </w:r>
                </w:p>
              </w:tc>
              <w:tc>
                <w:tcPr>
                  <w:tcW w:w="1564" w:type="dxa"/>
                  <w:tcBorders>
                    <w:tl2br w:val="nil"/>
                    <w:tr2bl w:val="nil"/>
                  </w:tcBorders>
                  <w:shd w:val="clear" w:color="auto" w:fill="auto"/>
                  <w:vAlign w:val="center"/>
                </w:tcPr>
                <w:p w14:paraId="6735D11E">
                  <w:pPr>
                    <w:pStyle w:val="45"/>
                    <w:rPr>
                      <w:rFonts w:hint="default"/>
                      <w:b w:val="0"/>
                      <w:bCs w:val="0"/>
                      <w:u w:val="none"/>
                    </w:rPr>
                  </w:pPr>
                  <w:r>
                    <w:rPr>
                      <w:rFonts w:hint="default"/>
                      <w:b w:val="0"/>
                      <w:bCs w:val="0"/>
                      <w:u w:val="none"/>
                    </w:rPr>
                    <w:t>67.89</w:t>
                  </w:r>
                </w:p>
              </w:tc>
              <w:tc>
                <w:tcPr>
                  <w:tcW w:w="1452" w:type="dxa"/>
                  <w:tcBorders>
                    <w:tl2br w:val="nil"/>
                    <w:tr2bl w:val="nil"/>
                  </w:tcBorders>
                  <w:shd w:val="clear" w:color="auto" w:fill="auto"/>
                  <w:vAlign w:val="center"/>
                </w:tcPr>
                <w:p w14:paraId="16A45A0C">
                  <w:pPr>
                    <w:pStyle w:val="45"/>
                    <w:rPr>
                      <w:rFonts w:hint="default"/>
                      <w:b w:val="0"/>
                      <w:bCs w:val="0"/>
                      <w:u w:val="none"/>
                    </w:rPr>
                  </w:pPr>
                  <w:r>
                    <w:rPr>
                      <w:rFonts w:hint="default"/>
                      <w:b w:val="0"/>
                      <w:bCs w:val="0"/>
                      <w:u w:val="none"/>
                    </w:rPr>
                    <w:t>123.01</w:t>
                  </w:r>
                </w:p>
              </w:tc>
              <w:tc>
                <w:tcPr>
                  <w:tcW w:w="1452" w:type="dxa"/>
                  <w:tcBorders>
                    <w:tl2br w:val="nil"/>
                    <w:tr2bl w:val="nil"/>
                  </w:tcBorders>
                  <w:shd w:val="clear" w:color="auto" w:fill="auto"/>
                  <w:vAlign w:val="center"/>
                </w:tcPr>
                <w:p w14:paraId="3A1F3249">
                  <w:pPr>
                    <w:pStyle w:val="45"/>
                    <w:rPr>
                      <w:rFonts w:hint="default"/>
                      <w:b w:val="0"/>
                      <w:bCs w:val="0"/>
                      <w:u w:val="none"/>
                    </w:rPr>
                  </w:pPr>
                  <w:r>
                    <w:rPr>
                      <w:rFonts w:hint="default"/>
                      <w:b w:val="0"/>
                      <w:bCs w:val="0"/>
                      <w:u w:val="none"/>
                    </w:rPr>
                    <w:t>3</w:t>
                  </w:r>
                </w:p>
              </w:tc>
              <w:tc>
                <w:tcPr>
                  <w:tcW w:w="1920" w:type="dxa"/>
                  <w:tcBorders>
                    <w:tl2br w:val="nil"/>
                    <w:tr2bl w:val="nil"/>
                  </w:tcBorders>
                  <w:shd w:val="clear" w:color="auto" w:fill="auto"/>
                  <w:noWrap/>
                  <w:vAlign w:val="center"/>
                </w:tcPr>
                <w:p w14:paraId="59D8EFA3">
                  <w:pPr>
                    <w:pStyle w:val="45"/>
                    <w:rPr>
                      <w:rFonts w:hint="default"/>
                      <w:b w:val="0"/>
                      <w:bCs w:val="0"/>
                      <w:u w:val="none"/>
                    </w:rPr>
                  </w:pPr>
                  <w:r>
                    <w:rPr>
                      <w:b w:val="0"/>
                      <w:bCs w:val="0"/>
                      <w:u w:val="none"/>
                    </w:rPr>
                    <w:t>75</w:t>
                  </w:r>
                </w:p>
              </w:tc>
              <w:tc>
                <w:tcPr>
                  <w:tcW w:w="1110" w:type="dxa"/>
                  <w:tcBorders>
                    <w:tl2br w:val="nil"/>
                    <w:tr2bl w:val="nil"/>
                  </w:tcBorders>
                  <w:shd w:val="clear" w:color="auto" w:fill="auto"/>
                  <w:noWrap/>
                  <w:vAlign w:val="center"/>
                </w:tcPr>
                <w:p w14:paraId="726E273D">
                  <w:pPr>
                    <w:pStyle w:val="45"/>
                    <w:rPr>
                      <w:rFonts w:hint="default"/>
                      <w:b w:val="0"/>
                      <w:bCs w:val="0"/>
                      <w:u w:val="none"/>
                    </w:rPr>
                  </w:pPr>
                  <w:r>
                    <w:rPr>
                      <w:b w:val="0"/>
                      <w:bCs w:val="0"/>
                      <w:u w:val="none"/>
                    </w:rPr>
                    <w:t>减振、消声</w:t>
                  </w:r>
                </w:p>
              </w:tc>
              <w:tc>
                <w:tcPr>
                  <w:tcW w:w="1515" w:type="dxa"/>
                  <w:tcBorders>
                    <w:tl2br w:val="nil"/>
                    <w:tr2bl w:val="nil"/>
                  </w:tcBorders>
                  <w:shd w:val="clear" w:color="auto" w:fill="auto"/>
                  <w:noWrap/>
                  <w:vAlign w:val="center"/>
                </w:tcPr>
                <w:p w14:paraId="06E44600">
                  <w:pPr>
                    <w:pStyle w:val="45"/>
                    <w:rPr>
                      <w:rFonts w:hint="default"/>
                      <w:b w:val="0"/>
                      <w:bCs w:val="0"/>
                      <w:u w:val="none"/>
                    </w:rPr>
                  </w:pPr>
                  <w:r>
                    <w:rPr>
                      <w:b w:val="0"/>
                      <w:bCs w:val="0"/>
                      <w:u w:val="none"/>
                    </w:rPr>
                    <w:t>昼夜</w:t>
                  </w:r>
                </w:p>
              </w:tc>
            </w:tr>
            <w:tr w14:paraId="598B2DE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77" w:type="dxa"/>
                  <w:tcBorders>
                    <w:tl2br w:val="nil"/>
                    <w:tr2bl w:val="nil"/>
                  </w:tcBorders>
                  <w:shd w:val="clear" w:color="auto" w:fill="auto"/>
                  <w:vAlign w:val="center"/>
                </w:tcPr>
                <w:p w14:paraId="44D2FBC7">
                  <w:pPr>
                    <w:pStyle w:val="45"/>
                    <w:rPr>
                      <w:rFonts w:hint="default" w:eastAsia="宋体"/>
                      <w:b w:val="0"/>
                      <w:bCs w:val="0"/>
                      <w:u w:val="none"/>
                      <w:lang w:val="en-US" w:eastAsia="zh-CN"/>
                    </w:rPr>
                  </w:pPr>
                  <w:r>
                    <w:rPr>
                      <w:rFonts w:hint="eastAsia"/>
                      <w:b w:val="0"/>
                      <w:bCs w:val="0"/>
                      <w:u w:val="none"/>
                      <w:lang w:val="en-US" w:eastAsia="zh-CN"/>
                    </w:rPr>
                    <w:t>17</w:t>
                  </w:r>
                </w:p>
              </w:tc>
              <w:tc>
                <w:tcPr>
                  <w:tcW w:w="1991" w:type="dxa"/>
                  <w:tcBorders>
                    <w:tl2br w:val="nil"/>
                    <w:tr2bl w:val="nil"/>
                  </w:tcBorders>
                  <w:shd w:val="clear" w:color="auto" w:fill="auto"/>
                  <w:vAlign w:val="center"/>
                </w:tcPr>
                <w:p w14:paraId="7D27823A">
                  <w:pPr>
                    <w:pStyle w:val="45"/>
                    <w:rPr>
                      <w:rFonts w:hint="eastAsia" w:eastAsia="宋体"/>
                      <w:b/>
                      <w:bCs/>
                      <w:u w:val="single"/>
                      <w:lang w:eastAsia="zh-CN"/>
                    </w:rPr>
                  </w:pPr>
                  <w:r>
                    <w:rPr>
                      <w:rFonts w:hint="eastAsia"/>
                      <w:b/>
                      <w:bCs/>
                      <w:u w:val="single"/>
                      <w:lang w:eastAsia="zh-CN"/>
                    </w:rPr>
                    <w:t>风机</w:t>
                  </w:r>
                </w:p>
              </w:tc>
              <w:tc>
                <w:tcPr>
                  <w:tcW w:w="2277" w:type="dxa"/>
                  <w:tcBorders>
                    <w:tl2br w:val="nil"/>
                    <w:tr2bl w:val="nil"/>
                  </w:tcBorders>
                  <w:shd w:val="clear" w:color="auto" w:fill="auto"/>
                  <w:vAlign w:val="center"/>
                </w:tcPr>
                <w:p w14:paraId="2E45911E">
                  <w:pPr>
                    <w:pStyle w:val="45"/>
                    <w:rPr>
                      <w:rFonts w:hint="eastAsia" w:eastAsia="宋体"/>
                      <w:b/>
                      <w:bCs/>
                      <w:u w:val="single"/>
                      <w:lang w:val="en-US" w:eastAsia="zh-CN"/>
                    </w:rPr>
                  </w:pPr>
                  <w:r>
                    <w:rPr>
                      <w:rFonts w:hint="eastAsia"/>
                      <w:b/>
                      <w:bCs/>
                      <w:u w:val="single"/>
                      <w:lang w:val="en-US" w:eastAsia="zh-CN"/>
                    </w:rPr>
                    <w:t>/</w:t>
                  </w:r>
                </w:p>
              </w:tc>
              <w:tc>
                <w:tcPr>
                  <w:tcW w:w="1564" w:type="dxa"/>
                  <w:tcBorders>
                    <w:tl2br w:val="nil"/>
                    <w:tr2bl w:val="nil"/>
                  </w:tcBorders>
                  <w:shd w:val="clear" w:color="auto" w:fill="auto"/>
                  <w:vAlign w:val="center"/>
                </w:tcPr>
                <w:p w14:paraId="07DF52F5">
                  <w:pPr>
                    <w:pStyle w:val="45"/>
                    <w:ind w:firstLine="0" w:firstLineChars="0"/>
                    <w:rPr>
                      <w:rFonts w:hint="default"/>
                      <w:b/>
                      <w:bCs/>
                      <w:u w:val="single"/>
                    </w:rPr>
                  </w:pPr>
                  <w:r>
                    <w:rPr>
                      <w:rFonts w:hint="default"/>
                      <w:b/>
                      <w:bCs/>
                      <w:u w:val="single"/>
                    </w:rPr>
                    <w:t>-</w:t>
                  </w:r>
                  <w:r>
                    <w:rPr>
                      <w:rFonts w:hint="eastAsia"/>
                      <w:b/>
                      <w:bCs/>
                      <w:u w:val="single"/>
                      <w:lang w:val="en-US" w:eastAsia="zh-CN"/>
                    </w:rPr>
                    <w:t>62</w:t>
                  </w:r>
                  <w:r>
                    <w:rPr>
                      <w:rFonts w:hint="default"/>
                      <w:b/>
                      <w:bCs/>
                      <w:u w:val="single"/>
                    </w:rPr>
                    <w:t>.6</w:t>
                  </w:r>
                </w:p>
              </w:tc>
              <w:tc>
                <w:tcPr>
                  <w:tcW w:w="1452" w:type="dxa"/>
                  <w:tcBorders>
                    <w:tl2br w:val="nil"/>
                    <w:tr2bl w:val="nil"/>
                  </w:tcBorders>
                  <w:shd w:val="clear" w:color="auto" w:fill="auto"/>
                  <w:vAlign w:val="center"/>
                </w:tcPr>
                <w:p w14:paraId="35622F37">
                  <w:pPr>
                    <w:pStyle w:val="45"/>
                    <w:ind w:firstLine="0" w:firstLineChars="0"/>
                    <w:rPr>
                      <w:rFonts w:hint="default"/>
                      <w:b/>
                      <w:bCs/>
                      <w:u w:val="single"/>
                    </w:rPr>
                  </w:pPr>
                  <w:r>
                    <w:rPr>
                      <w:rFonts w:hint="default"/>
                      <w:b/>
                      <w:bCs/>
                      <w:u w:val="single"/>
                    </w:rPr>
                    <w:t>-1</w:t>
                  </w:r>
                  <w:r>
                    <w:rPr>
                      <w:rFonts w:hint="eastAsia"/>
                      <w:b/>
                      <w:bCs/>
                      <w:u w:val="single"/>
                      <w:lang w:val="en-US" w:eastAsia="zh-CN"/>
                    </w:rPr>
                    <w:t>4</w:t>
                  </w:r>
                  <w:r>
                    <w:rPr>
                      <w:rFonts w:hint="default"/>
                      <w:b/>
                      <w:bCs/>
                      <w:u w:val="single"/>
                    </w:rPr>
                    <w:t>.06</w:t>
                  </w:r>
                </w:p>
              </w:tc>
              <w:tc>
                <w:tcPr>
                  <w:tcW w:w="1452" w:type="dxa"/>
                  <w:tcBorders>
                    <w:tl2br w:val="nil"/>
                    <w:tr2bl w:val="nil"/>
                  </w:tcBorders>
                  <w:shd w:val="clear" w:color="auto" w:fill="auto"/>
                  <w:vAlign w:val="center"/>
                </w:tcPr>
                <w:p w14:paraId="6E7A4B51">
                  <w:pPr>
                    <w:pStyle w:val="45"/>
                    <w:rPr>
                      <w:rFonts w:hint="eastAsia" w:eastAsia="宋体"/>
                      <w:b/>
                      <w:bCs/>
                      <w:u w:val="single"/>
                      <w:lang w:val="en-US" w:eastAsia="zh-CN"/>
                    </w:rPr>
                  </w:pPr>
                  <w:r>
                    <w:rPr>
                      <w:rFonts w:hint="eastAsia"/>
                      <w:b/>
                      <w:bCs/>
                      <w:u w:val="single"/>
                      <w:lang w:val="en-US" w:eastAsia="zh-CN"/>
                    </w:rPr>
                    <w:t>1</w:t>
                  </w:r>
                </w:p>
              </w:tc>
              <w:tc>
                <w:tcPr>
                  <w:tcW w:w="1920" w:type="dxa"/>
                  <w:tcBorders>
                    <w:tl2br w:val="nil"/>
                    <w:tr2bl w:val="nil"/>
                  </w:tcBorders>
                  <w:shd w:val="clear" w:color="auto" w:fill="auto"/>
                  <w:noWrap/>
                  <w:vAlign w:val="center"/>
                </w:tcPr>
                <w:p w14:paraId="10640419">
                  <w:pPr>
                    <w:pStyle w:val="45"/>
                    <w:rPr>
                      <w:rFonts w:hint="default" w:eastAsia="宋体"/>
                      <w:b/>
                      <w:bCs/>
                      <w:u w:val="single"/>
                      <w:lang w:val="en-US" w:eastAsia="zh-CN"/>
                    </w:rPr>
                  </w:pPr>
                  <w:r>
                    <w:rPr>
                      <w:rFonts w:hint="eastAsia"/>
                      <w:b/>
                      <w:bCs/>
                      <w:u w:val="single"/>
                      <w:lang w:val="en-US" w:eastAsia="zh-CN"/>
                    </w:rPr>
                    <w:t>80</w:t>
                  </w:r>
                </w:p>
              </w:tc>
              <w:tc>
                <w:tcPr>
                  <w:tcW w:w="1110" w:type="dxa"/>
                  <w:tcBorders>
                    <w:tl2br w:val="nil"/>
                    <w:tr2bl w:val="nil"/>
                  </w:tcBorders>
                  <w:shd w:val="clear" w:color="auto" w:fill="auto"/>
                  <w:noWrap/>
                  <w:vAlign w:val="center"/>
                </w:tcPr>
                <w:p w14:paraId="4F5AA249">
                  <w:pPr>
                    <w:pStyle w:val="45"/>
                    <w:ind w:firstLine="0" w:firstLineChars="0"/>
                    <w:rPr>
                      <w:rFonts w:hint="default" w:ascii="Times New Roman" w:hAnsi="Times New Roman" w:eastAsia="宋体" w:cs="Times New Roman"/>
                      <w:b/>
                      <w:bCs/>
                      <w:kern w:val="2"/>
                      <w:sz w:val="18"/>
                      <w:szCs w:val="21"/>
                      <w:u w:val="single"/>
                      <w:lang w:val="en-US" w:eastAsia="zh-CN" w:bidi="ar-SA"/>
                    </w:rPr>
                  </w:pPr>
                  <w:r>
                    <w:rPr>
                      <w:b/>
                      <w:bCs/>
                      <w:u w:val="single"/>
                    </w:rPr>
                    <w:t>减振、消声</w:t>
                  </w:r>
                </w:p>
              </w:tc>
              <w:tc>
                <w:tcPr>
                  <w:tcW w:w="1515" w:type="dxa"/>
                  <w:tcBorders>
                    <w:tl2br w:val="nil"/>
                    <w:tr2bl w:val="nil"/>
                  </w:tcBorders>
                  <w:shd w:val="clear" w:color="auto" w:fill="auto"/>
                  <w:noWrap/>
                  <w:vAlign w:val="center"/>
                </w:tcPr>
                <w:p w14:paraId="0EB32CAE">
                  <w:pPr>
                    <w:pStyle w:val="45"/>
                    <w:rPr>
                      <w:b/>
                      <w:bCs/>
                      <w:u w:val="single"/>
                    </w:rPr>
                  </w:pPr>
                  <w:r>
                    <w:rPr>
                      <w:b/>
                      <w:bCs/>
                      <w:u w:val="single"/>
                    </w:rPr>
                    <w:t>昼夜</w:t>
                  </w:r>
                </w:p>
              </w:tc>
            </w:tr>
          </w:tbl>
          <w:p w14:paraId="0A3B4089">
            <w:pPr>
              <w:pStyle w:val="44"/>
              <w:rPr>
                <w:rFonts w:hint="default"/>
                <w:b w:val="0"/>
                <w:bCs w:val="0"/>
                <w:u w:val="none"/>
              </w:rPr>
            </w:pPr>
          </w:p>
        </w:tc>
      </w:tr>
    </w:tbl>
    <w:p w14:paraId="0B905119">
      <w:pPr>
        <w:rPr>
          <w:b w:val="0"/>
          <w:bCs w:val="0"/>
          <w:u w:val="none"/>
        </w:rPr>
        <w:sectPr>
          <w:pgSz w:w="16838" w:h="11906" w:orient="landscape"/>
          <w:pgMar w:top="1803" w:right="1440" w:bottom="1803" w:left="1440" w:header="851" w:footer="992" w:gutter="0"/>
          <w:cols w:space="0" w:num="1"/>
          <w:docGrid w:type="lines" w:linePitch="332" w:charSpace="0"/>
        </w:sectPr>
      </w:pPr>
    </w:p>
    <w:tbl>
      <w:tblPr>
        <w:tblStyle w:val="27"/>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8256"/>
      </w:tblGrid>
      <w:tr w14:paraId="031AF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734" w:type="dxa"/>
            <w:tcBorders>
              <w:top w:val="single" w:color="auto" w:sz="4" w:space="0"/>
              <w:left w:val="single" w:color="auto" w:sz="8" w:space="0"/>
              <w:bottom w:val="single" w:color="auto" w:sz="8" w:space="0"/>
              <w:right w:val="single" w:color="auto" w:sz="4" w:space="0"/>
            </w:tcBorders>
            <w:vAlign w:val="center"/>
          </w:tcPr>
          <w:p w14:paraId="071A7131">
            <w:pPr>
              <w:rPr>
                <w:b w:val="0"/>
                <w:bCs w:val="0"/>
                <w:u w:val="none"/>
              </w:rPr>
            </w:pPr>
            <w:r>
              <w:rPr>
                <w:rFonts w:hint="eastAsia"/>
                <w:b w:val="0"/>
                <w:bCs w:val="0"/>
                <w:u w:val="none"/>
              </w:rPr>
              <w:t>运营期环境影响和保护措施</w:t>
            </w:r>
          </w:p>
        </w:tc>
        <w:tc>
          <w:tcPr>
            <w:tcW w:w="8256" w:type="dxa"/>
            <w:tcBorders>
              <w:top w:val="single" w:color="auto" w:sz="4" w:space="0"/>
              <w:left w:val="single" w:color="auto" w:sz="4" w:space="0"/>
              <w:bottom w:val="single" w:color="auto" w:sz="8" w:space="0"/>
              <w:right w:val="single" w:color="auto" w:sz="8" w:space="0"/>
            </w:tcBorders>
            <w:vAlign w:val="center"/>
          </w:tcPr>
          <w:p w14:paraId="1C751522">
            <w:pPr>
              <w:pStyle w:val="6"/>
              <w:numPr>
                <w:ilvl w:val="2"/>
                <w:numId w:val="3"/>
              </w:numPr>
              <w:rPr>
                <w:b w:val="0"/>
                <w:bCs w:val="0"/>
                <w:u w:val="none"/>
              </w:rPr>
            </w:pPr>
            <w:r>
              <w:rPr>
                <w:b w:val="0"/>
                <w:bCs w:val="0"/>
                <w:u w:val="none"/>
              </w:rPr>
              <w:t xml:space="preserve">噪声环境影响分析 </w:t>
            </w:r>
          </w:p>
          <w:p w14:paraId="52B872E5">
            <w:pPr>
              <w:pStyle w:val="5"/>
              <w:rPr>
                <w:rFonts w:hint="default"/>
                <w:b w:val="0"/>
                <w:bCs w:val="0"/>
                <w:u w:val="none"/>
              </w:rPr>
            </w:pPr>
            <w:r>
              <w:rPr>
                <w:rFonts w:hint="default"/>
                <w:b w:val="0"/>
                <w:bCs w:val="0"/>
                <w:u w:val="none"/>
              </w:rPr>
              <w:t>采用《环境影响评价技术导则 声环境》（HJ2.4-2021）中预测计算模型，预测方法为：</w:t>
            </w:r>
          </w:p>
          <w:p w14:paraId="091CA837">
            <w:pPr>
              <w:pStyle w:val="5"/>
              <w:rPr>
                <w:rFonts w:hint="default"/>
                <w:b w:val="0"/>
                <w:bCs w:val="0"/>
                <w:u w:val="none"/>
              </w:rPr>
            </w:pPr>
            <w:r>
              <w:rPr>
                <w:rFonts w:hint="default"/>
                <w:b w:val="0"/>
                <w:bCs w:val="0"/>
                <w:u w:val="none"/>
              </w:rPr>
              <w:t>（1）预测方法</w:t>
            </w:r>
          </w:p>
          <w:p w14:paraId="2B6E0479">
            <w:pPr>
              <w:pStyle w:val="5"/>
              <w:rPr>
                <w:rFonts w:hint="default"/>
                <w:b w:val="0"/>
                <w:bCs w:val="0"/>
                <w:u w:val="none"/>
              </w:rPr>
            </w:pPr>
            <w:r>
              <w:rPr>
                <w:rFonts w:hint="default"/>
                <w:b w:val="0"/>
                <w:bCs w:val="0"/>
                <w:u w:val="none"/>
              </w:rPr>
              <w:t>a.声源描述</w:t>
            </w:r>
          </w:p>
          <w:p w14:paraId="36AE5C2A">
            <w:pPr>
              <w:pStyle w:val="5"/>
              <w:rPr>
                <w:rFonts w:hint="default"/>
                <w:b w:val="0"/>
                <w:bCs w:val="0"/>
                <w:u w:val="none"/>
              </w:rPr>
            </w:pPr>
            <w:r>
              <w:rPr>
                <w:rFonts w:hint="default"/>
                <w:b w:val="0"/>
                <w:bCs w:val="0"/>
                <w:u w:val="none"/>
              </w:rPr>
              <w:t>声环境影响预测，一般采用声源的倍频带声功率级、A声功率级或靠近声源某一位置的倍频带声压级、A声级来预测计算距声源不同距离的声级。声源有室外和室内两种声源，应分别计算。</w:t>
            </w:r>
          </w:p>
          <w:p w14:paraId="5A1298AA">
            <w:pPr>
              <w:pStyle w:val="5"/>
              <w:rPr>
                <w:rFonts w:hint="default"/>
                <w:b w:val="0"/>
                <w:bCs w:val="0"/>
                <w:u w:val="none"/>
              </w:rPr>
            </w:pPr>
            <w:r>
              <w:rPr>
                <w:rFonts w:hint="default"/>
                <w:b w:val="0"/>
                <w:bCs w:val="0"/>
                <w:u w:val="none"/>
              </w:rPr>
              <w:t>b.室外声源在预测点产生的声级计算</w:t>
            </w:r>
          </w:p>
          <w:p w14:paraId="167790B2">
            <w:pPr>
              <w:pStyle w:val="5"/>
              <w:rPr>
                <w:rFonts w:hint="default"/>
                <w:b w:val="0"/>
                <w:bCs w:val="0"/>
                <w:u w:val="none"/>
              </w:rPr>
            </w:pPr>
            <w:r>
              <w:rPr>
                <w:rFonts w:hint="default"/>
                <w:b w:val="0"/>
                <w:bCs w:val="0"/>
                <w:u w:val="none"/>
              </w:rPr>
              <w:t>按照无指向性点声源几何发散衰减进行计算：</w:t>
            </w:r>
          </w:p>
          <w:p w14:paraId="03F6B577">
            <w:pPr>
              <w:pStyle w:val="5"/>
              <w:ind w:firstLine="0" w:firstLineChars="0"/>
              <w:jc w:val="center"/>
              <w:rPr>
                <w:rFonts w:hint="default"/>
                <w:b w:val="0"/>
                <w:bCs w:val="0"/>
                <w:u w:val="none"/>
              </w:rPr>
            </w:pPr>
            <w:r>
              <w:rPr>
                <w:rFonts w:hint="default"/>
                <w:b w:val="0"/>
                <w:bCs w:val="0"/>
                <w:u w:val="none"/>
              </w:rPr>
              <w:drawing>
                <wp:inline distT="0" distB="0" distL="114300" distR="114300">
                  <wp:extent cx="1828800" cy="285750"/>
                  <wp:effectExtent l="0" t="0" r="0" b="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15"/>
                          <a:stretch>
                            <a:fillRect/>
                          </a:stretch>
                        </pic:blipFill>
                        <pic:spPr>
                          <a:xfrm>
                            <a:off x="0" y="0"/>
                            <a:ext cx="1828800" cy="285750"/>
                          </a:xfrm>
                          <a:prstGeom prst="rect">
                            <a:avLst/>
                          </a:prstGeom>
                          <a:noFill/>
                          <a:ln w="9525">
                            <a:noFill/>
                          </a:ln>
                        </pic:spPr>
                      </pic:pic>
                    </a:graphicData>
                  </a:graphic>
                </wp:inline>
              </w:drawing>
            </w:r>
          </w:p>
          <w:p w14:paraId="2A9C3D92">
            <w:pPr>
              <w:pStyle w:val="5"/>
              <w:rPr>
                <w:rFonts w:hint="default"/>
                <w:b w:val="0"/>
                <w:bCs w:val="0"/>
                <w:u w:val="none"/>
              </w:rPr>
            </w:pPr>
            <w:r>
              <w:rPr>
                <w:rFonts w:hint="default"/>
                <w:b w:val="0"/>
                <w:bCs w:val="0"/>
                <w:u w:val="none"/>
              </w:rPr>
              <w:t>式中，Lp（r）——预测点处声压级，dB；</w:t>
            </w:r>
          </w:p>
          <w:p w14:paraId="46F2CB60">
            <w:pPr>
              <w:pStyle w:val="5"/>
              <w:rPr>
                <w:rFonts w:hint="default"/>
                <w:b w:val="0"/>
                <w:bCs w:val="0"/>
                <w:u w:val="none"/>
              </w:rPr>
            </w:pPr>
            <w:r>
              <w:rPr>
                <w:rFonts w:hint="default"/>
                <w:b w:val="0"/>
                <w:bCs w:val="0"/>
                <w:u w:val="none"/>
              </w:rPr>
              <w:t>Lp（r0）——参考位置r0处的声压级，dB；</w:t>
            </w:r>
          </w:p>
          <w:p w14:paraId="6B710AB3">
            <w:pPr>
              <w:pStyle w:val="5"/>
              <w:rPr>
                <w:rFonts w:hint="default"/>
                <w:b w:val="0"/>
                <w:bCs w:val="0"/>
                <w:u w:val="none"/>
              </w:rPr>
            </w:pPr>
            <w:r>
              <w:rPr>
                <w:rFonts w:hint="default"/>
                <w:b w:val="0"/>
                <w:bCs w:val="0"/>
                <w:u w:val="none"/>
              </w:rPr>
              <w:t>r——预测点距声源的距离，m；</w:t>
            </w:r>
          </w:p>
          <w:p w14:paraId="6AB45349">
            <w:pPr>
              <w:pStyle w:val="5"/>
              <w:rPr>
                <w:rFonts w:hint="default"/>
                <w:b w:val="0"/>
                <w:bCs w:val="0"/>
                <w:u w:val="none"/>
              </w:rPr>
            </w:pPr>
            <w:r>
              <w:rPr>
                <w:rFonts w:hint="default"/>
                <w:b w:val="0"/>
                <w:bCs w:val="0"/>
                <w:u w:val="none"/>
              </w:rPr>
              <w:t>r0——参考位置距声源的距离，m。</w:t>
            </w:r>
          </w:p>
          <w:p w14:paraId="22EC04D8">
            <w:pPr>
              <w:pStyle w:val="5"/>
              <w:rPr>
                <w:rFonts w:hint="default"/>
                <w:b w:val="0"/>
                <w:bCs w:val="0"/>
                <w:u w:val="none"/>
              </w:rPr>
            </w:pPr>
            <w:r>
              <w:rPr>
                <w:rFonts w:hint="default"/>
                <w:b w:val="0"/>
                <w:bCs w:val="0"/>
                <w:u w:val="none"/>
              </w:rPr>
              <w:t>c.室内声源等效室外声源声功率级计算</w:t>
            </w:r>
          </w:p>
          <w:p w14:paraId="53828678">
            <w:pPr>
              <w:pStyle w:val="5"/>
              <w:rPr>
                <w:rFonts w:hint="default"/>
                <w:b w:val="0"/>
                <w:bCs w:val="0"/>
                <w:u w:val="none"/>
              </w:rPr>
            </w:pPr>
            <w:r>
              <w:rPr>
                <w:rFonts w:hint="default"/>
                <w:b w:val="0"/>
                <w:bCs w:val="0"/>
                <w:u w:val="none"/>
              </w:rPr>
              <w:t>如</w:t>
            </w:r>
            <w:r>
              <w:rPr>
                <w:b w:val="0"/>
                <w:bCs w:val="0"/>
                <w:u w:val="none"/>
              </w:rPr>
              <w:t>下图</w:t>
            </w:r>
            <w:r>
              <w:rPr>
                <w:rFonts w:hint="default"/>
                <w:b w:val="0"/>
                <w:bCs w:val="0"/>
                <w:u w:val="none"/>
              </w:rPr>
              <w:t>所示，声源位于室内，室内声源可采用等效室外声源声功率级法进行计算。设靠近开口处（或窗户）室内、室外某倍频带的声压级分别为Lp1和Lp2，若声源所在室内声场为近似扩散声场，则室外倍频带声压级按下式计算：</w:t>
            </w:r>
          </w:p>
          <w:p w14:paraId="516D85AE">
            <w:pPr>
              <w:pStyle w:val="5"/>
              <w:ind w:firstLine="0" w:firstLineChars="0"/>
              <w:jc w:val="center"/>
              <w:rPr>
                <w:rFonts w:hint="default"/>
                <w:b w:val="0"/>
                <w:bCs w:val="0"/>
                <w:u w:val="none"/>
              </w:rPr>
            </w:pPr>
            <w:r>
              <w:rPr>
                <w:rFonts w:hint="default"/>
                <w:b w:val="0"/>
                <w:bCs w:val="0"/>
                <w:u w:val="none"/>
              </w:rPr>
              <w:drawing>
                <wp:inline distT="0" distB="0" distL="114300" distR="114300">
                  <wp:extent cx="1190625" cy="285750"/>
                  <wp:effectExtent l="0" t="0" r="9525" b="0"/>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16"/>
                          <a:stretch>
                            <a:fillRect/>
                          </a:stretch>
                        </pic:blipFill>
                        <pic:spPr>
                          <a:xfrm>
                            <a:off x="0" y="0"/>
                            <a:ext cx="1190625" cy="285750"/>
                          </a:xfrm>
                          <a:prstGeom prst="rect">
                            <a:avLst/>
                          </a:prstGeom>
                          <a:noFill/>
                          <a:ln w="9525">
                            <a:noFill/>
                          </a:ln>
                        </pic:spPr>
                      </pic:pic>
                    </a:graphicData>
                  </a:graphic>
                </wp:inline>
              </w:drawing>
            </w:r>
          </w:p>
          <w:p w14:paraId="71AE471D">
            <w:pPr>
              <w:pStyle w:val="5"/>
              <w:rPr>
                <w:rFonts w:hint="default"/>
                <w:b w:val="0"/>
                <w:bCs w:val="0"/>
                <w:u w:val="none"/>
              </w:rPr>
            </w:pPr>
            <w:r>
              <w:rPr>
                <w:rFonts w:hint="default"/>
                <w:b w:val="0"/>
                <w:bCs w:val="0"/>
                <w:u w:val="none"/>
              </w:rPr>
              <w:t>式中，Lp1——靠近开口处（或窗户）室内某倍频带的声压级或A声级，dB；</w:t>
            </w:r>
          </w:p>
          <w:p w14:paraId="45EB1ABF">
            <w:pPr>
              <w:pStyle w:val="5"/>
              <w:rPr>
                <w:rFonts w:hint="default"/>
                <w:b w:val="0"/>
                <w:bCs w:val="0"/>
                <w:u w:val="none"/>
              </w:rPr>
            </w:pPr>
            <w:r>
              <w:rPr>
                <w:rFonts w:hint="default"/>
                <w:b w:val="0"/>
                <w:bCs w:val="0"/>
                <w:u w:val="none"/>
              </w:rPr>
              <w:t>Lp2——靠近开口处（或窗户）室外某倍频带的声压级或A声级，dB；</w:t>
            </w:r>
          </w:p>
          <w:p w14:paraId="676DEAED">
            <w:pPr>
              <w:pStyle w:val="5"/>
              <w:rPr>
                <w:rFonts w:hint="default"/>
                <w:b w:val="0"/>
                <w:bCs w:val="0"/>
                <w:u w:val="none"/>
              </w:rPr>
            </w:pPr>
            <w:r>
              <w:rPr>
                <w:rFonts w:hint="default"/>
                <w:b w:val="0"/>
                <w:bCs w:val="0"/>
                <w:u w:val="none"/>
              </w:rPr>
              <w:t>TL——隔墙（或窗户）倍频带或A声级的隔声量，dB。</w:t>
            </w:r>
          </w:p>
          <w:p w14:paraId="7EDA6242">
            <w:pPr>
              <w:pStyle w:val="5"/>
              <w:ind w:firstLine="0" w:firstLineChars="0"/>
              <w:jc w:val="center"/>
              <w:rPr>
                <w:rFonts w:hint="default"/>
                <w:b w:val="0"/>
                <w:bCs w:val="0"/>
                <w:u w:val="none"/>
              </w:rPr>
            </w:pPr>
            <w:r>
              <w:rPr>
                <w:rFonts w:hint="default"/>
                <w:b w:val="0"/>
                <w:bCs w:val="0"/>
                <w:u w:val="none"/>
              </w:rPr>
              <w:drawing>
                <wp:inline distT="0" distB="0" distL="114300" distR="114300">
                  <wp:extent cx="2771775" cy="1343025"/>
                  <wp:effectExtent l="0" t="0" r="9525" b="9525"/>
                  <wp:docPr id="11"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8"/>
                          <pic:cNvPicPr>
                            <a:picLocks noChangeAspect="1"/>
                          </pic:cNvPicPr>
                        </pic:nvPicPr>
                        <pic:blipFill>
                          <a:blip r:embed="rId17"/>
                          <a:stretch>
                            <a:fillRect/>
                          </a:stretch>
                        </pic:blipFill>
                        <pic:spPr>
                          <a:xfrm>
                            <a:off x="0" y="0"/>
                            <a:ext cx="2771775" cy="1343025"/>
                          </a:xfrm>
                          <a:prstGeom prst="rect">
                            <a:avLst/>
                          </a:prstGeom>
                          <a:noFill/>
                          <a:ln w="9525">
                            <a:noFill/>
                          </a:ln>
                        </pic:spPr>
                      </pic:pic>
                    </a:graphicData>
                  </a:graphic>
                </wp:inline>
              </w:drawing>
            </w:r>
          </w:p>
          <w:p w14:paraId="1AF867DA">
            <w:pPr>
              <w:pStyle w:val="5"/>
              <w:rPr>
                <w:rFonts w:hint="default"/>
                <w:b w:val="0"/>
                <w:bCs w:val="0"/>
                <w:u w:val="none"/>
              </w:rPr>
            </w:pPr>
            <w:r>
              <w:rPr>
                <w:rFonts w:hint="default"/>
                <w:b w:val="0"/>
                <w:bCs w:val="0"/>
                <w:u w:val="none"/>
              </w:rPr>
              <w:t>某一室内声源靠近围护结构处产生的倍频带声压级或A声级按下式计算：</w:t>
            </w:r>
          </w:p>
          <w:p w14:paraId="46B4E2FF">
            <w:pPr>
              <w:pStyle w:val="5"/>
              <w:ind w:firstLine="0" w:firstLineChars="0"/>
              <w:jc w:val="center"/>
              <w:rPr>
                <w:rFonts w:hint="default"/>
                <w:b w:val="0"/>
                <w:bCs w:val="0"/>
                <w:u w:val="none"/>
              </w:rPr>
            </w:pPr>
            <w:r>
              <w:rPr>
                <w:rFonts w:hint="default"/>
                <w:b w:val="0"/>
                <w:bCs w:val="0"/>
                <w:u w:val="none"/>
              </w:rPr>
              <w:drawing>
                <wp:inline distT="0" distB="0" distL="114300" distR="114300">
                  <wp:extent cx="1743075" cy="466725"/>
                  <wp:effectExtent l="0" t="0" r="9525" b="9525"/>
                  <wp:docPr id="9"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9"/>
                          <pic:cNvPicPr>
                            <a:picLocks noChangeAspect="1"/>
                          </pic:cNvPicPr>
                        </pic:nvPicPr>
                        <pic:blipFill>
                          <a:blip r:embed="rId18"/>
                          <a:stretch>
                            <a:fillRect/>
                          </a:stretch>
                        </pic:blipFill>
                        <pic:spPr>
                          <a:xfrm>
                            <a:off x="0" y="0"/>
                            <a:ext cx="1743075" cy="466725"/>
                          </a:xfrm>
                          <a:prstGeom prst="rect">
                            <a:avLst/>
                          </a:prstGeom>
                          <a:noFill/>
                          <a:ln w="9525">
                            <a:noFill/>
                          </a:ln>
                        </pic:spPr>
                      </pic:pic>
                    </a:graphicData>
                  </a:graphic>
                </wp:inline>
              </w:drawing>
            </w:r>
          </w:p>
          <w:p w14:paraId="24753172">
            <w:pPr>
              <w:pStyle w:val="5"/>
              <w:rPr>
                <w:rFonts w:hint="default"/>
                <w:b w:val="0"/>
                <w:bCs w:val="0"/>
                <w:u w:val="none"/>
              </w:rPr>
            </w:pPr>
            <w:r>
              <w:rPr>
                <w:rFonts w:hint="default"/>
                <w:b w:val="0"/>
                <w:bCs w:val="0"/>
                <w:u w:val="none"/>
              </w:rPr>
              <w:t>式中，Lw——点声源声功率级（A计权或倍频带），dB；</w:t>
            </w:r>
          </w:p>
          <w:p w14:paraId="3EF6AFF7">
            <w:pPr>
              <w:pStyle w:val="5"/>
              <w:rPr>
                <w:rFonts w:hint="default"/>
                <w:b w:val="0"/>
                <w:bCs w:val="0"/>
                <w:u w:val="none"/>
              </w:rPr>
            </w:pPr>
            <w:r>
              <w:rPr>
                <w:rFonts w:hint="default"/>
                <w:b w:val="0"/>
                <w:bCs w:val="0"/>
                <w:u w:val="none"/>
              </w:rPr>
              <w:t>Q——指向性因数；通常对无指向性声源，当声源放在房间中心时，Q=1；当放在一面墙的中心时，Q=2；当放在两面墙夹角处时，Q=4；当放在三面墙夹角处时，Q=8；</w:t>
            </w:r>
          </w:p>
          <w:p w14:paraId="18C9707F">
            <w:pPr>
              <w:pStyle w:val="5"/>
              <w:rPr>
                <w:rFonts w:hint="default"/>
                <w:b w:val="0"/>
                <w:bCs w:val="0"/>
                <w:u w:val="none"/>
              </w:rPr>
            </w:pPr>
            <w:r>
              <w:rPr>
                <w:rFonts w:hint="default"/>
                <w:b w:val="0"/>
                <w:bCs w:val="0"/>
                <w:u w:val="none"/>
              </w:rPr>
              <w:t>R——房间常数；R=Sα/（1-α），S为房间内表面面积，m2；α为平均吸声系数，取0.03；</w:t>
            </w:r>
          </w:p>
          <w:p w14:paraId="02ED82D8">
            <w:pPr>
              <w:pStyle w:val="5"/>
              <w:rPr>
                <w:rFonts w:hint="default"/>
                <w:b w:val="0"/>
                <w:bCs w:val="0"/>
                <w:u w:val="none"/>
              </w:rPr>
            </w:pPr>
            <w:r>
              <w:rPr>
                <w:rFonts w:hint="default"/>
                <w:b w:val="0"/>
                <w:bCs w:val="0"/>
                <w:u w:val="none"/>
              </w:rPr>
              <w:t>r——声源到靠近围护结构某点处的距离，m。</w:t>
            </w:r>
          </w:p>
          <w:p w14:paraId="6CC14F9D">
            <w:pPr>
              <w:pStyle w:val="5"/>
              <w:rPr>
                <w:rFonts w:hint="default"/>
                <w:b w:val="0"/>
                <w:bCs w:val="0"/>
                <w:u w:val="none"/>
              </w:rPr>
            </w:pPr>
            <w:r>
              <w:rPr>
                <w:rFonts w:hint="default"/>
                <w:b w:val="0"/>
                <w:bCs w:val="0"/>
                <w:u w:val="none"/>
              </w:rPr>
              <w:t>然后按下式计算出所有室内声源在围护结构处产生的i 倍频带叠加声压级：</w:t>
            </w:r>
          </w:p>
          <w:p w14:paraId="4F182E40">
            <w:pPr>
              <w:pStyle w:val="5"/>
              <w:ind w:firstLine="0" w:firstLineChars="0"/>
              <w:jc w:val="center"/>
              <w:rPr>
                <w:rFonts w:hint="default"/>
                <w:b w:val="0"/>
                <w:bCs w:val="0"/>
                <w:u w:val="none"/>
              </w:rPr>
            </w:pPr>
            <w:r>
              <w:rPr>
                <w:rFonts w:hint="default"/>
                <w:b w:val="0"/>
                <w:bCs w:val="0"/>
                <w:u w:val="none"/>
              </w:rPr>
              <w:drawing>
                <wp:inline distT="0" distB="0" distL="114300" distR="114300">
                  <wp:extent cx="1743075" cy="466725"/>
                  <wp:effectExtent l="0" t="0" r="9525" b="9525"/>
                  <wp:docPr id="13"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60"/>
                          <pic:cNvPicPr>
                            <a:picLocks noChangeAspect="1"/>
                          </pic:cNvPicPr>
                        </pic:nvPicPr>
                        <pic:blipFill>
                          <a:blip r:embed="rId19"/>
                          <a:stretch>
                            <a:fillRect/>
                          </a:stretch>
                        </pic:blipFill>
                        <pic:spPr>
                          <a:xfrm>
                            <a:off x="0" y="0"/>
                            <a:ext cx="1743075" cy="466725"/>
                          </a:xfrm>
                          <a:prstGeom prst="rect">
                            <a:avLst/>
                          </a:prstGeom>
                          <a:noFill/>
                          <a:ln w="9525">
                            <a:noFill/>
                          </a:ln>
                        </pic:spPr>
                      </pic:pic>
                    </a:graphicData>
                  </a:graphic>
                </wp:inline>
              </w:drawing>
            </w:r>
          </w:p>
          <w:p w14:paraId="6DB33386">
            <w:pPr>
              <w:pStyle w:val="5"/>
              <w:rPr>
                <w:rFonts w:hint="default"/>
                <w:b w:val="0"/>
                <w:bCs w:val="0"/>
                <w:u w:val="none"/>
              </w:rPr>
            </w:pPr>
            <w:r>
              <w:rPr>
                <w:rFonts w:hint="default"/>
                <w:b w:val="0"/>
                <w:bCs w:val="0"/>
                <w:u w:val="none"/>
              </w:rPr>
              <w:t>式中，Lp1i(T)——靠近围护结构处室内N个声源i倍频带的叠加声压级，dB；</w:t>
            </w:r>
          </w:p>
          <w:p w14:paraId="0ECC9990">
            <w:pPr>
              <w:pStyle w:val="5"/>
              <w:rPr>
                <w:rFonts w:hint="default"/>
                <w:b w:val="0"/>
                <w:bCs w:val="0"/>
                <w:u w:val="none"/>
              </w:rPr>
            </w:pPr>
            <w:r>
              <w:rPr>
                <w:rFonts w:hint="default"/>
                <w:b w:val="0"/>
                <w:bCs w:val="0"/>
                <w:u w:val="none"/>
              </w:rPr>
              <w:t>Lp1ij——室内j声源i倍频带的声压级，dB；</w:t>
            </w:r>
          </w:p>
          <w:p w14:paraId="5A2BE2C8">
            <w:pPr>
              <w:pStyle w:val="5"/>
              <w:rPr>
                <w:rFonts w:hint="default"/>
                <w:b w:val="0"/>
                <w:bCs w:val="0"/>
                <w:u w:val="none"/>
              </w:rPr>
            </w:pPr>
            <w:r>
              <w:rPr>
                <w:rFonts w:hint="default"/>
                <w:b w:val="0"/>
                <w:bCs w:val="0"/>
                <w:u w:val="none"/>
              </w:rPr>
              <w:t>N——室内声源总数。</w:t>
            </w:r>
          </w:p>
          <w:p w14:paraId="60A7F8B5">
            <w:pPr>
              <w:pStyle w:val="5"/>
              <w:rPr>
                <w:rFonts w:hint="default"/>
                <w:b w:val="0"/>
                <w:bCs w:val="0"/>
                <w:u w:val="none"/>
              </w:rPr>
            </w:pPr>
            <w:r>
              <w:rPr>
                <w:rFonts w:hint="default"/>
                <w:b w:val="0"/>
                <w:bCs w:val="0"/>
                <w:u w:val="none"/>
              </w:rPr>
              <w:t>d.靠近声源处的预测点噪声预测模型</w:t>
            </w:r>
          </w:p>
          <w:p w14:paraId="26FD20BB">
            <w:pPr>
              <w:pStyle w:val="5"/>
              <w:rPr>
                <w:rFonts w:hint="default"/>
                <w:b w:val="0"/>
                <w:bCs w:val="0"/>
                <w:u w:val="none"/>
              </w:rPr>
            </w:pPr>
            <w:r>
              <w:rPr>
                <w:rFonts w:hint="default"/>
                <w:b w:val="0"/>
                <w:bCs w:val="0"/>
                <w:u w:val="none"/>
              </w:rPr>
              <w:t>如预测点在靠近声源处，但不能满足点声源条件时，需按线声源或面声源模型计算。</w:t>
            </w:r>
          </w:p>
          <w:p w14:paraId="57DD6BC4">
            <w:pPr>
              <w:pStyle w:val="5"/>
              <w:rPr>
                <w:rFonts w:hint="default"/>
                <w:b w:val="0"/>
                <w:bCs w:val="0"/>
                <w:u w:val="none"/>
              </w:rPr>
            </w:pPr>
            <w:r>
              <w:rPr>
                <w:rFonts w:hint="default"/>
                <w:b w:val="0"/>
                <w:bCs w:val="0"/>
                <w:u w:val="none"/>
              </w:rPr>
              <w:t>e.噪声计算</w:t>
            </w:r>
          </w:p>
          <w:p w14:paraId="647C2321">
            <w:pPr>
              <w:pStyle w:val="5"/>
              <w:rPr>
                <w:rFonts w:hint="default"/>
                <w:b w:val="0"/>
                <w:bCs w:val="0"/>
                <w:u w:val="none"/>
              </w:rPr>
            </w:pPr>
            <w:r>
              <w:rPr>
                <w:rFonts w:hint="default"/>
                <w:b w:val="0"/>
                <w:bCs w:val="0"/>
                <w:u w:val="none"/>
              </w:rPr>
              <w:t>设第i个室外声源在预测点产生的A声级为LAi，在T时间内该声源工作时间为ti，第j个等效室外声源在预测点产生的A声级为LAj ，在T时间内该声源工作时间为tj，则拟建工程声源对预测点产生的贡献值（Leqg）为：</w:t>
            </w:r>
          </w:p>
          <w:p w14:paraId="095C9C88">
            <w:pPr>
              <w:pStyle w:val="5"/>
              <w:ind w:firstLine="0" w:firstLineChars="0"/>
              <w:jc w:val="center"/>
              <w:rPr>
                <w:rFonts w:hint="default"/>
                <w:b w:val="0"/>
                <w:bCs w:val="0"/>
                <w:u w:val="none"/>
              </w:rPr>
            </w:pPr>
            <w:r>
              <w:rPr>
                <w:rFonts w:hint="default"/>
                <w:b w:val="0"/>
                <w:bCs w:val="0"/>
                <w:u w:val="none"/>
              </w:rPr>
              <w:drawing>
                <wp:inline distT="0" distB="0" distL="114300" distR="114300">
                  <wp:extent cx="2657475" cy="466725"/>
                  <wp:effectExtent l="0" t="0" r="9525" b="9525"/>
                  <wp:docPr id="10" name="图片 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61"/>
                          <pic:cNvPicPr>
                            <a:picLocks noChangeAspect="1"/>
                          </pic:cNvPicPr>
                        </pic:nvPicPr>
                        <pic:blipFill>
                          <a:blip r:embed="rId20"/>
                          <a:stretch>
                            <a:fillRect/>
                          </a:stretch>
                        </pic:blipFill>
                        <pic:spPr>
                          <a:xfrm>
                            <a:off x="0" y="0"/>
                            <a:ext cx="2657475" cy="466725"/>
                          </a:xfrm>
                          <a:prstGeom prst="rect">
                            <a:avLst/>
                          </a:prstGeom>
                          <a:noFill/>
                          <a:ln w="9525">
                            <a:noFill/>
                          </a:ln>
                        </pic:spPr>
                      </pic:pic>
                    </a:graphicData>
                  </a:graphic>
                </wp:inline>
              </w:drawing>
            </w:r>
          </w:p>
          <w:p w14:paraId="40EDC454">
            <w:pPr>
              <w:pStyle w:val="5"/>
              <w:rPr>
                <w:rFonts w:hint="default"/>
                <w:b w:val="0"/>
                <w:bCs w:val="0"/>
                <w:u w:val="none"/>
              </w:rPr>
            </w:pPr>
            <w:r>
              <w:rPr>
                <w:rFonts w:hint="default"/>
                <w:b w:val="0"/>
                <w:bCs w:val="0"/>
                <w:u w:val="none"/>
              </w:rPr>
              <w:t>式中，Leqg——建设项目声源在预测点产生的噪声贡献值，dB；</w:t>
            </w:r>
          </w:p>
          <w:p w14:paraId="7C91A9D2">
            <w:pPr>
              <w:pStyle w:val="5"/>
              <w:rPr>
                <w:rFonts w:hint="default"/>
                <w:b w:val="0"/>
                <w:bCs w:val="0"/>
                <w:u w:val="none"/>
              </w:rPr>
            </w:pPr>
            <w:r>
              <w:rPr>
                <w:rFonts w:hint="default"/>
                <w:b w:val="0"/>
                <w:bCs w:val="0"/>
                <w:u w:val="none"/>
              </w:rPr>
              <w:t>T——用于计算等效声级的时间，s；</w:t>
            </w:r>
          </w:p>
          <w:p w14:paraId="7B2CDF49">
            <w:pPr>
              <w:pStyle w:val="5"/>
              <w:rPr>
                <w:rFonts w:hint="default"/>
                <w:b w:val="0"/>
                <w:bCs w:val="0"/>
                <w:u w:val="none"/>
              </w:rPr>
            </w:pPr>
            <w:r>
              <w:rPr>
                <w:rFonts w:hint="default"/>
                <w:b w:val="0"/>
                <w:bCs w:val="0"/>
                <w:u w:val="none"/>
              </w:rPr>
              <w:t>N——室外声源个数；</w:t>
            </w:r>
          </w:p>
          <w:p w14:paraId="037EF96C">
            <w:pPr>
              <w:pStyle w:val="5"/>
              <w:rPr>
                <w:rFonts w:hint="default"/>
                <w:b w:val="0"/>
                <w:bCs w:val="0"/>
                <w:u w:val="none"/>
              </w:rPr>
            </w:pPr>
            <w:r>
              <w:rPr>
                <w:rFonts w:hint="default"/>
                <w:b w:val="0"/>
                <w:bCs w:val="0"/>
                <w:u w:val="none"/>
              </w:rPr>
              <w:t>ti——在T时间内i声源工作时间，s；</w:t>
            </w:r>
          </w:p>
          <w:p w14:paraId="39334820">
            <w:pPr>
              <w:pStyle w:val="5"/>
              <w:rPr>
                <w:rFonts w:hint="default"/>
                <w:b w:val="0"/>
                <w:bCs w:val="0"/>
                <w:u w:val="none"/>
              </w:rPr>
            </w:pPr>
            <w:r>
              <w:rPr>
                <w:rFonts w:hint="default"/>
                <w:b w:val="0"/>
                <w:bCs w:val="0"/>
                <w:u w:val="none"/>
              </w:rPr>
              <w:t>M——等效室外声源个数；</w:t>
            </w:r>
          </w:p>
          <w:p w14:paraId="7F62CDAF">
            <w:pPr>
              <w:pStyle w:val="5"/>
              <w:rPr>
                <w:rFonts w:hint="default"/>
                <w:b w:val="0"/>
                <w:bCs w:val="0"/>
                <w:u w:val="none"/>
              </w:rPr>
            </w:pPr>
            <w:r>
              <w:rPr>
                <w:rFonts w:hint="default"/>
                <w:b w:val="0"/>
                <w:bCs w:val="0"/>
                <w:u w:val="none"/>
              </w:rPr>
              <w:t>tj——在T时间内j声源工作时间，s。</w:t>
            </w:r>
          </w:p>
          <w:p w14:paraId="0C79BF85">
            <w:pPr>
              <w:pStyle w:val="5"/>
              <w:rPr>
                <w:rFonts w:hint="default"/>
                <w:b w:val="0"/>
                <w:bCs w:val="0"/>
                <w:u w:val="none"/>
              </w:rPr>
            </w:pPr>
            <w:r>
              <w:rPr>
                <w:rFonts w:hint="default"/>
                <w:b w:val="0"/>
                <w:bCs w:val="0"/>
                <w:u w:val="none"/>
              </w:rPr>
              <w:t>f.预测值计算</w:t>
            </w:r>
          </w:p>
          <w:p w14:paraId="35B4F80E">
            <w:pPr>
              <w:pStyle w:val="5"/>
              <w:ind w:firstLine="0" w:firstLineChars="0"/>
              <w:jc w:val="center"/>
              <w:rPr>
                <w:rFonts w:hint="default"/>
                <w:b w:val="0"/>
                <w:bCs w:val="0"/>
                <w:u w:val="none"/>
              </w:rPr>
            </w:pPr>
            <w:r>
              <w:rPr>
                <w:rFonts w:hint="default"/>
                <w:b w:val="0"/>
                <w:bCs w:val="0"/>
                <w:u w:val="none"/>
              </w:rPr>
              <w:drawing>
                <wp:inline distT="0" distB="0" distL="114300" distR="114300">
                  <wp:extent cx="1743075" cy="285750"/>
                  <wp:effectExtent l="0" t="0" r="9525" b="0"/>
                  <wp:docPr id="12" name="图片 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IMG_262"/>
                          <pic:cNvPicPr>
                            <a:picLocks noChangeAspect="1"/>
                          </pic:cNvPicPr>
                        </pic:nvPicPr>
                        <pic:blipFill>
                          <a:blip r:embed="rId21"/>
                          <a:stretch>
                            <a:fillRect/>
                          </a:stretch>
                        </pic:blipFill>
                        <pic:spPr>
                          <a:xfrm>
                            <a:off x="0" y="0"/>
                            <a:ext cx="1743075" cy="285750"/>
                          </a:xfrm>
                          <a:prstGeom prst="rect">
                            <a:avLst/>
                          </a:prstGeom>
                          <a:noFill/>
                          <a:ln w="9525">
                            <a:noFill/>
                          </a:ln>
                        </pic:spPr>
                      </pic:pic>
                    </a:graphicData>
                  </a:graphic>
                </wp:inline>
              </w:drawing>
            </w:r>
          </w:p>
          <w:p w14:paraId="7A9D0766">
            <w:pPr>
              <w:pStyle w:val="5"/>
              <w:rPr>
                <w:rFonts w:hint="default"/>
                <w:b w:val="0"/>
                <w:bCs w:val="0"/>
                <w:u w:val="none"/>
              </w:rPr>
            </w:pPr>
            <w:r>
              <w:rPr>
                <w:rFonts w:hint="default"/>
                <w:b w:val="0"/>
                <w:bCs w:val="0"/>
                <w:u w:val="none"/>
              </w:rPr>
              <w:t>式中，Leq——预测点的噪声预测值，dB；</w:t>
            </w:r>
          </w:p>
          <w:p w14:paraId="7531DDD8">
            <w:pPr>
              <w:pStyle w:val="5"/>
              <w:rPr>
                <w:rFonts w:hint="default"/>
                <w:b w:val="0"/>
                <w:bCs w:val="0"/>
                <w:u w:val="none"/>
              </w:rPr>
            </w:pPr>
            <w:r>
              <w:rPr>
                <w:rFonts w:hint="default"/>
                <w:b w:val="0"/>
                <w:bCs w:val="0"/>
                <w:u w:val="none"/>
              </w:rPr>
              <w:t>Leqb——预测点的背景值，dB。</w:t>
            </w:r>
          </w:p>
          <w:p w14:paraId="1518A92C">
            <w:pPr>
              <w:pStyle w:val="5"/>
              <w:rPr>
                <w:rFonts w:hint="default"/>
                <w:b w:val="0"/>
                <w:bCs w:val="0"/>
                <w:u w:val="none"/>
              </w:rPr>
            </w:pPr>
            <w:r>
              <w:rPr>
                <w:rFonts w:hint="default"/>
                <w:b w:val="0"/>
                <w:bCs w:val="0"/>
                <w:u w:val="none"/>
              </w:rPr>
              <w:t>（2）预测内容</w:t>
            </w:r>
          </w:p>
          <w:p w14:paraId="6E1EC0A4">
            <w:pPr>
              <w:pStyle w:val="5"/>
              <w:rPr>
                <w:rFonts w:hint="default"/>
                <w:b w:val="0"/>
                <w:bCs w:val="0"/>
                <w:u w:val="none"/>
              </w:rPr>
            </w:pPr>
            <w:r>
              <w:rPr>
                <w:b w:val="0"/>
                <w:bCs w:val="0"/>
                <w:u w:val="none"/>
              </w:rPr>
              <w:t>厂界噪声</w:t>
            </w:r>
            <w:r>
              <w:rPr>
                <w:rFonts w:hint="default"/>
                <w:b w:val="0"/>
                <w:bCs w:val="0"/>
                <w:u w:val="none"/>
              </w:rPr>
              <w:t>。</w:t>
            </w:r>
          </w:p>
          <w:p w14:paraId="2CD1549B">
            <w:pPr>
              <w:pStyle w:val="5"/>
              <w:ind w:firstLine="422"/>
              <w:rPr>
                <w:rFonts w:hint="default"/>
                <w:b/>
                <w:bCs/>
                <w:u w:val="single"/>
              </w:rPr>
            </w:pPr>
            <w:r>
              <w:rPr>
                <w:rFonts w:hint="default"/>
                <w:b/>
                <w:bCs/>
                <w:u w:val="single"/>
              </w:rPr>
              <w:t>（3）预测结果及评价</w:t>
            </w:r>
          </w:p>
          <w:p w14:paraId="75A7900D">
            <w:pPr>
              <w:pStyle w:val="44"/>
              <w:numPr>
                <w:ilvl w:val="0"/>
                <w:numId w:val="2"/>
              </w:numPr>
              <w:rPr>
                <w:rFonts w:hint="default"/>
                <w:b/>
                <w:bCs/>
                <w:u w:val="single"/>
              </w:rPr>
            </w:pPr>
            <w:r>
              <w:rPr>
                <w:rFonts w:hint="default"/>
                <w:b/>
                <w:bCs/>
                <w:u w:val="single"/>
              </w:rPr>
              <w:t>各厂界</w:t>
            </w:r>
            <w:r>
              <w:rPr>
                <w:b/>
                <w:bCs/>
                <w:u w:val="single"/>
              </w:rPr>
              <w:t>贡献值</w:t>
            </w:r>
            <w:r>
              <w:rPr>
                <w:rFonts w:hint="default"/>
                <w:b/>
                <w:bCs/>
                <w:u w:val="single"/>
              </w:rPr>
              <w:t>结果一览表</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578"/>
              <w:gridCol w:w="1120"/>
              <w:gridCol w:w="1264"/>
              <w:gridCol w:w="1264"/>
              <w:gridCol w:w="944"/>
              <w:gridCol w:w="939"/>
              <w:gridCol w:w="992"/>
              <w:gridCol w:w="939"/>
            </w:tblGrid>
            <w:tr w14:paraId="54D0C7A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566" w:type="pct"/>
                  <w:gridSpan w:val="4"/>
                  <w:tcBorders>
                    <w:tl2br w:val="nil"/>
                    <w:tr2bl w:val="nil"/>
                  </w:tcBorders>
                  <w:shd w:val="clear" w:color="auto" w:fill="auto"/>
                  <w:noWrap/>
                  <w:vAlign w:val="center"/>
                </w:tcPr>
                <w:p w14:paraId="384E4972">
                  <w:pPr>
                    <w:pStyle w:val="45"/>
                    <w:rPr>
                      <w:rFonts w:hint="default"/>
                      <w:b/>
                      <w:bCs/>
                      <w:u w:val="single"/>
                    </w:rPr>
                  </w:pPr>
                  <w:r>
                    <w:rPr>
                      <w:rFonts w:hint="default"/>
                      <w:b/>
                      <w:bCs/>
                      <w:u w:val="single"/>
                    </w:rPr>
                    <w:t>厂界</w:t>
                  </w:r>
                </w:p>
              </w:tc>
              <w:tc>
                <w:tcPr>
                  <w:tcW w:w="1216" w:type="pct"/>
                  <w:gridSpan w:val="2"/>
                  <w:tcBorders>
                    <w:tl2br w:val="nil"/>
                    <w:tr2bl w:val="nil"/>
                  </w:tcBorders>
                  <w:shd w:val="clear" w:color="auto" w:fill="auto"/>
                  <w:noWrap/>
                  <w:vAlign w:val="center"/>
                </w:tcPr>
                <w:p w14:paraId="2E6464AB">
                  <w:pPr>
                    <w:pStyle w:val="45"/>
                    <w:rPr>
                      <w:rFonts w:hint="default"/>
                      <w:b/>
                      <w:bCs/>
                      <w:u w:val="single"/>
                    </w:rPr>
                  </w:pPr>
                  <w:r>
                    <w:rPr>
                      <w:rFonts w:hint="default"/>
                      <w:b/>
                      <w:bCs/>
                      <w:u w:val="single"/>
                    </w:rPr>
                    <w:t>昼间dB(A)</w:t>
                  </w:r>
                </w:p>
              </w:tc>
              <w:tc>
                <w:tcPr>
                  <w:tcW w:w="1217" w:type="pct"/>
                  <w:gridSpan w:val="2"/>
                  <w:tcBorders>
                    <w:tl2br w:val="nil"/>
                    <w:tr2bl w:val="nil"/>
                  </w:tcBorders>
                  <w:shd w:val="clear" w:color="auto" w:fill="auto"/>
                  <w:noWrap/>
                  <w:vAlign w:val="center"/>
                </w:tcPr>
                <w:p w14:paraId="5C76CE2F">
                  <w:pPr>
                    <w:pStyle w:val="45"/>
                    <w:rPr>
                      <w:rFonts w:hint="default"/>
                      <w:b/>
                      <w:bCs/>
                      <w:u w:val="single"/>
                    </w:rPr>
                  </w:pPr>
                  <w:r>
                    <w:rPr>
                      <w:rFonts w:hint="default"/>
                      <w:b/>
                      <w:bCs/>
                      <w:u w:val="single"/>
                    </w:rPr>
                    <w:t>夜间dB(A)</w:t>
                  </w:r>
                </w:p>
              </w:tc>
            </w:tr>
            <w:tr w14:paraId="66F94E3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47" w:type="pct"/>
                  <w:tcBorders>
                    <w:tl2br w:val="nil"/>
                    <w:tr2bl w:val="nil"/>
                  </w:tcBorders>
                  <w:shd w:val="clear" w:color="auto" w:fill="auto"/>
                  <w:noWrap/>
                  <w:vAlign w:val="center"/>
                </w:tcPr>
                <w:p w14:paraId="68881EB1">
                  <w:pPr>
                    <w:pStyle w:val="45"/>
                    <w:rPr>
                      <w:rFonts w:hint="default"/>
                      <w:b/>
                      <w:bCs/>
                      <w:u w:val="single"/>
                    </w:rPr>
                  </w:pPr>
                  <w:r>
                    <w:rPr>
                      <w:rFonts w:hint="default"/>
                      <w:b/>
                      <w:bCs/>
                      <w:u w:val="single"/>
                    </w:rPr>
                    <w:t>序号</w:t>
                  </w:r>
                </w:p>
              </w:tc>
              <w:tc>
                <w:tcPr>
                  <w:tcW w:w="673" w:type="pct"/>
                  <w:tcBorders>
                    <w:tl2br w:val="nil"/>
                    <w:tr2bl w:val="nil"/>
                  </w:tcBorders>
                  <w:shd w:val="clear" w:color="auto" w:fill="auto"/>
                  <w:noWrap/>
                  <w:vAlign w:val="center"/>
                </w:tcPr>
                <w:p w14:paraId="490E6203">
                  <w:pPr>
                    <w:pStyle w:val="45"/>
                    <w:rPr>
                      <w:rFonts w:hint="default"/>
                      <w:b/>
                      <w:bCs/>
                      <w:u w:val="single"/>
                    </w:rPr>
                  </w:pPr>
                  <w:r>
                    <w:rPr>
                      <w:rFonts w:hint="default"/>
                      <w:b/>
                      <w:bCs/>
                      <w:u w:val="single"/>
                    </w:rPr>
                    <w:t>离散点名称</w:t>
                  </w:r>
                </w:p>
              </w:tc>
              <w:tc>
                <w:tcPr>
                  <w:tcW w:w="754" w:type="pct"/>
                  <w:tcBorders>
                    <w:tl2br w:val="nil"/>
                    <w:tr2bl w:val="nil"/>
                  </w:tcBorders>
                  <w:shd w:val="clear" w:color="auto" w:fill="auto"/>
                  <w:noWrap/>
                  <w:vAlign w:val="center"/>
                </w:tcPr>
                <w:p w14:paraId="47D2F4A4">
                  <w:pPr>
                    <w:pStyle w:val="45"/>
                    <w:rPr>
                      <w:rFonts w:hint="default"/>
                      <w:b/>
                      <w:bCs/>
                      <w:u w:val="single"/>
                    </w:rPr>
                  </w:pPr>
                  <w:r>
                    <w:rPr>
                      <w:rFonts w:hint="default"/>
                      <w:b/>
                      <w:bCs/>
                      <w:u w:val="single"/>
                    </w:rPr>
                    <w:t>X坐标（m）</w:t>
                  </w:r>
                </w:p>
              </w:tc>
              <w:tc>
                <w:tcPr>
                  <w:tcW w:w="789" w:type="pct"/>
                  <w:tcBorders>
                    <w:tl2br w:val="nil"/>
                    <w:tr2bl w:val="nil"/>
                  </w:tcBorders>
                  <w:shd w:val="clear" w:color="auto" w:fill="auto"/>
                  <w:noWrap/>
                  <w:vAlign w:val="center"/>
                </w:tcPr>
                <w:p w14:paraId="03001278">
                  <w:pPr>
                    <w:pStyle w:val="45"/>
                    <w:rPr>
                      <w:rFonts w:hint="default"/>
                      <w:b/>
                      <w:bCs/>
                      <w:u w:val="single"/>
                    </w:rPr>
                  </w:pPr>
                  <w:r>
                    <w:rPr>
                      <w:rFonts w:hint="default"/>
                      <w:b/>
                      <w:bCs/>
                      <w:u w:val="single"/>
                    </w:rPr>
                    <w:t>Y坐标（m）</w:t>
                  </w:r>
                </w:p>
              </w:tc>
              <w:tc>
                <w:tcPr>
                  <w:tcW w:w="651" w:type="pct"/>
                  <w:tcBorders>
                    <w:tl2br w:val="nil"/>
                    <w:tr2bl w:val="nil"/>
                  </w:tcBorders>
                  <w:shd w:val="clear" w:color="auto" w:fill="auto"/>
                  <w:noWrap/>
                  <w:vAlign w:val="center"/>
                </w:tcPr>
                <w:p w14:paraId="34D145BC">
                  <w:pPr>
                    <w:pStyle w:val="45"/>
                    <w:rPr>
                      <w:rFonts w:hint="default"/>
                      <w:b/>
                      <w:bCs/>
                      <w:u w:val="single"/>
                    </w:rPr>
                  </w:pPr>
                  <w:r>
                    <w:rPr>
                      <w:rFonts w:hint="default"/>
                      <w:b/>
                      <w:bCs/>
                      <w:u w:val="single"/>
                    </w:rPr>
                    <w:t>贡献值</w:t>
                  </w:r>
                </w:p>
              </w:tc>
              <w:tc>
                <w:tcPr>
                  <w:tcW w:w="564" w:type="pct"/>
                  <w:tcBorders>
                    <w:tl2br w:val="nil"/>
                    <w:tr2bl w:val="nil"/>
                  </w:tcBorders>
                  <w:shd w:val="clear" w:color="auto" w:fill="auto"/>
                  <w:noWrap/>
                  <w:vAlign w:val="center"/>
                </w:tcPr>
                <w:p w14:paraId="5B6D035B">
                  <w:pPr>
                    <w:pStyle w:val="45"/>
                    <w:rPr>
                      <w:rFonts w:hint="default"/>
                      <w:b/>
                      <w:bCs/>
                      <w:u w:val="single"/>
                    </w:rPr>
                  </w:pPr>
                  <w:r>
                    <w:rPr>
                      <w:rFonts w:hint="default"/>
                      <w:b/>
                      <w:bCs/>
                      <w:u w:val="single"/>
                    </w:rPr>
                    <w:t>达标情况</w:t>
                  </w:r>
                </w:p>
              </w:tc>
              <w:tc>
                <w:tcPr>
                  <w:tcW w:w="652" w:type="pct"/>
                  <w:tcBorders>
                    <w:tl2br w:val="nil"/>
                    <w:tr2bl w:val="nil"/>
                  </w:tcBorders>
                  <w:shd w:val="clear" w:color="auto" w:fill="auto"/>
                  <w:noWrap/>
                  <w:vAlign w:val="center"/>
                </w:tcPr>
                <w:p w14:paraId="0026A489">
                  <w:pPr>
                    <w:pStyle w:val="45"/>
                    <w:rPr>
                      <w:rFonts w:hint="default"/>
                      <w:b/>
                      <w:bCs/>
                      <w:u w:val="single"/>
                    </w:rPr>
                  </w:pPr>
                  <w:r>
                    <w:rPr>
                      <w:rFonts w:hint="default"/>
                      <w:b/>
                      <w:bCs/>
                      <w:u w:val="single"/>
                    </w:rPr>
                    <w:t>贡献值</w:t>
                  </w:r>
                </w:p>
              </w:tc>
              <w:tc>
                <w:tcPr>
                  <w:tcW w:w="564" w:type="pct"/>
                  <w:tcBorders>
                    <w:tl2br w:val="nil"/>
                    <w:tr2bl w:val="nil"/>
                  </w:tcBorders>
                  <w:shd w:val="clear" w:color="auto" w:fill="auto"/>
                  <w:noWrap/>
                  <w:vAlign w:val="center"/>
                </w:tcPr>
                <w:p w14:paraId="6582D384">
                  <w:pPr>
                    <w:pStyle w:val="45"/>
                    <w:rPr>
                      <w:rFonts w:hint="default"/>
                      <w:b/>
                      <w:bCs/>
                      <w:u w:val="single"/>
                    </w:rPr>
                  </w:pPr>
                  <w:r>
                    <w:rPr>
                      <w:rFonts w:hint="default"/>
                      <w:b/>
                      <w:bCs/>
                      <w:u w:val="single"/>
                    </w:rPr>
                    <w:t>达标情况</w:t>
                  </w:r>
                </w:p>
              </w:tc>
            </w:tr>
            <w:tr w14:paraId="4086433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47" w:type="pct"/>
                  <w:tcBorders>
                    <w:tl2br w:val="nil"/>
                    <w:tr2bl w:val="nil"/>
                  </w:tcBorders>
                  <w:shd w:val="clear" w:color="auto" w:fill="auto"/>
                  <w:vAlign w:val="center"/>
                </w:tcPr>
                <w:p w14:paraId="05396A7F">
                  <w:pPr>
                    <w:pStyle w:val="45"/>
                    <w:rPr>
                      <w:rFonts w:hint="default"/>
                      <w:b/>
                      <w:bCs/>
                      <w:u w:val="single"/>
                    </w:rPr>
                  </w:pPr>
                  <w:r>
                    <w:rPr>
                      <w:rFonts w:hint="default"/>
                      <w:b/>
                      <w:bCs/>
                      <w:u w:val="single"/>
                    </w:rPr>
                    <w:t>1</w:t>
                  </w:r>
                </w:p>
              </w:tc>
              <w:tc>
                <w:tcPr>
                  <w:tcW w:w="673" w:type="pct"/>
                  <w:tcBorders>
                    <w:tl2br w:val="nil"/>
                    <w:tr2bl w:val="nil"/>
                  </w:tcBorders>
                  <w:shd w:val="clear" w:color="auto" w:fill="auto"/>
                  <w:vAlign w:val="center"/>
                </w:tcPr>
                <w:p w14:paraId="06B74290">
                  <w:pPr>
                    <w:pStyle w:val="45"/>
                    <w:rPr>
                      <w:rFonts w:hint="default"/>
                      <w:b/>
                      <w:bCs/>
                      <w:u w:val="single"/>
                    </w:rPr>
                  </w:pPr>
                  <w:r>
                    <w:rPr>
                      <w:rFonts w:hint="default"/>
                      <w:b/>
                      <w:bCs/>
                      <w:u w:val="single"/>
                    </w:rPr>
                    <w:t>北厂界</w:t>
                  </w:r>
                </w:p>
              </w:tc>
              <w:tc>
                <w:tcPr>
                  <w:tcW w:w="754" w:type="pct"/>
                  <w:tcBorders>
                    <w:tl2br w:val="nil"/>
                    <w:tr2bl w:val="nil"/>
                  </w:tcBorders>
                  <w:shd w:val="clear" w:color="auto" w:fill="auto"/>
                  <w:vAlign w:val="center"/>
                </w:tcPr>
                <w:p w14:paraId="3F81392C">
                  <w:pPr>
                    <w:pStyle w:val="45"/>
                    <w:rPr>
                      <w:rFonts w:hint="default"/>
                      <w:b/>
                      <w:bCs/>
                      <w:u w:val="single"/>
                    </w:rPr>
                  </w:pPr>
                  <w:r>
                    <w:rPr>
                      <w:rFonts w:hint="default"/>
                      <w:b/>
                      <w:bCs/>
                      <w:u w:val="single"/>
                    </w:rPr>
                    <w:t>59.52</w:t>
                  </w:r>
                </w:p>
              </w:tc>
              <w:tc>
                <w:tcPr>
                  <w:tcW w:w="789" w:type="pct"/>
                  <w:tcBorders>
                    <w:tl2br w:val="nil"/>
                    <w:tr2bl w:val="nil"/>
                  </w:tcBorders>
                  <w:shd w:val="clear" w:color="auto" w:fill="auto"/>
                  <w:vAlign w:val="center"/>
                </w:tcPr>
                <w:p w14:paraId="5B7B22ED">
                  <w:pPr>
                    <w:pStyle w:val="45"/>
                    <w:rPr>
                      <w:rFonts w:hint="default"/>
                      <w:b/>
                      <w:bCs/>
                      <w:u w:val="single"/>
                    </w:rPr>
                  </w:pPr>
                  <w:r>
                    <w:rPr>
                      <w:rFonts w:hint="default"/>
                      <w:b/>
                      <w:bCs/>
                      <w:u w:val="single"/>
                    </w:rPr>
                    <w:t>130.54</w:t>
                  </w:r>
                </w:p>
              </w:tc>
              <w:tc>
                <w:tcPr>
                  <w:tcW w:w="651" w:type="pct"/>
                  <w:tcBorders>
                    <w:tl2br w:val="nil"/>
                    <w:tr2bl w:val="nil"/>
                  </w:tcBorders>
                  <w:shd w:val="clear" w:color="auto" w:fill="auto"/>
                  <w:vAlign w:val="center"/>
                </w:tcPr>
                <w:p w14:paraId="1DF7C50D">
                  <w:pPr>
                    <w:pStyle w:val="45"/>
                    <w:rPr>
                      <w:rFonts w:hint="default"/>
                      <w:b/>
                      <w:bCs/>
                      <w:u w:val="single"/>
                    </w:rPr>
                  </w:pPr>
                  <w:r>
                    <w:rPr>
                      <w:rFonts w:hint="default"/>
                      <w:b/>
                      <w:bCs/>
                      <w:u w:val="single"/>
                    </w:rPr>
                    <w:t>54.45</w:t>
                  </w:r>
                </w:p>
              </w:tc>
              <w:tc>
                <w:tcPr>
                  <w:tcW w:w="564" w:type="pct"/>
                  <w:tcBorders>
                    <w:tl2br w:val="nil"/>
                    <w:tr2bl w:val="nil"/>
                  </w:tcBorders>
                  <w:shd w:val="clear" w:color="auto" w:fill="auto"/>
                  <w:vAlign w:val="center"/>
                </w:tcPr>
                <w:p w14:paraId="454F4D3A">
                  <w:pPr>
                    <w:pStyle w:val="45"/>
                    <w:rPr>
                      <w:rFonts w:hint="default"/>
                      <w:b/>
                      <w:bCs/>
                      <w:u w:val="single"/>
                    </w:rPr>
                  </w:pPr>
                  <w:r>
                    <w:rPr>
                      <w:rFonts w:hint="default"/>
                      <w:b/>
                      <w:bCs/>
                      <w:u w:val="single"/>
                    </w:rPr>
                    <w:t>达标</w:t>
                  </w:r>
                </w:p>
              </w:tc>
              <w:tc>
                <w:tcPr>
                  <w:tcW w:w="652" w:type="pct"/>
                  <w:tcBorders>
                    <w:tl2br w:val="nil"/>
                    <w:tr2bl w:val="nil"/>
                  </w:tcBorders>
                  <w:shd w:val="clear" w:color="auto" w:fill="auto"/>
                  <w:vAlign w:val="center"/>
                </w:tcPr>
                <w:p w14:paraId="0E528B2E">
                  <w:pPr>
                    <w:pStyle w:val="45"/>
                    <w:rPr>
                      <w:rFonts w:hint="default"/>
                      <w:b/>
                      <w:bCs/>
                      <w:u w:val="single"/>
                    </w:rPr>
                  </w:pPr>
                  <w:r>
                    <w:rPr>
                      <w:rFonts w:hint="default"/>
                      <w:b/>
                      <w:bCs/>
                      <w:u w:val="single"/>
                    </w:rPr>
                    <w:t>54.45</w:t>
                  </w:r>
                </w:p>
              </w:tc>
              <w:tc>
                <w:tcPr>
                  <w:tcW w:w="564" w:type="pct"/>
                  <w:tcBorders>
                    <w:tl2br w:val="nil"/>
                    <w:tr2bl w:val="nil"/>
                  </w:tcBorders>
                  <w:shd w:val="clear" w:color="auto" w:fill="auto"/>
                  <w:vAlign w:val="center"/>
                </w:tcPr>
                <w:p w14:paraId="0FB226C6">
                  <w:pPr>
                    <w:pStyle w:val="45"/>
                    <w:rPr>
                      <w:rFonts w:hint="default"/>
                      <w:b/>
                      <w:bCs/>
                      <w:u w:val="single"/>
                    </w:rPr>
                  </w:pPr>
                  <w:r>
                    <w:rPr>
                      <w:rFonts w:hint="default"/>
                      <w:b/>
                      <w:bCs/>
                      <w:u w:val="single"/>
                    </w:rPr>
                    <w:t>达标</w:t>
                  </w:r>
                </w:p>
              </w:tc>
            </w:tr>
            <w:tr w14:paraId="5777ADB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47" w:type="pct"/>
                  <w:tcBorders>
                    <w:tl2br w:val="nil"/>
                    <w:tr2bl w:val="nil"/>
                  </w:tcBorders>
                  <w:shd w:val="clear" w:color="auto" w:fill="auto"/>
                  <w:vAlign w:val="center"/>
                </w:tcPr>
                <w:p w14:paraId="79CD3AD1">
                  <w:pPr>
                    <w:pStyle w:val="45"/>
                    <w:rPr>
                      <w:rFonts w:hint="default"/>
                      <w:b/>
                      <w:bCs/>
                      <w:u w:val="single"/>
                    </w:rPr>
                  </w:pPr>
                  <w:r>
                    <w:rPr>
                      <w:rFonts w:hint="default"/>
                      <w:b/>
                      <w:bCs/>
                      <w:u w:val="single"/>
                    </w:rPr>
                    <w:t>2</w:t>
                  </w:r>
                </w:p>
              </w:tc>
              <w:tc>
                <w:tcPr>
                  <w:tcW w:w="673" w:type="pct"/>
                  <w:tcBorders>
                    <w:tl2br w:val="nil"/>
                    <w:tr2bl w:val="nil"/>
                  </w:tcBorders>
                  <w:shd w:val="clear" w:color="auto" w:fill="auto"/>
                  <w:vAlign w:val="center"/>
                </w:tcPr>
                <w:p w14:paraId="515659B6">
                  <w:pPr>
                    <w:pStyle w:val="45"/>
                    <w:rPr>
                      <w:rFonts w:hint="default"/>
                      <w:b/>
                      <w:bCs/>
                      <w:u w:val="single"/>
                    </w:rPr>
                  </w:pPr>
                  <w:r>
                    <w:rPr>
                      <w:rFonts w:hint="default"/>
                      <w:b/>
                      <w:bCs/>
                      <w:u w:val="single"/>
                    </w:rPr>
                    <w:t>东厂界</w:t>
                  </w:r>
                </w:p>
              </w:tc>
              <w:tc>
                <w:tcPr>
                  <w:tcW w:w="754" w:type="pct"/>
                  <w:tcBorders>
                    <w:tl2br w:val="nil"/>
                    <w:tr2bl w:val="nil"/>
                  </w:tcBorders>
                  <w:shd w:val="clear" w:color="auto" w:fill="auto"/>
                  <w:vAlign w:val="center"/>
                </w:tcPr>
                <w:p w14:paraId="78BC89A2">
                  <w:pPr>
                    <w:pStyle w:val="45"/>
                    <w:rPr>
                      <w:rFonts w:hint="default"/>
                      <w:b/>
                      <w:bCs/>
                      <w:u w:val="single"/>
                    </w:rPr>
                  </w:pPr>
                  <w:r>
                    <w:rPr>
                      <w:rFonts w:hint="default"/>
                      <w:b/>
                      <w:bCs/>
                      <w:u w:val="single"/>
                    </w:rPr>
                    <w:t>80.43</w:t>
                  </w:r>
                </w:p>
              </w:tc>
              <w:tc>
                <w:tcPr>
                  <w:tcW w:w="789" w:type="pct"/>
                  <w:tcBorders>
                    <w:tl2br w:val="nil"/>
                    <w:tr2bl w:val="nil"/>
                  </w:tcBorders>
                  <w:shd w:val="clear" w:color="auto" w:fill="auto"/>
                  <w:vAlign w:val="center"/>
                </w:tcPr>
                <w:p w14:paraId="73F908FB">
                  <w:pPr>
                    <w:pStyle w:val="45"/>
                    <w:rPr>
                      <w:rFonts w:hint="default"/>
                      <w:b/>
                      <w:bCs/>
                      <w:u w:val="single"/>
                    </w:rPr>
                  </w:pPr>
                  <w:r>
                    <w:rPr>
                      <w:rFonts w:hint="default"/>
                      <w:b/>
                      <w:bCs/>
                      <w:u w:val="single"/>
                    </w:rPr>
                    <w:t>120.55</w:t>
                  </w:r>
                </w:p>
              </w:tc>
              <w:tc>
                <w:tcPr>
                  <w:tcW w:w="651" w:type="pct"/>
                  <w:tcBorders>
                    <w:tl2br w:val="nil"/>
                    <w:tr2bl w:val="nil"/>
                  </w:tcBorders>
                  <w:shd w:val="clear" w:color="auto" w:fill="auto"/>
                  <w:vAlign w:val="center"/>
                </w:tcPr>
                <w:p w14:paraId="33DA6C36">
                  <w:pPr>
                    <w:pStyle w:val="45"/>
                    <w:rPr>
                      <w:rFonts w:hint="default"/>
                      <w:b/>
                      <w:bCs/>
                      <w:u w:val="single"/>
                    </w:rPr>
                  </w:pPr>
                  <w:r>
                    <w:rPr>
                      <w:rFonts w:hint="default"/>
                      <w:b/>
                      <w:bCs/>
                      <w:u w:val="single"/>
                    </w:rPr>
                    <w:t>50.75</w:t>
                  </w:r>
                </w:p>
              </w:tc>
              <w:tc>
                <w:tcPr>
                  <w:tcW w:w="564" w:type="pct"/>
                  <w:tcBorders>
                    <w:tl2br w:val="nil"/>
                    <w:tr2bl w:val="nil"/>
                  </w:tcBorders>
                  <w:shd w:val="clear" w:color="auto" w:fill="auto"/>
                  <w:vAlign w:val="center"/>
                </w:tcPr>
                <w:p w14:paraId="5D76242A">
                  <w:pPr>
                    <w:pStyle w:val="45"/>
                    <w:rPr>
                      <w:rFonts w:hint="default"/>
                      <w:b/>
                      <w:bCs/>
                      <w:u w:val="single"/>
                    </w:rPr>
                  </w:pPr>
                  <w:r>
                    <w:rPr>
                      <w:rFonts w:hint="default"/>
                      <w:b/>
                      <w:bCs/>
                      <w:u w:val="single"/>
                    </w:rPr>
                    <w:t>达标</w:t>
                  </w:r>
                </w:p>
              </w:tc>
              <w:tc>
                <w:tcPr>
                  <w:tcW w:w="652" w:type="pct"/>
                  <w:tcBorders>
                    <w:tl2br w:val="nil"/>
                    <w:tr2bl w:val="nil"/>
                  </w:tcBorders>
                  <w:shd w:val="clear" w:color="auto" w:fill="auto"/>
                  <w:vAlign w:val="center"/>
                </w:tcPr>
                <w:p w14:paraId="18564337">
                  <w:pPr>
                    <w:pStyle w:val="45"/>
                    <w:rPr>
                      <w:rFonts w:hint="default"/>
                      <w:b/>
                      <w:bCs/>
                      <w:u w:val="single"/>
                    </w:rPr>
                  </w:pPr>
                  <w:r>
                    <w:rPr>
                      <w:rFonts w:hint="default"/>
                      <w:b/>
                      <w:bCs/>
                      <w:u w:val="single"/>
                    </w:rPr>
                    <w:t>50.75</w:t>
                  </w:r>
                </w:p>
              </w:tc>
              <w:tc>
                <w:tcPr>
                  <w:tcW w:w="564" w:type="pct"/>
                  <w:tcBorders>
                    <w:tl2br w:val="nil"/>
                    <w:tr2bl w:val="nil"/>
                  </w:tcBorders>
                  <w:shd w:val="clear" w:color="auto" w:fill="auto"/>
                  <w:vAlign w:val="center"/>
                </w:tcPr>
                <w:p w14:paraId="405D544C">
                  <w:pPr>
                    <w:pStyle w:val="45"/>
                    <w:rPr>
                      <w:rFonts w:hint="default"/>
                      <w:b/>
                      <w:bCs/>
                      <w:u w:val="single"/>
                    </w:rPr>
                  </w:pPr>
                  <w:r>
                    <w:rPr>
                      <w:rFonts w:hint="default"/>
                      <w:b/>
                      <w:bCs/>
                      <w:u w:val="single"/>
                    </w:rPr>
                    <w:t>达标</w:t>
                  </w:r>
                </w:p>
              </w:tc>
            </w:tr>
            <w:tr w14:paraId="28D600C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47" w:type="pct"/>
                  <w:tcBorders>
                    <w:tl2br w:val="nil"/>
                    <w:tr2bl w:val="nil"/>
                  </w:tcBorders>
                  <w:shd w:val="clear" w:color="auto" w:fill="auto"/>
                  <w:vAlign w:val="center"/>
                </w:tcPr>
                <w:p w14:paraId="25512C77">
                  <w:pPr>
                    <w:pStyle w:val="45"/>
                    <w:rPr>
                      <w:rFonts w:hint="default"/>
                      <w:b/>
                      <w:bCs/>
                      <w:u w:val="single"/>
                    </w:rPr>
                  </w:pPr>
                  <w:r>
                    <w:rPr>
                      <w:rFonts w:hint="default"/>
                      <w:b/>
                      <w:bCs/>
                      <w:u w:val="single"/>
                    </w:rPr>
                    <w:t>3</w:t>
                  </w:r>
                </w:p>
              </w:tc>
              <w:tc>
                <w:tcPr>
                  <w:tcW w:w="673" w:type="pct"/>
                  <w:tcBorders>
                    <w:tl2br w:val="nil"/>
                    <w:tr2bl w:val="nil"/>
                  </w:tcBorders>
                  <w:shd w:val="clear" w:color="auto" w:fill="auto"/>
                  <w:vAlign w:val="center"/>
                </w:tcPr>
                <w:p w14:paraId="36238DEC">
                  <w:pPr>
                    <w:pStyle w:val="45"/>
                    <w:rPr>
                      <w:rFonts w:hint="default"/>
                      <w:b/>
                      <w:bCs/>
                      <w:u w:val="single"/>
                    </w:rPr>
                  </w:pPr>
                  <w:r>
                    <w:rPr>
                      <w:rFonts w:hint="default"/>
                      <w:b/>
                      <w:bCs/>
                      <w:u w:val="single"/>
                    </w:rPr>
                    <w:t>南厂界</w:t>
                  </w:r>
                </w:p>
              </w:tc>
              <w:tc>
                <w:tcPr>
                  <w:tcW w:w="754" w:type="pct"/>
                  <w:tcBorders>
                    <w:tl2br w:val="nil"/>
                    <w:tr2bl w:val="nil"/>
                  </w:tcBorders>
                  <w:shd w:val="clear" w:color="auto" w:fill="auto"/>
                  <w:vAlign w:val="center"/>
                </w:tcPr>
                <w:p w14:paraId="0D087586">
                  <w:pPr>
                    <w:pStyle w:val="45"/>
                    <w:rPr>
                      <w:rFonts w:hint="default"/>
                      <w:b/>
                      <w:bCs/>
                      <w:u w:val="single"/>
                    </w:rPr>
                  </w:pPr>
                  <w:r>
                    <w:rPr>
                      <w:rFonts w:hint="default"/>
                      <w:b/>
                      <w:bCs/>
                      <w:u w:val="single"/>
                    </w:rPr>
                    <w:t>-21.59</w:t>
                  </w:r>
                </w:p>
              </w:tc>
              <w:tc>
                <w:tcPr>
                  <w:tcW w:w="789" w:type="pct"/>
                  <w:tcBorders>
                    <w:tl2br w:val="nil"/>
                    <w:tr2bl w:val="nil"/>
                  </w:tcBorders>
                  <w:shd w:val="clear" w:color="auto" w:fill="auto"/>
                  <w:vAlign w:val="center"/>
                </w:tcPr>
                <w:p w14:paraId="1891408B">
                  <w:pPr>
                    <w:pStyle w:val="45"/>
                    <w:rPr>
                      <w:rFonts w:hint="default"/>
                      <w:b/>
                      <w:bCs/>
                      <w:u w:val="single"/>
                    </w:rPr>
                  </w:pPr>
                  <w:r>
                    <w:rPr>
                      <w:rFonts w:hint="default"/>
                      <w:b/>
                      <w:bCs/>
                      <w:u w:val="single"/>
                    </w:rPr>
                    <w:t>-108.88</w:t>
                  </w:r>
                </w:p>
              </w:tc>
              <w:tc>
                <w:tcPr>
                  <w:tcW w:w="651" w:type="pct"/>
                  <w:tcBorders>
                    <w:tl2br w:val="nil"/>
                    <w:tr2bl w:val="nil"/>
                  </w:tcBorders>
                  <w:shd w:val="clear" w:color="auto" w:fill="auto"/>
                  <w:vAlign w:val="center"/>
                </w:tcPr>
                <w:p w14:paraId="1765C414">
                  <w:pPr>
                    <w:pStyle w:val="45"/>
                    <w:rPr>
                      <w:rFonts w:hint="default"/>
                      <w:b/>
                      <w:bCs/>
                      <w:u w:val="single"/>
                    </w:rPr>
                  </w:pPr>
                  <w:r>
                    <w:rPr>
                      <w:rFonts w:hint="default"/>
                      <w:b/>
                      <w:bCs/>
                      <w:u w:val="single"/>
                    </w:rPr>
                    <w:t>35.23</w:t>
                  </w:r>
                </w:p>
              </w:tc>
              <w:tc>
                <w:tcPr>
                  <w:tcW w:w="564" w:type="pct"/>
                  <w:tcBorders>
                    <w:tl2br w:val="nil"/>
                    <w:tr2bl w:val="nil"/>
                  </w:tcBorders>
                  <w:shd w:val="clear" w:color="auto" w:fill="auto"/>
                  <w:vAlign w:val="center"/>
                </w:tcPr>
                <w:p w14:paraId="361FF3DB">
                  <w:pPr>
                    <w:pStyle w:val="45"/>
                    <w:rPr>
                      <w:rFonts w:hint="default"/>
                      <w:b/>
                      <w:bCs/>
                      <w:u w:val="single"/>
                    </w:rPr>
                  </w:pPr>
                  <w:r>
                    <w:rPr>
                      <w:rFonts w:hint="default"/>
                      <w:b/>
                      <w:bCs/>
                      <w:u w:val="single"/>
                    </w:rPr>
                    <w:t>达标</w:t>
                  </w:r>
                </w:p>
              </w:tc>
              <w:tc>
                <w:tcPr>
                  <w:tcW w:w="652" w:type="pct"/>
                  <w:tcBorders>
                    <w:tl2br w:val="nil"/>
                    <w:tr2bl w:val="nil"/>
                  </w:tcBorders>
                  <w:shd w:val="clear" w:color="auto" w:fill="auto"/>
                  <w:vAlign w:val="center"/>
                </w:tcPr>
                <w:p w14:paraId="02DAE211">
                  <w:pPr>
                    <w:pStyle w:val="45"/>
                    <w:rPr>
                      <w:rFonts w:hint="default"/>
                      <w:b/>
                      <w:bCs/>
                      <w:u w:val="single"/>
                    </w:rPr>
                  </w:pPr>
                  <w:r>
                    <w:rPr>
                      <w:rFonts w:hint="default"/>
                      <w:b/>
                      <w:bCs/>
                      <w:u w:val="single"/>
                    </w:rPr>
                    <w:t>35.23</w:t>
                  </w:r>
                </w:p>
              </w:tc>
              <w:tc>
                <w:tcPr>
                  <w:tcW w:w="564" w:type="pct"/>
                  <w:tcBorders>
                    <w:tl2br w:val="nil"/>
                    <w:tr2bl w:val="nil"/>
                  </w:tcBorders>
                  <w:shd w:val="clear" w:color="auto" w:fill="auto"/>
                  <w:vAlign w:val="center"/>
                </w:tcPr>
                <w:p w14:paraId="221F60EC">
                  <w:pPr>
                    <w:pStyle w:val="45"/>
                    <w:rPr>
                      <w:rFonts w:hint="default"/>
                      <w:b/>
                      <w:bCs/>
                      <w:u w:val="single"/>
                    </w:rPr>
                  </w:pPr>
                  <w:r>
                    <w:rPr>
                      <w:rFonts w:hint="default"/>
                      <w:b/>
                      <w:bCs/>
                      <w:u w:val="single"/>
                    </w:rPr>
                    <w:t>达标</w:t>
                  </w:r>
                </w:p>
              </w:tc>
            </w:tr>
            <w:tr w14:paraId="140325C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47" w:type="pct"/>
                  <w:tcBorders>
                    <w:tl2br w:val="nil"/>
                    <w:tr2bl w:val="nil"/>
                  </w:tcBorders>
                  <w:shd w:val="clear" w:color="auto" w:fill="auto"/>
                  <w:vAlign w:val="center"/>
                </w:tcPr>
                <w:p w14:paraId="34E97265">
                  <w:pPr>
                    <w:pStyle w:val="45"/>
                    <w:rPr>
                      <w:rFonts w:hint="default"/>
                      <w:b/>
                      <w:bCs/>
                      <w:u w:val="single"/>
                    </w:rPr>
                  </w:pPr>
                  <w:r>
                    <w:rPr>
                      <w:rFonts w:hint="default"/>
                      <w:b/>
                      <w:bCs/>
                      <w:u w:val="single"/>
                    </w:rPr>
                    <w:t>4</w:t>
                  </w:r>
                </w:p>
              </w:tc>
              <w:tc>
                <w:tcPr>
                  <w:tcW w:w="673" w:type="pct"/>
                  <w:tcBorders>
                    <w:tl2br w:val="nil"/>
                    <w:tr2bl w:val="nil"/>
                  </w:tcBorders>
                  <w:shd w:val="clear" w:color="auto" w:fill="auto"/>
                  <w:vAlign w:val="center"/>
                </w:tcPr>
                <w:p w14:paraId="7AD64FD3">
                  <w:pPr>
                    <w:pStyle w:val="45"/>
                    <w:rPr>
                      <w:rFonts w:hint="default"/>
                      <w:b/>
                      <w:bCs/>
                      <w:u w:val="single"/>
                    </w:rPr>
                  </w:pPr>
                  <w:r>
                    <w:rPr>
                      <w:rFonts w:hint="default"/>
                      <w:b/>
                      <w:bCs/>
                      <w:u w:val="single"/>
                    </w:rPr>
                    <w:t>西厂界</w:t>
                  </w:r>
                </w:p>
              </w:tc>
              <w:tc>
                <w:tcPr>
                  <w:tcW w:w="754" w:type="pct"/>
                  <w:tcBorders>
                    <w:tl2br w:val="nil"/>
                    <w:tr2bl w:val="nil"/>
                  </w:tcBorders>
                  <w:shd w:val="clear" w:color="auto" w:fill="auto"/>
                  <w:vAlign w:val="center"/>
                </w:tcPr>
                <w:p w14:paraId="0AC14844">
                  <w:pPr>
                    <w:pStyle w:val="45"/>
                    <w:rPr>
                      <w:rFonts w:hint="default"/>
                      <w:b/>
                      <w:bCs/>
                      <w:u w:val="single"/>
                    </w:rPr>
                  </w:pPr>
                  <w:r>
                    <w:rPr>
                      <w:rFonts w:hint="default"/>
                      <w:b/>
                      <w:bCs/>
                      <w:u w:val="single"/>
                    </w:rPr>
                    <w:t>-89.87</w:t>
                  </w:r>
                </w:p>
              </w:tc>
              <w:tc>
                <w:tcPr>
                  <w:tcW w:w="789" w:type="pct"/>
                  <w:tcBorders>
                    <w:tl2br w:val="nil"/>
                    <w:tr2bl w:val="nil"/>
                  </w:tcBorders>
                  <w:shd w:val="clear" w:color="auto" w:fill="auto"/>
                  <w:vAlign w:val="center"/>
                </w:tcPr>
                <w:p w14:paraId="33FE20DC">
                  <w:pPr>
                    <w:pStyle w:val="45"/>
                    <w:rPr>
                      <w:rFonts w:hint="default"/>
                      <w:b/>
                      <w:bCs/>
                      <w:u w:val="single"/>
                    </w:rPr>
                  </w:pPr>
                  <w:r>
                    <w:rPr>
                      <w:rFonts w:hint="default"/>
                      <w:b/>
                      <w:bCs/>
                      <w:u w:val="single"/>
                    </w:rPr>
                    <w:t>-16.28</w:t>
                  </w:r>
                </w:p>
              </w:tc>
              <w:tc>
                <w:tcPr>
                  <w:tcW w:w="651" w:type="pct"/>
                  <w:tcBorders>
                    <w:tl2br w:val="nil"/>
                    <w:tr2bl w:val="nil"/>
                  </w:tcBorders>
                  <w:shd w:val="clear" w:color="auto" w:fill="auto"/>
                  <w:vAlign w:val="center"/>
                </w:tcPr>
                <w:p w14:paraId="373F6EB1">
                  <w:pPr>
                    <w:pStyle w:val="45"/>
                    <w:rPr>
                      <w:rFonts w:hint="default"/>
                      <w:b/>
                      <w:bCs/>
                      <w:u w:val="single"/>
                    </w:rPr>
                  </w:pPr>
                  <w:r>
                    <w:rPr>
                      <w:rFonts w:hint="default"/>
                      <w:b/>
                      <w:bCs/>
                      <w:u w:val="single"/>
                    </w:rPr>
                    <w:t>43.22</w:t>
                  </w:r>
                </w:p>
              </w:tc>
              <w:tc>
                <w:tcPr>
                  <w:tcW w:w="564" w:type="pct"/>
                  <w:tcBorders>
                    <w:tl2br w:val="nil"/>
                    <w:tr2bl w:val="nil"/>
                  </w:tcBorders>
                  <w:shd w:val="clear" w:color="auto" w:fill="auto"/>
                  <w:vAlign w:val="center"/>
                </w:tcPr>
                <w:p w14:paraId="17863CD1">
                  <w:pPr>
                    <w:pStyle w:val="45"/>
                    <w:rPr>
                      <w:rFonts w:hint="default"/>
                      <w:b/>
                      <w:bCs/>
                      <w:u w:val="single"/>
                    </w:rPr>
                  </w:pPr>
                  <w:r>
                    <w:rPr>
                      <w:rFonts w:hint="default"/>
                      <w:b/>
                      <w:bCs/>
                      <w:u w:val="single"/>
                    </w:rPr>
                    <w:t>达标</w:t>
                  </w:r>
                </w:p>
              </w:tc>
              <w:tc>
                <w:tcPr>
                  <w:tcW w:w="652" w:type="pct"/>
                  <w:tcBorders>
                    <w:tl2br w:val="nil"/>
                    <w:tr2bl w:val="nil"/>
                  </w:tcBorders>
                  <w:shd w:val="clear" w:color="auto" w:fill="auto"/>
                  <w:vAlign w:val="center"/>
                </w:tcPr>
                <w:p w14:paraId="13D7E077">
                  <w:pPr>
                    <w:pStyle w:val="45"/>
                    <w:rPr>
                      <w:rFonts w:hint="default"/>
                      <w:b/>
                      <w:bCs/>
                      <w:u w:val="single"/>
                    </w:rPr>
                  </w:pPr>
                  <w:r>
                    <w:rPr>
                      <w:rFonts w:hint="default"/>
                      <w:b/>
                      <w:bCs/>
                      <w:u w:val="single"/>
                    </w:rPr>
                    <w:t>43.22</w:t>
                  </w:r>
                </w:p>
              </w:tc>
              <w:tc>
                <w:tcPr>
                  <w:tcW w:w="564" w:type="pct"/>
                  <w:tcBorders>
                    <w:tl2br w:val="nil"/>
                    <w:tr2bl w:val="nil"/>
                  </w:tcBorders>
                  <w:shd w:val="clear" w:color="auto" w:fill="auto"/>
                  <w:vAlign w:val="center"/>
                </w:tcPr>
                <w:p w14:paraId="5BCAF418">
                  <w:pPr>
                    <w:pStyle w:val="45"/>
                    <w:rPr>
                      <w:rFonts w:hint="default"/>
                      <w:b/>
                      <w:bCs/>
                      <w:u w:val="single"/>
                    </w:rPr>
                  </w:pPr>
                  <w:r>
                    <w:rPr>
                      <w:rFonts w:hint="default"/>
                      <w:b/>
                      <w:bCs/>
                      <w:u w:val="single"/>
                    </w:rPr>
                    <w:t>达标</w:t>
                  </w:r>
                </w:p>
              </w:tc>
            </w:tr>
          </w:tbl>
          <w:p w14:paraId="57CCC35E">
            <w:pPr>
              <w:pStyle w:val="5"/>
              <w:ind w:firstLine="422"/>
              <w:rPr>
                <w:rFonts w:hint="default"/>
                <w:b/>
                <w:bCs/>
                <w:u w:val="single"/>
              </w:rPr>
            </w:pPr>
            <w:r>
              <w:rPr>
                <w:rFonts w:hint="default"/>
                <w:b/>
                <w:bCs/>
                <w:u w:val="single"/>
              </w:rPr>
              <w:t>由上表的预测结果可知，项目</w:t>
            </w:r>
            <w:r>
              <w:rPr>
                <w:b/>
                <w:bCs/>
                <w:u w:val="single"/>
              </w:rPr>
              <w:t>运营</w:t>
            </w:r>
            <w:r>
              <w:rPr>
                <w:rFonts w:hint="default"/>
                <w:b/>
                <w:bCs/>
                <w:u w:val="single"/>
              </w:rPr>
              <w:t>期间（昼间夜间均生产），各厂界噪声均可满足《工业企业厂界环境噪声排放标准》（GB12348－2008）中3类标准的要求，即本项目运营后可实现噪声达标排放，对周围声环境的影响较小。</w:t>
            </w:r>
          </w:p>
          <w:p w14:paraId="656FCDF4">
            <w:pPr>
              <w:pStyle w:val="6"/>
              <w:numPr>
                <w:ilvl w:val="2"/>
                <w:numId w:val="3"/>
              </w:numPr>
              <w:rPr>
                <w:b w:val="0"/>
                <w:bCs w:val="0"/>
                <w:u w:val="none"/>
              </w:rPr>
            </w:pPr>
            <w:r>
              <w:rPr>
                <w:b w:val="0"/>
                <w:bCs w:val="0"/>
                <w:u w:val="none"/>
              </w:rPr>
              <w:t xml:space="preserve">噪声监测计划 </w:t>
            </w:r>
          </w:p>
          <w:p w14:paraId="0D3CFD8F">
            <w:pPr>
              <w:pStyle w:val="5"/>
              <w:rPr>
                <w:rFonts w:hint="default"/>
                <w:b w:val="0"/>
                <w:bCs w:val="0"/>
                <w:u w:val="none"/>
              </w:rPr>
            </w:pPr>
            <w:r>
              <w:rPr>
                <w:rFonts w:hint="default"/>
                <w:b w:val="0"/>
                <w:bCs w:val="0"/>
                <w:u w:val="none"/>
              </w:rPr>
              <w:t>根据《排污单位自行监测技术指南 总则》（HJ819-2017）中相关规定，本次评价提出噪声监测计划，详见下表：</w:t>
            </w:r>
          </w:p>
          <w:p w14:paraId="77D80A59">
            <w:pPr>
              <w:pStyle w:val="44"/>
              <w:numPr>
                <w:ilvl w:val="0"/>
                <w:numId w:val="2"/>
              </w:numPr>
              <w:rPr>
                <w:rFonts w:hint="default"/>
                <w:b w:val="0"/>
                <w:bCs w:val="0"/>
                <w:u w:val="none"/>
              </w:rPr>
            </w:pPr>
            <w:r>
              <w:rPr>
                <w:rFonts w:hint="default"/>
                <w:b w:val="0"/>
                <w:bCs w:val="0"/>
                <w:u w:val="none"/>
              </w:rPr>
              <w:t>营运期噪声监测内容及监测频率</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082"/>
              <w:gridCol w:w="1459"/>
              <w:gridCol w:w="1804"/>
              <w:gridCol w:w="1744"/>
              <w:gridCol w:w="1951"/>
            </w:tblGrid>
            <w:tr w14:paraId="3A91B41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2" w:type="dxa"/>
                  <w:tcBorders>
                    <w:tl2br w:val="nil"/>
                    <w:tr2bl w:val="nil"/>
                  </w:tcBorders>
                  <w:vAlign w:val="center"/>
                </w:tcPr>
                <w:p w14:paraId="3611E966">
                  <w:pPr>
                    <w:pStyle w:val="45"/>
                    <w:rPr>
                      <w:rFonts w:hint="default"/>
                      <w:b/>
                      <w:bCs/>
                      <w:u w:val="single"/>
                    </w:rPr>
                  </w:pPr>
                  <w:r>
                    <w:rPr>
                      <w:rFonts w:hint="default"/>
                      <w:b/>
                      <w:bCs/>
                      <w:u w:val="single"/>
                    </w:rPr>
                    <w:t>项目</w:t>
                  </w:r>
                </w:p>
              </w:tc>
              <w:tc>
                <w:tcPr>
                  <w:tcW w:w="1459" w:type="dxa"/>
                  <w:tcBorders>
                    <w:tl2br w:val="nil"/>
                    <w:tr2bl w:val="nil"/>
                  </w:tcBorders>
                  <w:vAlign w:val="center"/>
                </w:tcPr>
                <w:p w14:paraId="6833CBA3">
                  <w:pPr>
                    <w:pStyle w:val="45"/>
                    <w:rPr>
                      <w:rFonts w:hint="default"/>
                      <w:b/>
                      <w:bCs/>
                      <w:u w:val="single"/>
                    </w:rPr>
                  </w:pPr>
                  <w:r>
                    <w:rPr>
                      <w:rFonts w:hint="default"/>
                      <w:b/>
                      <w:bCs/>
                      <w:u w:val="single"/>
                    </w:rPr>
                    <w:t>监测位置</w:t>
                  </w:r>
                </w:p>
              </w:tc>
              <w:tc>
                <w:tcPr>
                  <w:tcW w:w="1804" w:type="dxa"/>
                  <w:tcBorders>
                    <w:tl2br w:val="nil"/>
                    <w:tr2bl w:val="nil"/>
                  </w:tcBorders>
                  <w:vAlign w:val="center"/>
                </w:tcPr>
                <w:p w14:paraId="26182766">
                  <w:pPr>
                    <w:pStyle w:val="45"/>
                    <w:rPr>
                      <w:rFonts w:hint="default"/>
                      <w:b/>
                      <w:bCs/>
                      <w:u w:val="single"/>
                    </w:rPr>
                  </w:pPr>
                  <w:r>
                    <w:rPr>
                      <w:rFonts w:hint="default"/>
                      <w:b/>
                      <w:bCs/>
                      <w:u w:val="single"/>
                    </w:rPr>
                    <w:t>监测项目</w:t>
                  </w:r>
                </w:p>
              </w:tc>
              <w:tc>
                <w:tcPr>
                  <w:tcW w:w="1744" w:type="dxa"/>
                  <w:tcBorders>
                    <w:tl2br w:val="nil"/>
                    <w:tr2bl w:val="nil"/>
                  </w:tcBorders>
                  <w:vAlign w:val="center"/>
                </w:tcPr>
                <w:p w14:paraId="07AC3F36">
                  <w:pPr>
                    <w:pStyle w:val="45"/>
                    <w:rPr>
                      <w:rFonts w:hint="default"/>
                      <w:b/>
                      <w:bCs/>
                      <w:u w:val="single"/>
                    </w:rPr>
                  </w:pPr>
                  <w:r>
                    <w:rPr>
                      <w:rFonts w:hint="default"/>
                      <w:b/>
                      <w:bCs/>
                      <w:u w:val="single"/>
                    </w:rPr>
                    <w:t>监测频率</w:t>
                  </w:r>
                </w:p>
              </w:tc>
              <w:tc>
                <w:tcPr>
                  <w:tcW w:w="1951" w:type="dxa"/>
                  <w:tcBorders>
                    <w:tl2br w:val="nil"/>
                    <w:tr2bl w:val="nil"/>
                  </w:tcBorders>
                  <w:vAlign w:val="center"/>
                </w:tcPr>
                <w:p w14:paraId="7601B535">
                  <w:pPr>
                    <w:pStyle w:val="45"/>
                    <w:rPr>
                      <w:rFonts w:hint="default"/>
                      <w:b/>
                      <w:bCs/>
                      <w:u w:val="single"/>
                    </w:rPr>
                  </w:pPr>
                  <w:r>
                    <w:rPr>
                      <w:b/>
                      <w:bCs/>
                      <w:u w:val="single"/>
                    </w:rPr>
                    <w:t>执行标准</w:t>
                  </w:r>
                </w:p>
              </w:tc>
            </w:tr>
            <w:tr w14:paraId="5275486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2" w:type="dxa"/>
                  <w:vMerge w:val="restart"/>
                  <w:tcBorders>
                    <w:tl2br w:val="nil"/>
                    <w:tr2bl w:val="nil"/>
                  </w:tcBorders>
                  <w:vAlign w:val="center"/>
                </w:tcPr>
                <w:p w14:paraId="02B74169">
                  <w:pPr>
                    <w:pStyle w:val="45"/>
                    <w:rPr>
                      <w:rFonts w:hint="default"/>
                      <w:b/>
                      <w:bCs/>
                      <w:u w:val="single"/>
                    </w:rPr>
                  </w:pPr>
                  <w:r>
                    <w:rPr>
                      <w:rFonts w:hint="default"/>
                      <w:b/>
                      <w:bCs/>
                      <w:u w:val="single"/>
                    </w:rPr>
                    <w:t>噪声</w:t>
                  </w:r>
                </w:p>
              </w:tc>
              <w:tc>
                <w:tcPr>
                  <w:tcW w:w="1459" w:type="dxa"/>
                  <w:vMerge w:val="restart"/>
                  <w:tcBorders>
                    <w:tl2br w:val="nil"/>
                    <w:tr2bl w:val="nil"/>
                  </w:tcBorders>
                  <w:vAlign w:val="center"/>
                </w:tcPr>
                <w:p w14:paraId="4B550534">
                  <w:pPr>
                    <w:pStyle w:val="45"/>
                    <w:rPr>
                      <w:rFonts w:hint="default"/>
                      <w:b/>
                      <w:bCs/>
                      <w:u w:val="single"/>
                    </w:rPr>
                  </w:pPr>
                  <w:r>
                    <w:rPr>
                      <w:b/>
                      <w:bCs/>
                      <w:u w:val="single"/>
                    </w:rPr>
                    <w:t>四</w:t>
                  </w:r>
                  <w:r>
                    <w:rPr>
                      <w:rFonts w:hint="default"/>
                      <w:b/>
                      <w:bCs/>
                      <w:u w:val="single"/>
                    </w:rPr>
                    <w:t>厂界外1m</w:t>
                  </w:r>
                </w:p>
              </w:tc>
              <w:tc>
                <w:tcPr>
                  <w:tcW w:w="1804" w:type="dxa"/>
                  <w:tcBorders>
                    <w:tl2br w:val="nil"/>
                    <w:tr2bl w:val="nil"/>
                  </w:tcBorders>
                  <w:vAlign w:val="center"/>
                </w:tcPr>
                <w:p w14:paraId="17B56E3E">
                  <w:pPr>
                    <w:pStyle w:val="45"/>
                    <w:rPr>
                      <w:rFonts w:hint="default"/>
                      <w:b/>
                      <w:bCs/>
                      <w:u w:val="single"/>
                    </w:rPr>
                  </w:pPr>
                  <w:r>
                    <w:rPr>
                      <w:rFonts w:hint="default"/>
                      <w:b/>
                      <w:bCs/>
                      <w:u w:val="single"/>
                    </w:rPr>
                    <w:t>昼间、夜间Leq（A）</w:t>
                  </w:r>
                </w:p>
              </w:tc>
              <w:tc>
                <w:tcPr>
                  <w:tcW w:w="1744" w:type="dxa"/>
                  <w:vMerge w:val="restart"/>
                  <w:tcBorders>
                    <w:tl2br w:val="nil"/>
                    <w:tr2bl w:val="nil"/>
                  </w:tcBorders>
                  <w:vAlign w:val="center"/>
                </w:tcPr>
                <w:p w14:paraId="2652FC8B">
                  <w:pPr>
                    <w:pStyle w:val="45"/>
                    <w:rPr>
                      <w:rFonts w:hint="default"/>
                      <w:b/>
                      <w:bCs/>
                      <w:u w:val="single"/>
                    </w:rPr>
                  </w:pPr>
                  <w:r>
                    <w:rPr>
                      <w:rFonts w:hint="default"/>
                      <w:b/>
                      <w:bCs/>
                      <w:u w:val="single"/>
                    </w:rPr>
                    <w:t>每季度1次，昼夜各一次</w:t>
                  </w:r>
                </w:p>
              </w:tc>
              <w:tc>
                <w:tcPr>
                  <w:tcW w:w="1951" w:type="dxa"/>
                  <w:vMerge w:val="restart"/>
                  <w:tcBorders>
                    <w:tl2br w:val="nil"/>
                    <w:tr2bl w:val="nil"/>
                  </w:tcBorders>
                  <w:vAlign w:val="center"/>
                </w:tcPr>
                <w:p w14:paraId="58AF26ED">
                  <w:pPr>
                    <w:pStyle w:val="45"/>
                    <w:rPr>
                      <w:rFonts w:hint="default"/>
                      <w:b/>
                      <w:bCs/>
                      <w:u w:val="single"/>
                    </w:rPr>
                  </w:pPr>
                  <w:r>
                    <w:rPr>
                      <w:rFonts w:hint="default"/>
                      <w:b/>
                      <w:bCs/>
                      <w:u w:val="single"/>
                    </w:rPr>
                    <w:t>《工业企业厂界环境噪声排放标准》（GB12348-2008）3类</w:t>
                  </w:r>
                </w:p>
              </w:tc>
            </w:tr>
            <w:tr w14:paraId="7E53501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82" w:type="dxa"/>
                  <w:vMerge w:val="continue"/>
                  <w:tcBorders>
                    <w:tl2br w:val="nil"/>
                    <w:tr2bl w:val="nil"/>
                  </w:tcBorders>
                  <w:vAlign w:val="center"/>
                </w:tcPr>
                <w:p w14:paraId="27A481E9">
                  <w:pPr>
                    <w:pStyle w:val="45"/>
                    <w:rPr>
                      <w:rFonts w:hint="default"/>
                      <w:b/>
                      <w:bCs/>
                      <w:u w:val="single"/>
                    </w:rPr>
                  </w:pPr>
                </w:p>
              </w:tc>
              <w:tc>
                <w:tcPr>
                  <w:tcW w:w="1459" w:type="dxa"/>
                  <w:vMerge w:val="continue"/>
                  <w:tcBorders>
                    <w:tl2br w:val="nil"/>
                    <w:tr2bl w:val="nil"/>
                  </w:tcBorders>
                  <w:vAlign w:val="center"/>
                </w:tcPr>
                <w:p w14:paraId="0AE6ADD6">
                  <w:pPr>
                    <w:pStyle w:val="45"/>
                    <w:rPr>
                      <w:b/>
                      <w:bCs/>
                      <w:u w:val="single"/>
                    </w:rPr>
                  </w:pPr>
                </w:p>
              </w:tc>
              <w:tc>
                <w:tcPr>
                  <w:tcW w:w="1804" w:type="dxa"/>
                  <w:tcBorders>
                    <w:tl2br w:val="nil"/>
                    <w:tr2bl w:val="nil"/>
                  </w:tcBorders>
                  <w:vAlign w:val="center"/>
                </w:tcPr>
                <w:p w14:paraId="188C3769">
                  <w:pPr>
                    <w:pStyle w:val="45"/>
                    <w:rPr>
                      <w:rFonts w:hint="default" w:eastAsia="宋体"/>
                      <w:b/>
                      <w:bCs/>
                      <w:u w:val="single"/>
                      <w:lang w:val="en-US" w:eastAsia="zh-CN"/>
                    </w:rPr>
                  </w:pPr>
                  <w:r>
                    <w:rPr>
                      <w:rFonts w:hint="eastAsia"/>
                      <w:b/>
                      <w:bCs/>
                      <w:u w:val="single"/>
                      <w:lang w:val="en-US" w:eastAsia="zh-CN"/>
                    </w:rPr>
                    <w:t>夜间Lmax</w:t>
                  </w:r>
                </w:p>
              </w:tc>
              <w:tc>
                <w:tcPr>
                  <w:tcW w:w="1744" w:type="dxa"/>
                  <w:vMerge w:val="continue"/>
                  <w:tcBorders>
                    <w:tl2br w:val="nil"/>
                    <w:tr2bl w:val="nil"/>
                  </w:tcBorders>
                  <w:vAlign w:val="center"/>
                </w:tcPr>
                <w:p w14:paraId="03F7C619">
                  <w:pPr>
                    <w:pStyle w:val="45"/>
                    <w:rPr>
                      <w:rFonts w:hint="default"/>
                      <w:b/>
                      <w:bCs/>
                      <w:u w:val="single"/>
                    </w:rPr>
                  </w:pPr>
                </w:p>
              </w:tc>
              <w:tc>
                <w:tcPr>
                  <w:tcW w:w="1951" w:type="dxa"/>
                  <w:vMerge w:val="continue"/>
                  <w:tcBorders>
                    <w:tl2br w:val="nil"/>
                    <w:tr2bl w:val="nil"/>
                  </w:tcBorders>
                  <w:vAlign w:val="center"/>
                </w:tcPr>
                <w:p w14:paraId="1177C0C0">
                  <w:pPr>
                    <w:pStyle w:val="45"/>
                    <w:rPr>
                      <w:rFonts w:hint="default"/>
                      <w:b/>
                      <w:bCs/>
                      <w:u w:val="single"/>
                    </w:rPr>
                  </w:pPr>
                </w:p>
              </w:tc>
            </w:tr>
            <w:tr w14:paraId="6DADA1E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040" w:type="dxa"/>
                  <w:gridSpan w:val="5"/>
                  <w:tcBorders>
                    <w:tl2br w:val="nil"/>
                    <w:tr2bl w:val="nil"/>
                  </w:tcBorders>
                  <w:vAlign w:val="center"/>
                </w:tcPr>
                <w:p w14:paraId="2A1FAA37">
                  <w:pPr>
                    <w:pStyle w:val="45"/>
                    <w:rPr>
                      <w:rFonts w:hint="default"/>
                      <w:b/>
                      <w:bCs/>
                      <w:u w:val="single"/>
                    </w:rPr>
                  </w:pPr>
                  <w:r>
                    <w:rPr>
                      <w:rFonts w:hint="default"/>
                      <w:b/>
                      <w:bCs/>
                      <w:u w:val="single"/>
                    </w:rPr>
                    <w:t>夜间频发、偶发噪声需监测最大A 声级Lmax，频发噪声、偶发噪声在发生时进行监测。</w:t>
                  </w:r>
                </w:p>
              </w:tc>
            </w:tr>
          </w:tbl>
          <w:p w14:paraId="7867B6B6">
            <w:pPr>
              <w:pStyle w:val="4"/>
              <w:numPr>
                <w:ilvl w:val="1"/>
                <w:numId w:val="3"/>
              </w:numPr>
              <w:tabs>
                <w:tab w:val="left" w:pos="0"/>
              </w:tabs>
              <w:rPr>
                <w:b w:val="0"/>
                <w:bCs w:val="0"/>
                <w:u w:val="none"/>
              </w:rPr>
            </w:pPr>
            <w:r>
              <w:rPr>
                <w:b w:val="0"/>
                <w:bCs w:val="0"/>
                <w:u w:val="none"/>
              </w:rPr>
              <w:t>固废环境影响分析及治理措施</w:t>
            </w:r>
          </w:p>
          <w:p w14:paraId="3DD96AC4">
            <w:pPr>
              <w:pStyle w:val="6"/>
              <w:numPr>
                <w:ilvl w:val="2"/>
                <w:numId w:val="3"/>
              </w:numPr>
              <w:rPr>
                <w:b w:val="0"/>
                <w:bCs w:val="0"/>
                <w:u w:val="none"/>
              </w:rPr>
            </w:pPr>
            <w:r>
              <w:rPr>
                <w:b w:val="0"/>
                <w:bCs w:val="0"/>
                <w:u w:val="none"/>
              </w:rPr>
              <w:t>污染源分析</w:t>
            </w:r>
          </w:p>
          <w:p w14:paraId="58E1A46A">
            <w:pPr>
              <w:pStyle w:val="5"/>
              <w:rPr>
                <w:rFonts w:hint="default"/>
                <w:b w:val="0"/>
                <w:bCs w:val="0"/>
                <w:u w:val="none"/>
              </w:rPr>
            </w:pPr>
            <w:r>
              <w:rPr>
                <w:rFonts w:hint="default"/>
                <w:b w:val="0"/>
                <w:bCs w:val="0"/>
                <w:u w:val="none"/>
              </w:rPr>
              <w:t>本项目运行过程产生的一般固废主要为废包装、</w:t>
            </w:r>
            <w:r>
              <w:rPr>
                <w:b w:val="0"/>
                <w:bCs w:val="0"/>
                <w:u w:val="none"/>
              </w:rPr>
              <w:t>废脱硫剂</w:t>
            </w:r>
            <w:r>
              <w:rPr>
                <w:rFonts w:hint="default"/>
                <w:b w:val="0"/>
                <w:bCs w:val="0"/>
                <w:u w:val="none"/>
              </w:rPr>
              <w:t>、</w:t>
            </w:r>
            <w:r>
              <w:rPr>
                <w:b w:val="0"/>
                <w:bCs w:val="0"/>
                <w:u w:val="none"/>
              </w:rPr>
              <w:t>废分子筛</w:t>
            </w:r>
            <w:r>
              <w:rPr>
                <w:rFonts w:hint="default"/>
                <w:b w:val="0"/>
                <w:bCs w:val="0"/>
                <w:u w:val="none"/>
              </w:rPr>
              <w:t>以及</w:t>
            </w:r>
            <w:r>
              <w:rPr>
                <w:b w:val="0"/>
                <w:bCs w:val="0"/>
                <w:u w:val="none"/>
              </w:rPr>
              <w:t>生活垃圾</w:t>
            </w:r>
            <w:r>
              <w:rPr>
                <w:rFonts w:hint="default"/>
                <w:b w:val="0"/>
                <w:bCs w:val="0"/>
                <w:u w:val="none"/>
              </w:rPr>
              <w:t>，危险废物主要为</w:t>
            </w:r>
            <w:r>
              <w:rPr>
                <w:b w:val="0"/>
                <w:bCs w:val="0"/>
                <w:u w:val="none"/>
              </w:rPr>
              <w:t>废润滑油、废油桶</w:t>
            </w:r>
            <w:r>
              <w:rPr>
                <w:rFonts w:hint="default"/>
                <w:b w:val="0"/>
                <w:bCs w:val="0"/>
                <w:u w:val="none"/>
              </w:rPr>
              <w:t>。</w:t>
            </w:r>
          </w:p>
          <w:p w14:paraId="636D4DB9">
            <w:pPr>
              <w:pStyle w:val="5"/>
              <w:rPr>
                <w:rFonts w:hint="default"/>
                <w:b w:val="0"/>
                <w:bCs w:val="0"/>
                <w:u w:val="none"/>
              </w:rPr>
            </w:pPr>
            <w:r>
              <w:rPr>
                <w:rFonts w:hint="default"/>
                <w:b w:val="0"/>
                <w:bCs w:val="0"/>
                <w:u w:val="none"/>
              </w:rPr>
              <w:t>（1）一般固废</w:t>
            </w:r>
          </w:p>
          <w:p w14:paraId="734B9C87">
            <w:pPr>
              <w:pStyle w:val="5"/>
              <w:rPr>
                <w:rFonts w:hint="default"/>
                <w:b w:val="0"/>
                <w:bCs w:val="0"/>
                <w:u w:val="none"/>
              </w:rPr>
            </w:pPr>
            <w:r>
              <w:rPr>
                <w:b w:val="0"/>
                <w:bCs w:val="0"/>
                <w:u w:val="none"/>
              </w:rPr>
              <w:t>一般废包装：脱硫剂采用袋装包装，年用量为8t，其规格均为25kg/袋，共计约320包装袋，平均每个包装袋重约0.5kg，则项目废包装材料产生量约0.16t/a。收集后外售处理。</w:t>
            </w:r>
          </w:p>
          <w:p w14:paraId="36C0DD95">
            <w:pPr>
              <w:pStyle w:val="5"/>
              <w:rPr>
                <w:rFonts w:hint="default"/>
                <w:b w:val="0"/>
                <w:bCs w:val="0"/>
                <w:u w:val="none"/>
              </w:rPr>
            </w:pPr>
            <w:r>
              <w:rPr>
                <w:b w:val="0"/>
                <w:bCs w:val="0"/>
                <w:u w:val="none"/>
              </w:rPr>
              <w:t>废脱硫剂：根据物料衡算，脱硫剂吸附硫份为1.78t/a，则废废脱硫剂产生量为9.78t/a。</w:t>
            </w:r>
          </w:p>
          <w:p w14:paraId="20015E65">
            <w:pPr>
              <w:pStyle w:val="5"/>
              <w:rPr>
                <w:rFonts w:hint="default"/>
                <w:b w:val="0"/>
                <w:bCs w:val="0"/>
                <w:u w:val="none"/>
              </w:rPr>
            </w:pPr>
            <w:r>
              <w:rPr>
                <w:b w:val="0"/>
                <w:bCs w:val="0"/>
                <w:u w:val="none"/>
              </w:rPr>
              <w:t>废分子筛：项目废分子筛产生量为10t/5a。分子筛可以吸附的水份在高温脱附后可重复利用，需每五年更换一次。</w:t>
            </w:r>
          </w:p>
          <w:p w14:paraId="6F8F042F">
            <w:pPr>
              <w:pStyle w:val="5"/>
              <w:rPr>
                <w:rFonts w:hint="default"/>
                <w:b w:val="0"/>
                <w:bCs w:val="0"/>
                <w:u w:val="none"/>
              </w:rPr>
            </w:pPr>
            <w:r>
              <w:rPr>
                <w:b w:val="0"/>
                <w:bCs w:val="0"/>
                <w:u w:val="none"/>
              </w:rPr>
              <w:t>生活垃圾：项目劳动定员35人，生活垃圾产生量按0.2kg/人·d计算，产生总量为2.1t/a。生活垃圾经收集后交由环卫部门统一处理。</w:t>
            </w:r>
          </w:p>
          <w:p w14:paraId="5CA06174">
            <w:pPr>
              <w:pStyle w:val="44"/>
              <w:numPr>
                <w:ilvl w:val="0"/>
                <w:numId w:val="2"/>
              </w:numPr>
              <w:rPr>
                <w:rFonts w:hint="default"/>
                <w:b w:val="0"/>
                <w:bCs w:val="0"/>
                <w:u w:val="none"/>
              </w:rPr>
            </w:pPr>
            <w:r>
              <w:rPr>
                <w:rFonts w:hint="default"/>
                <w:b w:val="0"/>
                <w:bCs w:val="0"/>
                <w:u w:val="none"/>
              </w:rPr>
              <w:t>本项目一般工业固废产排情况一览表</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997"/>
              <w:gridCol w:w="997"/>
              <w:gridCol w:w="998"/>
              <w:gridCol w:w="998"/>
              <w:gridCol w:w="998"/>
              <w:gridCol w:w="998"/>
              <w:gridCol w:w="1056"/>
              <w:gridCol w:w="998"/>
            </w:tblGrid>
            <w:tr w14:paraId="7FAD4FB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40" w:hRule="atLeast"/>
                <w:jc w:val="center"/>
              </w:trPr>
              <w:tc>
                <w:tcPr>
                  <w:tcW w:w="625" w:type="pct"/>
                  <w:tcBorders>
                    <w:tl2br w:val="nil"/>
                    <w:tr2bl w:val="nil"/>
                  </w:tcBorders>
                  <w:shd w:val="clear" w:color="auto" w:fill="auto"/>
                  <w:vAlign w:val="center"/>
                </w:tcPr>
                <w:p w14:paraId="0FC78C04">
                  <w:pPr>
                    <w:pStyle w:val="45"/>
                    <w:rPr>
                      <w:rFonts w:hint="default"/>
                      <w:b w:val="0"/>
                      <w:bCs w:val="0"/>
                      <w:u w:val="none"/>
                    </w:rPr>
                  </w:pPr>
                  <w:r>
                    <w:rPr>
                      <w:b w:val="0"/>
                      <w:bCs w:val="0"/>
                      <w:u w:val="none"/>
                    </w:rPr>
                    <w:t>序号</w:t>
                  </w:r>
                </w:p>
              </w:tc>
              <w:tc>
                <w:tcPr>
                  <w:tcW w:w="625" w:type="pct"/>
                  <w:tcBorders>
                    <w:tl2br w:val="nil"/>
                    <w:tr2bl w:val="nil"/>
                  </w:tcBorders>
                  <w:shd w:val="clear" w:color="auto" w:fill="auto"/>
                  <w:vAlign w:val="center"/>
                </w:tcPr>
                <w:p w14:paraId="75532601">
                  <w:pPr>
                    <w:pStyle w:val="45"/>
                    <w:rPr>
                      <w:rFonts w:hint="default"/>
                      <w:b w:val="0"/>
                      <w:bCs w:val="0"/>
                      <w:u w:val="none"/>
                    </w:rPr>
                  </w:pPr>
                  <w:r>
                    <w:rPr>
                      <w:b w:val="0"/>
                      <w:bCs w:val="0"/>
                      <w:u w:val="none"/>
                    </w:rPr>
                    <w:t>固废名称</w:t>
                  </w:r>
                </w:p>
              </w:tc>
              <w:tc>
                <w:tcPr>
                  <w:tcW w:w="625" w:type="pct"/>
                  <w:tcBorders>
                    <w:tl2br w:val="nil"/>
                    <w:tr2bl w:val="nil"/>
                  </w:tcBorders>
                  <w:shd w:val="clear" w:color="auto" w:fill="auto"/>
                  <w:vAlign w:val="center"/>
                </w:tcPr>
                <w:p w14:paraId="11E5E92E">
                  <w:pPr>
                    <w:pStyle w:val="45"/>
                    <w:rPr>
                      <w:rFonts w:hint="default"/>
                      <w:b w:val="0"/>
                      <w:bCs w:val="0"/>
                      <w:u w:val="none"/>
                    </w:rPr>
                  </w:pPr>
                  <w:r>
                    <w:rPr>
                      <w:b w:val="0"/>
                      <w:bCs w:val="0"/>
                      <w:u w:val="none"/>
                    </w:rPr>
                    <w:t>产生环节</w:t>
                  </w:r>
                </w:p>
              </w:tc>
              <w:tc>
                <w:tcPr>
                  <w:tcW w:w="625" w:type="pct"/>
                  <w:tcBorders>
                    <w:tl2br w:val="nil"/>
                    <w:tr2bl w:val="nil"/>
                  </w:tcBorders>
                  <w:shd w:val="clear" w:color="auto" w:fill="auto"/>
                  <w:vAlign w:val="center"/>
                </w:tcPr>
                <w:p w14:paraId="3C2F4415">
                  <w:pPr>
                    <w:pStyle w:val="45"/>
                    <w:rPr>
                      <w:rFonts w:hint="default"/>
                      <w:b w:val="0"/>
                      <w:bCs w:val="0"/>
                      <w:u w:val="none"/>
                    </w:rPr>
                  </w:pPr>
                  <w:r>
                    <w:rPr>
                      <w:b w:val="0"/>
                      <w:bCs w:val="0"/>
                      <w:u w:val="none"/>
                    </w:rPr>
                    <w:t>物理性状</w:t>
                  </w:r>
                </w:p>
              </w:tc>
              <w:tc>
                <w:tcPr>
                  <w:tcW w:w="625" w:type="pct"/>
                  <w:tcBorders>
                    <w:tl2br w:val="nil"/>
                    <w:tr2bl w:val="nil"/>
                  </w:tcBorders>
                  <w:shd w:val="clear" w:color="auto" w:fill="auto"/>
                  <w:vAlign w:val="center"/>
                </w:tcPr>
                <w:p w14:paraId="7C53A035">
                  <w:pPr>
                    <w:pStyle w:val="45"/>
                    <w:rPr>
                      <w:rFonts w:hint="default"/>
                      <w:b w:val="0"/>
                      <w:bCs w:val="0"/>
                      <w:u w:val="none"/>
                    </w:rPr>
                  </w:pPr>
                  <w:r>
                    <w:rPr>
                      <w:b w:val="0"/>
                      <w:bCs w:val="0"/>
                      <w:u w:val="none"/>
                    </w:rPr>
                    <w:t>产生量</w:t>
                  </w:r>
                </w:p>
              </w:tc>
              <w:tc>
                <w:tcPr>
                  <w:tcW w:w="625" w:type="pct"/>
                  <w:tcBorders>
                    <w:tl2br w:val="nil"/>
                    <w:tr2bl w:val="nil"/>
                  </w:tcBorders>
                  <w:shd w:val="clear" w:color="auto" w:fill="auto"/>
                  <w:vAlign w:val="center"/>
                </w:tcPr>
                <w:p w14:paraId="2F361581">
                  <w:pPr>
                    <w:pStyle w:val="45"/>
                    <w:rPr>
                      <w:rFonts w:hint="default"/>
                      <w:b w:val="0"/>
                      <w:bCs w:val="0"/>
                      <w:u w:val="none"/>
                    </w:rPr>
                  </w:pPr>
                  <w:r>
                    <w:rPr>
                      <w:b w:val="0"/>
                      <w:bCs w:val="0"/>
                      <w:u w:val="none"/>
                    </w:rPr>
                    <w:t>固废属性</w:t>
                  </w:r>
                </w:p>
              </w:tc>
              <w:tc>
                <w:tcPr>
                  <w:tcW w:w="625" w:type="pct"/>
                  <w:tcBorders>
                    <w:tl2br w:val="nil"/>
                    <w:tr2bl w:val="nil"/>
                  </w:tcBorders>
                  <w:shd w:val="clear" w:color="auto" w:fill="auto"/>
                  <w:vAlign w:val="center"/>
                </w:tcPr>
                <w:p w14:paraId="48E3C044">
                  <w:pPr>
                    <w:pStyle w:val="45"/>
                    <w:rPr>
                      <w:rFonts w:hint="default"/>
                      <w:b w:val="0"/>
                      <w:bCs w:val="0"/>
                      <w:u w:val="none"/>
                    </w:rPr>
                  </w:pPr>
                  <w:r>
                    <w:rPr>
                      <w:b w:val="0"/>
                      <w:bCs w:val="0"/>
                      <w:u w:val="none"/>
                    </w:rPr>
                    <w:t>固废代码</w:t>
                  </w:r>
                </w:p>
              </w:tc>
              <w:tc>
                <w:tcPr>
                  <w:tcW w:w="625" w:type="pct"/>
                  <w:tcBorders>
                    <w:tl2br w:val="nil"/>
                    <w:tr2bl w:val="nil"/>
                  </w:tcBorders>
                  <w:shd w:val="clear" w:color="auto" w:fill="auto"/>
                  <w:vAlign w:val="center"/>
                </w:tcPr>
                <w:p w14:paraId="6453D8B4">
                  <w:pPr>
                    <w:pStyle w:val="45"/>
                    <w:rPr>
                      <w:rFonts w:hint="default"/>
                      <w:b w:val="0"/>
                      <w:bCs w:val="0"/>
                      <w:u w:val="none"/>
                    </w:rPr>
                  </w:pPr>
                  <w:r>
                    <w:rPr>
                      <w:b w:val="0"/>
                      <w:bCs w:val="0"/>
                      <w:u w:val="none"/>
                    </w:rPr>
                    <w:t>贮存、利用或处置情况</w:t>
                  </w:r>
                </w:p>
              </w:tc>
            </w:tr>
            <w:tr w14:paraId="211CA89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5" w:type="pct"/>
                  <w:tcBorders>
                    <w:tl2br w:val="nil"/>
                    <w:tr2bl w:val="nil"/>
                  </w:tcBorders>
                  <w:shd w:val="clear" w:color="auto" w:fill="auto"/>
                  <w:vAlign w:val="center"/>
                </w:tcPr>
                <w:p w14:paraId="36D86059">
                  <w:pPr>
                    <w:pStyle w:val="45"/>
                    <w:rPr>
                      <w:rFonts w:hint="default"/>
                      <w:b w:val="0"/>
                      <w:bCs w:val="0"/>
                      <w:u w:val="none"/>
                    </w:rPr>
                  </w:pPr>
                  <w:r>
                    <w:rPr>
                      <w:rFonts w:hint="default"/>
                      <w:b w:val="0"/>
                      <w:bCs w:val="0"/>
                      <w:u w:val="none"/>
                    </w:rPr>
                    <w:t>S1</w:t>
                  </w:r>
                </w:p>
              </w:tc>
              <w:tc>
                <w:tcPr>
                  <w:tcW w:w="625" w:type="pct"/>
                  <w:tcBorders>
                    <w:tl2br w:val="nil"/>
                    <w:tr2bl w:val="nil"/>
                  </w:tcBorders>
                  <w:shd w:val="clear" w:color="auto" w:fill="auto"/>
                  <w:vAlign w:val="center"/>
                </w:tcPr>
                <w:p w14:paraId="25F4FECA">
                  <w:pPr>
                    <w:pStyle w:val="45"/>
                    <w:rPr>
                      <w:rFonts w:hint="default"/>
                      <w:b w:val="0"/>
                      <w:bCs w:val="0"/>
                      <w:u w:val="none"/>
                    </w:rPr>
                  </w:pPr>
                  <w:r>
                    <w:rPr>
                      <w:b w:val="0"/>
                      <w:bCs w:val="0"/>
                      <w:u w:val="none"/>
                    </w:rPr>
                    <w:t>一般废包装</w:t>
                  </w:r>
                </w:p>
              </w:tc>
              <w:tc>
                <w:tcPr>
                  <w:tcW w:w="625" w:type="pct"/>
                  <w:tcBorders>
                    <w:tl2br w:val="nil"/>
                    <w:tr2bl w:val="nil"/>
                  </w:tcBorders>
                  <w:shd w:val="clear" w:color="auto" w:fill="auto"/>
                  <w:vAlign w:val="center"/>
                </w:tcPr>
                <w:p w14:paraId="42DF57A9">
                  <w:pPr>
                    <w:pStyle w:val="45"/>
                    <w:rPr>
                      <w:rFonts w:hint="default"/>
                      <w:b w:val="0"/>
                      <w:bCs w:val="0"/>
                      <w:u w:val="none"/>
                    </w:rPr>
                  </w:pPr>
                  <w:r>
                    <w:rPr>
                      <w:b w:val="0"/>
                      <w:bCs w:val="0"/>
                      <w:u w:val="none"/>
                    </w:rPr>
                    <w:t>原料贮存</w:t>
                  </w:r>
                </w:p>
              </w:tc>
              <w:tc>
                <w:tcPr>
                  <w:tcW w:w="625" w:type="pct"/>
                  <w:tcBorders>
                    <w:tl2br w:val="nil"/>
                    <w:tr2bl w:val="nil"/>
                  </w:tcBorders>
                  <w:shd w:val="clear" w:color="auto" w:fill="auto"/>
                  <w:vAlign w:val="center"/>
                </w:tcPr>
                <w:p w14:paraId="0D32C4CA">
                  <w:pPr>
                    <w:pStyle w:val="45"/>
                    <w:rPr>
                      <w:rFonts w:hint="default"/>
                      <w:b w:val="0"/>
                      <w:bCs w:val="0"/>
                      <w:u w:val="none"/>
                    </w:rPr>
                  </w:pPr>
                  <w:r>
                    <w:rPr>
                      <w:b w:val="0"/>
                      <w:bCs w:val="0"/>
                      <w:u w:val="none"/>
                    </w:rPr>
                    <w:t>固态</w:t>
                  </w:r>
                </w:p>
              </w:tc>
              <w:tc>
                <w:tcPr>
                  <w:tcW w:w="625" w:type="pct"/>
                  <w:tcBorders>
                    <w:tl2br w:val="nil"/>
                    <w:tr2bl w:val="nil"/>
                  </w:tcBorders>
                  <w:shd w:val="clear" w:color="auto" w:fill="auto"/>
                  <w:vAlign w:val="center"/>
                </w:tcPr>
                <w:p w14:paraId="6FB43D6A">
                  <w:pPr>
                    <w:pStyle w:val="45"/>
                    <w:rPr>
                      <w:rFonts w:hint="default"/>
                      <w:b w:val="0"/>
                      <w:bCs w:val="0"/>
                      <w:u w:val="none"/>
                    </w:rPr>
                  </w:pPr>
                  <w:r>
                    <w:rPr>
                      <w:b w:val="0"/>
                      <w:bCs w:val="0"/>
                      <w:u w:val="none"/>
                    </w:rPr>
                    <w:t>0.16</w:t>
                  </w:r>
                  <w:r>
                    <w:rPr>
                      <w:rFonts w:hint="default"/>
                      <w:b w:val="0"/>
                      <w:bCs w:val="0"/>
                      <w:u w:val="none"/>
                    </w:rPr>
                    <w:t>t/a</w:t>
                  </w:r>
                </w:p>
              </w:tc>
              <w:tc>
                <w:tcPr>
                  <w:tcW w:w="625" w:type="pct"/>
                  <w:tcBorders>
                    <w:tl2br w:val="nil"/>
                    <w:tr2bl w:val="nil"/>
                  </w:tcBorders>
                  <w:shd w:val="clear" w:color="auto" w:fill="auto"/>
                  <w:vAlign w:val="center"/>
                </w:tcPr>
                <w:p w14:paraId="70A50903">
                  <w:pPr>
                    <w:pStyle w:val="45"/>
                    <w:rPr>
                      <w:rFonts w:hint="default"/>
                      <w:b w:val="0"/>
                      <w:bCs w:val="0"/>
                      <w:u w:val="none"/>
                    </w:rPr>
                  </w:pPr>
                  <w:r>
                    <w:rPr>
                      <w:b w:val="0"/>
                      <w:bCs w:val="0"/>
                      <w:u w:val="none"/>
                    </w:rPr>
                    <w:t>一般工业固废</w:t>
                  </w:r>
                </w:p>
              </w:tc>
              <w:tc>
                <w:tcPr>
                  <w:tcW w:w="625" w:type="pct"/>
                  <w:tcBorders>
                    <w:tl2br w:val="nil"/>
                    <w:tr2bl w:val="nil"/>
                  </w:tcBorders>
                  <w:shd w:val="clear" w:color="auto" w:fill="auto"/>
                  <w:vAlign w:val="center"/>
                </w:tcPr>
                <w:p w14:paraId="06579B86">
                  <w:pPr>
                    <w:pStyle w:val="45"/>
                    <w:rPr>
                      <w:rFonts w:hint="default"/>
                      <w:b w:val="0"/>
                      <w:bCs w:val="0"/>
                      <w:u w:val="none"/>
                    </w:rPr>
                  </w:pPr>
                  <w:r>
                    <w:rPr>
                      <w:rFonts w:hint="default"/>
                      <w:b w:val="0"/>
                      <w:bCs w:val="0"/>
                      <w:u w:val="none"/>
                    </w:rPr>
                    <w:t>261-001-06</w:t>
                  </w:r>
                </w:p>
              </w:tc>
              <w:tc>
                <w:tcPr>
                  <w:tcW w:w="625" w:type="pct"/>
                  <w:vMerge w:val="restart"/>
                  <w:tcBorders>
                    <w:tl2br w:val="nil"/>
                    <w:tr2bl w:val="nil"/>
                  </w:tcBorders>
                  <w:shd w:val="clear" w:color="auto" w:fill="auto"/>
                  <w:vAlign w:val="center"/>
                </w:tcPr>
                <w:p w14:paraId="69F618A7">
                  <w:pPr>
                    <w:pStyle w:val="45"/>
                    <w:rPr>
                      <w:rFonts w:hint="default"/>
                      <w:b w:val="0"/>
                      <w:bCs w:val="0"/>
                      <w:u w:val="none"/>
                    </w:rPr>
                  </w:pPr>
                  <w:r>
                    <w:rPr>
                      <w:b w:val="0"/>
                      <w:bCs w:val="0"/>
                      <w:u w:val="none"/>
                    </w:rPr>
                    <w:t>分类收集暂存在一般固废暂存间，外售</w:t>
                  </w:r>
                </w:p>
              </w:tc>
            </w:tr>
            <w:tr w14:paraId="5250B65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5" w:type="pct"/>
                  <w:tcBorders>
                    <w:tl2br w:val="nil"/>
                    <w:tr2bl w:val="nil"/>
                  </w:tcBorders>
                  <w:shd w:val="clear" w:color="auto" w:fill="auto"/>
                  <w:vAlign w:val="center"/>
                </w:tcPr>
                <w:p w14:paraId="637D8917">
                  <w:pPr>
                    <w:pStyle w:val="45"/>
                    <w:rPr>
                      <w:rFonts w:hint="default"/>
                      <w:b w:val="0"/>
                      <w:bCs w:val="0"/>
                      <w:u w:val="none"/>
                    </w:rPr>
                  </w:pPr>
                  <w:r>
                    <w:rPr>
                      <w:rFonts w:hint="default"/>
                      <w:b w:val="0"/>
                      <w:bCs w:val="0"/>
                      <w:u w:val="none"/>
                    </w:rPr>
                    <w:t>S2</w:t>
                  </w:r>
                </w:p>
              </w:tc>
              <w:tc>
                <w:tcPr>
                  <w:tcW w:w="625" w:type="pct"/>
                  <w:tcBorders>
                    <w:tl2br w:val="nil"/>
                    <w:tr2bl w:val="nil"/>
                  </w:tcBorders>
                  <w:shd w:val="clear" w:color="auto" w:fill="auto"/>
                  <w:vAlign w:val="center"/>
                </w:tcPr>
                <w:p w14:paraId="6201336F">
                  <w:pPr>
                    <w:pStyle w:val="45"/>
                    <w:rPr>
                      <w:rFonts w:hint="default"/>
                      <w:b w:val="0"/>
                      <w:bCs w:val="0"/>
                      <w:u w:val="none"/>
                    </w:rPr>
                  </w:pPr>
                  <w:r>
                    <w:rPr>
                      <w:b w:val="0"/>
                      <w:bCs w:val="0"/>
                      <w:u w:val="none"/>
                    </w:rPr>
                    <w:t>废脱硫剂</w:t>
                  </w:r>
                </w:p>
              </w:tc>
              <w:tc>
                <w:tcPr>
                  <w:tcW w:w="625" w:type="pct"/>
                  <w:tcBorders>
                    <w:tl2br w:val="nil"/>
                    <w:tr2bl w:val="nil"/>
                  </w:tcBorders>
                  <w:shd w:val="clear" w:color="auto" w:fill="auto"/>
                  <w:vAlign w:val="center"/>
                </w:tcPr>
                <w:p w14:paraId="631F21BB">
                  <w:pPr>
                    <w:pStyle w:val="45"/>
                    <w:rPr>
                      <w:rFonts w:hint="default"/>
                      <w:b w:val="0"/>
                      <w:bCs w:val="0"/>
                      <w:u w:val="none"/>
                    </w:rPr>
                  </w:pPr>
                  <w:r>
                    <w:rPr>
                      <w:b w:val="0"/>
                      <w:bCs w:val="0"/>
                      <w:u w:val="none"/>
                    </w:rPr>
                    <w:t>粗/精脱硫塔</w:t>
                  </w:r>
                </w:p>
              </w:tc>
              <w:tc>
                <w:tcPr>
                  <w:tcW w:w="625" w:type="pct"/>
                  <w:tcBorders>
                    <w:tl2br w:val="nil"/>
                    <w:tr2bl w:val="nil"/>
                  </w:tcBorders>
                  <w:shd w:val="clear" w:color="auto" w:fill="auto"/>
                  <w:vAlign w:val="center"/>
                </w:tcPr>
                <w:p w14:paraId="3C5DFF2A">
                  <w:pPr>
                    <w:pStyle w:val="45"/>
                    <w:rPr>
                      <w:rFonts w:hint="default"/>
                      <w:b w:val="0"/>
                      <w:bCs w:val="0"/>
                      <w:u w:val="none"/>
                    </w:rPr>
                  </w:pPr>
                  <w:r>
                    <w:rPr>
                      <w:b w:val="0"/>
                      <w:bCs w:val="0"/>
                      <w:u w:val="none"/>
                    </w:rPr>
                    <w:t>固态</w:t>
                  </w:r>
                </w:p>
              </w:tc>
              <w:tc>
                <w:tcPr>
                  <w:tcW w:w="625" w:type="pct"/>
                  <w:tcBorders>
                    <w:tl2br w:val="nil"/>
                    <w:tr2bl w:val="nil"/>
                  </w:tcBorders>
                  <w:shd w:val="clear" w:color="auto" w:fill="auto"/>
                  <w:vAlign w:val="center"/>
                </w:tcPr>
                <w:p w14:paraId="7D12CE3D">
                  <w:pPr>
                    <w:pStyle w:val="45"/>
                    <w:rPr>
                      <w:rFonts w:hint="default"/>
                      <w:b w:val="0"/>
                      <w:bCs w:val="0"/>
                      <w:u w:val="none"/>
                    </w:rPr>
                  </w:pPr>
                  <w:r>
                    <w:rPr>
                      <w:b w:val="0"/>
                      <w:bCs w:val="0"/>
                      <w:u w:val="none"/>
                    </w:rPr>
                    <w:t>9.78</w:t>
                  </w:r>
                  <w:r>
                    <w:rPr>
                      <w:rFonts w:hint="default"/>
                      <w:b w:val="0"/>
                      <w:bCs w:val="0"/>
                      <w:u w:val="none"/>
                    </w:rPr>
                    <w:t>t/a</w:t>
                  </w:r>
                </w:p>
              </w:tc>
              <w:tc>
                <w:tcPr>
                  <w:tcW w:w="625" w:type="pct"/>
                  <w:tcBorders>
                    <w:tl2br w:val="nil"/>
                    <w:tr2bl w:val="nil"/>
                  </w:tcBorders>
                  <w:shd w:val="clear" w:color="auto" w:fill="auto"/>
                  <w:vAlign w:val="center"/>
                </w:tcPr>
                <w:p w14:paraId="557EEE26">
                  <w:pPr>
                    <w:pStyle w:val="45"/>
                    <w:rPr>
                      <w:rFonts w:hint="default"/>
                      <w:b w:val="0"/>
                      <w:bCs w:val="0"/>
                      <w:u w:val="none"/>
                    </w:rPr>
                  </w:pPr>
                  <w:r>
                    <w:rPr>
                      <w:b w:val="0"/>
                      <w:bCs w:val="0"/>
                      <w:u w:val="none"/>
                    </w:rPr>
                    <w:t>一般工业固废</w:t>
                  </w:r>
                </w:p>
              </w:tc>
              <w:tc>
                <w:tcPr>
                  <w:tcW w:w="625" w:type="pct"/>
                  <w:tcBorders>
                    <w:tl2br w:val="nil"/>
                    <w:tr2bl w:val="nil"/>
                  </w:tcBorders>
                  <w:shd w:val="clear" w:color="auto" w:fill="auto"/>
                  <w:vAlign w:val="center"/>
                </w:tcPr>
                <w:p w14:paraId="0183088B">
                  <w:pPr>
                    <w:pStyle w:val="45"/>
                    <w:rPr>
                      <w:rFonts w:hint="default"/>
                      <w:b w:val="0"/>
                      <w:bCs w:val="0"/>
                      <w:u w:val="none"/>
                    </w:rPr>
                  </w:pPr>
                  <w:r>
                    <w:rPr>
                      <w:rFonts w:hint="default"/>
                      <w:b w:val="0"/>
                      <w:bCs w:val="0"/>
                      <w:u w:val="none"/>
                    </w:rPr>
                    <w:t>261-001-49</w:t>
                  </w:r>
                </w:p>
              </w:tc>
              <w:tc>
                <w:tcPr>
                  <w:tcW w:w="625" w:type="pct"/>
                  <w:vMerge w:val="continue"/>
                  <w:tcBorders>
                    <w:tl2br w:val="nil"/>
                    <w:tr2bl w:val="nil"/>
                  </w:tcBorders>
                  <w:shd w:val="clear" w:color="auto" w:fill="auto"/>
                  <w:vAlign w:val="center"/>
                </w:tcPr>
                <w:p w14:paraId="1AEB5CB8">
                  <w:pPr>
                    <w:pStyle w:val="45"/>
                    <w:rPr>
                      <w:rFonts w:hint="default"/>
                      <w:b w:val="0"/>
                      <w:bCs w:val="0"/>
                      <w:u w:val="none"/>
                    </w:rPr>
                  </w:pPr>
                </w:p>
              </w:tc>
            </w:tr>
            <w:tr w14:paraId="7784EF1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5" w:type="pct"/>
                  <w:tcBorders>
                    <w:tl2br w:val="nil"/>
                    <w:tr2bl w:val="nil"/>
                  </w:tcBorders>
                  <w:shd w:val="clear" w:color="auto" w:fill="auto"/>
                  <w:vAlign w:val="center"/>
                </w:tcPr>
                <w:p w14:paraId="7D7109FA">
                  <w:pPr>
                    <w:pStyle w:val="45"/>
                    <w:rPr>
                      <w:rFonts w:hint="default"/>
                      <w:b w:val="0"/>
                      <w:bCs w:val="0"/>
                      <w:u w:val="none"/>
                    </w:rPr>
                  </w:pPr>
                  <w:r>
                    <w:rPr>
                      <w:rFonts w:hint="default"/>
                      <w:b w:val="0"/>
                      <w:bCs w:val="0"/>
                      <w:u w:val="none"/>
                    </w:rPr>
                    <w:t>S3</w:t>
                  </w:r>
                </w:p>
              </w:tc>
              <w:tc>
                <w:tcPr>
                  <w:tcW w:w="625" w:type="pct"/>
                  <w:tcBorders>
                    <w:tl2br w:val="nil"/>
                    <w:tr2bl w:val="nil"/>
                  </w:tcBorders>
                  <w:shd w:val="clear" w:color="auto" w:fill="auto"/>
                  <w:noWrap/>
                  <w:vAlign w:val="center"/>
                </w:tcPr>
                <w:p w14:paraId="7498AB76">
                  <w:pPr>
                    <w:pStyle w:val="45"/>
                    <w:rPr>
                      <w:rFonts w:hint="default"/>
                      <w:b w:val="0"/>
                      <w:bCs w:val="0"/>
                      <w:u w:val="none"/>
                    </w:rPr>
                  </w:pPr>
                  <w:r>
                    <w:rPr>
                      <w:b w:val="0"/>
                      <w:bCs w:val="0"/>
                      <w:u w:val="none"/>
                    </w:rPr>
                    <w:t>废分子筛</w:t>
                  </w:r>
                </w:p>
              </w:tc>
              <w:tc>
                <w:tcPr>
                  <w:tcW w:w="625" w:type="pct"/>
                  <w:tcBorders>
                    <w:tl2br w:val="nil"/>
                    <w:tr2bl w:val="nil"/>
                  </w:tcBorders>
                  <w:shd w:val="clear" w:color="auto" w:fill="auto"/>
                  <w:vAlign w:val="center"/>
                </w:tcPr>
                <w:p w14:paraId="1FF6C096">
                  <w:pPr>
                    <w:pStyle w:val="45"/>
                    <w:rPr>
                      <w:rFonts w:hint="default"/>
                      <w:b w:val="0"/>
                      <w:bCs w:val="0"/>
                      <w:u w:val="none"/>
                    </w:rPr>
                  </w:pPr>
                  <w:r>
                    <w:rPr>
                      <w:b w:val="0"/>
                      <w:bCs w:val="0"/>
                      <w:u w:val="none"/>
                    </w:rPr>
                    <w:t>吸附塔</w:t>
                  </w:r>
                </w:p>
              </w:tc>
              <w:tc>
                <w:tcPr>
                  <w:tcW w:w="625" w:type="pct"/>
                  <w:tcBorders>
                    <w:tl2br w:val="nil"/>
                    <w:tr2bl w:val="nil"/>
                  </w:tcBorders>
                  <w:shd w:val="clear" w:color="auto" w:fill="auto"/>
                  <w:vAlign w:val="center"/>
                </w:tcPr>
                <w:p w14:paraId="5846F190">
                  <w:pPr>
                    <w:pStyle w:val="45"/>
                    <w:rPr>
                      <w:rFonts w:hint="default"/>
                      <w:b w:val="0"/>
                      <w:bCs w:val="0"/>
                      <w:u w:val="none"/>
                    </w:rPr>
                  </w:pPr>
                  <w:r>
                    <w:rPr>
                      <w:b w:val="0"/>
                      <w:bCs w:val="0"/>
                      <w:u w:val="none"/>
                    </w:rPr>
                    <w:t>固态</w:t>
                  </w:r>
                </w:p>
              </w:tc>
              <w:tc>
                <w:tcPr>
                  <w:tcW w:w="625" w:type="pct"/>
                  <w:tcBorders>
                    <w:tl2br w:val="nil"/>
                    <w:tr2bl w:val="nil"/>
                  </w:tcBorders>
                  <w:shd w:val="clear" w:color="auto" w:fill="auto"/>
                  <w:noWrap/>
                  <w:vAlign w:val="center"/>
                </w:tcPr>
                <w:p w14:paraId="34AE0E8F">
                  <w:pPr>
                    <w:pStyle w:val="45"/>
                    <w:rPr>
                      <w:rFonts w:hint="default"/>
                      <w:b w:val="0"/>
                      <w:bCs w:val="0"/>
                      <w:u w:val="none"/>
                    </w:rPr>
                  </w:pPr>
                  <w:r>
                    <w:rPr>
                      <w:b w:val="0"/>
                      <w:bCs w:val="0"/>
                      <w:u w:val="none"/>
                    </w:rPr>
                    <w:t>10</w:t>
                  </w:r>
                  <w:r>
                    <w:rPr>
                      <w:rFonts w:hint="default"/>
                      <w:b w:val="0"/>
                      <w:bCs w:val="0"/>
                      <w:u w:val="none"/>
                    </w:rPr>
                    <w:t>t/</w:t>
                  </w:r>
                  <w:r>
                    <w:rPr>
                      <w:b w:val="0"/>
                      <w:bCs w:val="0"/>
                      <w:u w:val="none"/>
                    </w:rPr>
                    <w:t>5</w:t>
                  </w:r>
                  <w:r>
                    <w:rPr>
                      <w:rFonts w:hint="default"/>
                      <w:b w:val="0"/>
                      <w:bCs w:val="0"/>
                      <w:u w:val="none"/>
                    </w:rPr>
                    <w:t>a</w:t>
                  </w:r>
                </w:p>
              </w:tc>
              <w:tc>
                <w:tcPr>
                  <w:tcW w:w="625" w:type="pct"/>
                  <w:tcBorders>
                    <w:tl2br w:val="nil"/>
                    <w:tr2bl w:val="nil"/>
                  </w:tcBorders>
                  <w:shd w:val="clear" w:color="auto" w:fill="auto"/>
                  <w:vAlign w:val="center"/>
                </w:tcPr>
                <w:p w14:paraId="14715759">
                  <w:pPr>
                    <w:pStyle w:val="45"/>
                    <w:rPr>
                      <w:rFonts w:hint="default"/>
                      <w:b w:val="0"/>
                      <w:bCs w:val="0"/>
                      <w:u w:val="none"/>
                    </w:rPr>
                  </w:pPr>
                  <w:r>
                    <w:rPr>
                      <w:b w:val="0"/>
                      <w:bCs w:val="0"/>
                      <w:u w:val="none"/>
                    </w:rPr>
                    <w:t>一般工业固废</w:t>
                  </w:r>
                </w:p>
              </w:tc>
              <w:tc>
                <w:tcPr>
                  <w:tcW w:w="625" w:type="pct"/>
                  <w:tcBorders>
                    <w:tl2br w:val="nil"/>
                    <w:tr2bl w:val="nil"/>
                  </w:tcBorders>
                  <w:shd w:val="clear" w:color="auto" w:fill="auto"/>
                  <w:vAlign w:val="center"/>
                </w:tcPr>
                <w:p w14:paraId="5B30AB2D">
                  <w:pPr>
                    <w:pStyle w:val="45"/>
                    <w:rPr>
                      <w:rFonts w:hint="default"/>
                      <w:b w:val="0"/>
                      <w:bCs w:val="0"/>
                      <w:u w:val="none"/>
                    </w:rPr>
                  </w:pPr>
                  <w:r>
                    <w:rPr>
                      <w:rFonts w:hint="default"/>
                      <w:b w:val="0"/>
                      <w:bCs w:val="0"/>
                      <w:u w:val="none"/>
                    </w:rPr>
                    <w:t>261-001-49</w:t>
                  </w:r>
                </w:p>
              </w:tc>
              <w:tc>
                <w:tcPr>
                  <w:tcW w:w="625" w:type="pct"/>
                  <w:vMerge w:val="continue"/>
                  <w:tcBorders>
                    <w:tl2br w:val="nil"/>
                    <w:tr2bl w:val="nil"/>
                  </w:tcBorders>
                  <w:shd w:val="clear" w:color="auto" w:fill="auto"/>
                  <w:vAlign w:val="center"/>
                </w:tcPr>
                <w:p w14:paraId="7523BFE0">
                  <w:pPr>
                    <w:pStyle w:val="45"/>
                    <w:rPr>
                      <w:rFonts w:hint="default"/>
                      <w:b w:val="0"/>
                      <w:bCs w:val="0"/>
                      <w:u w:val="none"/>
                    </w:rPr>
                  </w:pPr>
                </w:p>
              </w:tc>
            </w:tr>
            <w:tr w14:paraId="2CA6F26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5" w:type="pct"/>
                  <w:tcBorders>
                    <w:tl2br w:val="nil"/>
                    <w:tr2bl w:val="nil"/>
                  </w:tcBorders>
                  <w:shd w:val="clear" w:color="auto" w:fill="auto"/>
                  <w:vAlign w:val="center"/>
                </w:tcPr>
                <w:p w14:paraId="41D5CD07">
                  <w:pPr>
                    <w:pStyle w:val="45"/>
                    <w:rPr>
                      <w:rFonts w:hint="default"/>
                      <w:b w:val="0"/>
                      <w:bCs w:val="0"/>
                      <w:u w:val="none"/>
                    </w:rPr>
                  </w:pPr>
                  <w:r>
                    <w:rPr>
                      <w:rFonts w:hint="default"/>
                      <w:b w:val="0"/>
                      <w:bCs w:val="0"/>
                      <w:u w:val="none"/>
                    </w:rPr>
                    <w:t>S4</w:t>
                  </w:r>
                </w:p>
              </w:tc>
              <w:tc>
                <w:tcPr>
                  <w:tcW w:w="625" w:type="pct"/>
                  <w:tcBorders>
                    <w:tl2br w:val="nil"/>
                    <w:tr2bl w:val="nil"/>
                  </w:tcBorders>
                  <w:shd w:val="clear" w:color="auto" w:fill="auto"/>
                  <w:vAlign w:val="center"/>
                </w:tcPr>
                <w:p w14:paraId="422766E0">
                  <w:pPr>
                    <w:pStyle w:val="45"/>
                    <w:rPr>
                      <w:rFonts w:hint="default"/>
                      <w:b w:val="0"/>
                      <w:bCs w:val="0"/>
                      <w:u w:val="none"/>
                    </w:rPr>
                  </w:pPr>
                  <w:r>
                    <w:rPr>
                      <w:b w:val="0"/>
                      <w:bCs w:val="0"/>
                      <w:u w:val="none"/>
                    </w:rPr>
                    <w:t>生活垃圾</w:t>
                  </w:r>
                </w:p>
              </w:tc>
              <w:tc>
                <w:tcPr>
                  <w:tcW w:w="625" w:type="pct"/>
                  <w:tcBorders>
                    <w:tl2br w:val="nil"/>
                    <w:tr2bl w:val="nil"/>
                  </w:tcBorders>
                  <w:shd w:val="clear" w:color="auto" w:fill="auto"/>
                  <w:vAlign w:val="center"/>
                </w:tcPr>
                <w:p w14:paraId="7CA27756">
                  <w:pPr>
                    <w:pStyle w:val="45"/>
                    <w:rPr>
                      <w:rFonts w:hint="default"/>
                      <w:b w:val="0"/>
                      <w:bCs w:val="0"/>
                      <w:u w:val="none"/>
                    </w:rPr>
                  </w:pPr>
                  <w:r>
                    <w:rPr>
                      <w:b w:val="0"/>
                      <w:bCs w:val="0"/>
                      <w:u w:val="none"/>
                    </w:rPr>
                    <w:t>员工生活</w:t>
                  </w:r>
                </w:p>
              </w:tc>
              <w:tc>
                <w:tcPr>
                  <w:tcW w:w="625" w:type="pct"/>
                  <w:tcBorders>
                    <w:tl2br w:val="nil"/>
                    <w:tr2bl w:val="nil"/>
                  </w:tcBorders>
                  <w:shd w:val="clear" w:color="auto" w:fill="auto"/>
                  <w:vAlign w:val="center"/>
                </w:tcPr>
                <w:p w14:paraId="7FC927E2">
                  <w:pPr>
                    <w:pStyle w:val="45"/>
                    <w:rPr>
                      <w:rFonts w:hint="default"/>
                      <w:b w:val="0"/>
                      <w:bCs w:val="0"/>
                      <w:u w:val="none"/>
                    </w:rPr>
                  </w:pPr>
                  <w:r>
                    <w:rPr>
                      <w:b w:val="0"/>
                      <w:bCs w:val="0"/>
                      <w:u w:val="none"/>
                    </w:rPr>
                    <w:t>固态</w:t>
                  </w:r>
                </w:p>
              </w:tc>
              <w:tc>
                <w:tcPr>
                  <w:tcW w:w="625" w:type="pct"/>
                  <w:tcBorders>
                    <w:tl2br w:val="nil"/>
                    <w:tr2bl w:val="nil"/>
                  </w:tcBorders>
                  <w:shd w:val="clear" w:color="auto" w:fill="auto"/>
                  <w:vAlign w:val="center"/>
                </w:tcPr>
                <w:p w14:paraId="630BFCDD">
                  <w:pPr>
                    <w:pStyle w:val="45"/>
                    <w:rPr>
                      <w:rFonts w:hint="default"/>
                      <w:b w:val="0"/>
                      <w:bCs w:val="0"/>
                      <w:u w:val="none"/>
                    </w:rPr>
                  </w:pPr>
                  <w:r>
                    <w:rPr>
                      <w:b w:val="0"/>
                      <w:bCs w:val="0"/>
                      <w:u w:val="none"/>
                    </w:rPr>
                    <w:t>2.1</w:t>
                  </w:r>
                  <w:r>
                    <w:rPr>
                      <w:rFonts w:hint="default"/>
                      <w:b w:val="0"/>
                      <w:bCs w:val="0"/>
                      <w:u w:val="none"/>
                    </w:rPr>
                    <w:t>t/a</w:t>
                  </w:r>
                </w:p>
              </w:tc>
              <w:tc>
                <w:tcPr>
                  <w:tcW w:w="625" w:type="pct"/>
                  <w:tcBorders>
                    <w:tl2br w:val="nil"/>
                    <w:tr2bl w:val="nil"/>
                  </w:tcBorders>
                  <w:shd w:val="clear" w:color="auto" w:fill="auto"/>
                  <w:vAlign w:val="center"/>
                </w:tcPr>
                <w:p w14:paraId="5DF09C8D">
                  <w:pPr>
                    <w:pStyle w:val="45"/>
                    <w:rPr>
                      <w:rFonts w:hint="default"/>
                      <w:b w:val="0"/>
                      <w:bCs w:val="0"/>
                      <w:u w:val="none"/>
                    </w:rPr>
                  </w:pPr>
                  <w:r>
                    <w:rPr>
                      <w:b w:val="0"/>
                      <w:bCs w:val="0"/>
                      <w:u w:val="none"/>
                    </w:rPr>
                    <w:t>生活固废</w:t>
                  </w:r>
                </w:p>
              </w:tc>
              <w:tc>
                <w:tcPr>
                  <w:tcW w:w="625" w:type="pct"/>
                  <w:tcBorders>
                    <w:tl2br w:val="nil"/>
                    <w:tr2bl w:val="nil"/>
                  </w:tcBorders>
                  <w:shd w:val="clear" w:color="auto" w:fill="auto"/>
                  <w:vAlign w:val="center"/>
                </w:tcPr>
                <w:p w14:paraId="72B2A722">
                  <w:pPr>
                    <w:pStyle w:val="45"/>
                    <w:rPr>
                      <w:rFonts w:hint="default"/>
                      <w:b w:val="0"/>
                      <w:bCs w:val="0"/>
                      <w:u w:val="none"/>
                    </w:rPr>
                  </w:pPr>
                  <w:r>
                    <w:rPr>
                      <w:rFonts w:hint="default"/>
                      <w:b w:val="0"/>
                      <w:bCs w:val="0"/>
                      <w:u w:val="none"/>
                    </w:rPr>
                    <w:t>/</w:t>
                  </w:r>
                </w:p>
              </w:tc>
              <w:tc>
                <w:tcPr>
                  <w:tcW w:w="625" w:type="pct"/>
                  <w:tcBorders>
                    <w:tl2br w:val="nil"/>
                    <w:tr2bl w:val="nil"/>
                  </w:tcBorders>
                  <w:shd w:val="clear" w:color="auto" w:fill="auto"/>
                  <w:vAlign w:val="center"/>
                </w:tcPr>
                <w:p w14:paraId="4AC2C25B">
                  <w:pPr>
                    <w:pStyle w:val="45"/>
                    <w:rPr>
                      <w:rFonts w:hint="default"/>
                      <w:b w:val="0"/>
                      <w:bCs w:val="0"/>
                      <w:u w:val="none"/>
                    </w:rPr>
                  </w:pPr>
                  <w:r>
                    <w:rPr>
                      <w:b w:val="0"/>
                      <w:bCs w:val="0"/>
                      <w:u w:val="none"/>
                    </w:rPr>
                    <w:t>环卫清运</w:t>
                  </w:r>
                </w:p>
              </w:tc>
            </w:tr>
            <w:tr w14:paraId="05E848A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625" w:type="pct"/>
                  <w:tcBorders>
                    <w:tl2br w:val="nil"/>
                    <w:tr2bl w:val="nil"/>
                  </w:tcBorders>
                  <w:shd w:val="clear" w:color="auto" w:fill="auto"/>
                  <w:vAlign w:val="center"/>
                </w:tcPr>
                <w:p w14:paraId="0D256FB7">
                  <w:pPr>
                    <w:pStyle w:val="45"/>
                    <w:rPr>
                      <w:rFonts w:hint="default"/>
                      <w:b w:val="0"/>
                      <w:bCs w:val="0"/>
                      <w:u w:val="none"/>
                    </w:rPr>
                  </w:pPr>
                </w:p>
              </w:tc>
              <w:tc>
                <w:tcPr>
                  <w:tcW w:w="625" w:type="pct"/>
                  <w:tcBorders>
                    <w:tl2br w:val="nil"/>
                    <w:tr2bl w:val="nil"/>
                  </w:tcBorders>
                  <w:shd w:val="clear" w:color="auto" w:fill="auto"/>
                  <w:vAlign w:val="center"/>
                </w:tcPr>
                <w:p w14:paraId="65AA8569">
                  <w:pPr>
                    <w:pStyle w:val="45"/>
                    <w:rPr>
                      <w:b w:val="0"/>
                      <w:bCs w:val="0"/>
                      <w:u w:val="none"/>
                    </w:rPr>
                  </w:pPr>
                </w:p>
              </w:tc>
              <w:tc>
                <w:tcPr>
                  <w:tcW w:w="625" w:type="pct"/>
                  <w:tcBorders>
                    <w:tl2br w:val="nil"/>
                    <w:tr2bl w:val="nil"/>
                  </w:tcBorders>
                  <w:shd w:val="clear" w:color="auto" w:fill="auto"/>
                  <w:vAlign w:val="center"/>
                </w:tcPr>
                <w:p w14:paraId="6B96A092">
                  <w:pPr>
                    <w:pStyle w:val="45"/>
                    <w:rPr>
                      <w:b w:val="0"/>
                      <w:bCs w:val="0"/>
                      <w:u w:val="none"/>
                    </w:rPr>
                  </w:pPr>
                </w:p>
              </w:tc>
              <w:tc>
                <w:tcPr>
                  <w:tcW w:w="625" w:type="pct"/>
                  <w:tcBorders>
                    <w:tl2br w:val="nil"/>
                    <w:tr2bl w:val="nil"/>
                  </w:tcBorders>
                  <w:shd w:val="clear" w:color="auto" w:fill="auto"/>
                  <w:vAlign w:val="center"/>
                </w:tcPr>
                <w:p w14:paraId="7C577036">
                  <w:pPr>
                    <w:pStyle w:val="45"/>
                    <w:rPr>
                      <w:b w:val="0"/>
                      <w:bCs w:val="0"/>
                      <w:u w:val="none"/>
                    </w:rPr>
                  </w:pPr>
                </w:p>
              </w:tc>
              <w:tc>
                <w:tcPr>
                  <w:tcW w:w="625" w:type="pct"/>
                  <w:tcBorders>
                    <w:tl2br w:val="nil"/>
                    <w:tr2bl w:val="nil"/>
                  </w:tcBorders>
                  <w:shd w:val="clear" w:color="auto" w:fill="auto"/>
                  <w:vAlign w:val="center"/>
                </w:tcPr>
                <w:p w14:paraId="4FBB6275">
                  <w:pPr>
                    <w:pStyle w:val="45"/>
                    <w:rPr>
                      <w:b w:val="0"/>
                      <w:bCs w:val="0"/>
                      <w:u w:val="none"/>
                    </w:rPr>
                  </w:pPr>
                </w:p>
              </w:tc>
              <w:tc>
                <w:tcPr>
                  <w:tcW w:w="625" w:type="pct"/>
                  <w:tcBorders>
                    <w:tl2br w:val="nil"/>
                    <w:tr2bl w:val="nil"/>
                  </w:tcBorders>
                  <w:shd w:val="clear" w:color="auto" w:fill="auto"/>
                  <w:vAlign w:val="center"/>
                </w:tcPr>
                <w:p w14:paraId="7A72D88B">
                  <w:pPr>
                    <w:pStyle w:val="45"/>
                    <w:rPr>
                      <w:b w:val="0"/>
                      <w:bCs w:val="0"/>
                      <w:u w:val="none"/>
                    </w:rPr>
                  </w:pPr>
                </w:p>
              </w:tc>
              <w:tc>
                <w:tcPr>
                  <w:tcW w:w="625" w:type="pct"/>
                  <w:tcBorders>
                    <w:tl2br w:val="nil"/>
                    <w:tr2bl w:val="nil"/>
                  </w:tcBorders>
                  <w:shd w:val="clear" w:color="auto" w:fill="auto"/>
                  <w:vAlign w:val="center"/>
                </w:tcPr>
                <w:p w14:paraId="5CFFDDFF">
                  <w:pPr>
                    <w:pStyle w:val="45"/>
                    <w:rPr>
                      <w:rFonts w:hint="default"/>
                      <w:b w:val="0"/>
                      <w:bCs w:val="0"/>
                      <w:u w:val="none"/>
                    </w:rPr>
                  </w:pPr>
                </w:p>
              </w:tc>
              <w:tc>
                <w:tcPr>
                  <w:tcW w:w="625" w:type="pct"/>
                  <w:tcBorders>
                    <w:tl2br w:val="nil"/>
                    <w:tr2bl w:val="nil"/>
                  </w:tcBorders>
                  <w:shd w:val="clear" w:color="auto" w:fill="auto"/>
                  <w:vAlign w:val="center"/>
                </w:tcPr>
                <w:p w14:paraId="01E8E923">
                  <w:pPr>
                    <w:pStyle w:val="45"/>
                    <w:rPr>
                      <w:b w:val="0"/>
                      <w:bCs w:val="0"/>
                      <w:u w:val="none"/>
                    </w:rPr>
                  </w:pPr>
                </w:p>
              </w:tc>
            </w:tr>
          </w:tbl>
          <w:p w14:paraId="1BAE2EFD">
            <w:pPr>
              <w:pStyle w:val="5"/>
              <w:rPr>
                <w:rFonts w:hint="default"/>
                <w:b w:val="0"/>
                <w:bCs w:val="0"/>
                <w:u w:val="none"/>
              </w:rPr>
            </w:pPr>
            <w:r>
              <w:rPr>
                <w:rFonts w:hint="default"/>
                <w:b w:val="0"/>
                <w:bCs w:val="0"/>
                <w:u w:val="none"/>
              </w:rPr>
              <w:t>（2）危险废物</w:t>
            </w:r>
          </w:p>
          <w:p w14:paraId="044D6406">
            <w:pPr>
              <w:pStyle w:val="5"/>
              <w:rPr>
                <w:rFonts w:hint="eastAsia" w:eastAsia="宋体"/>
                <w:b w:val="0"/>
                <w:bCs w:val="0"/>
                <w:u w:val="none"/>
                <w:lang w:eastAsia="zh-CN"/>
              </w:rPr>
            </w:pPr>
            <w:r>
              <w:rPr>
                <w:b w:val="0"/>
                <w:bCs w:val="0"/>
                <w:u w:val="none"/>
              </w:rPr>
              <w:t>废润滑油</w:t>
            </w:r>
            <w:r>
              <w:rPr>
                <w:rFonts w:hint="eastAsia"/>
                <w:b w:val="0"/>
                <w:bCs w:val="0"/>
                <w:u w:val="none"/>
                <w:lang w:eastAsia="zh-CN"/>
              </w:rPr>
              <w:t>及废油桶</w:t>
            </w:r>
            <w:r>
              <w:rPr>
                <w:b w:val="0"/>
                <w:bCs w:val="0"/>
                <w:u w:val="none"/>
              </w:rPr>
              <w:t>：设备维护过程会产生废润滑油，</w:t>
            </w:r>
            <w:r>
              <w:rPr>
                <w:rFonts w:hint="eastAsia"/>
                <w:b w:val="0"/>
                <w:bCs w:val="0"/>
                <w:u w:val="none"/>
              </w:rPr>
              <w:t>每年因维护产生废油量</w:t>
            </w:r>
            <w:r>
              <w:rPr>
                <w:b w:val="0"/>
                <w:bCs w:val="0"/>
                <w:u w:val="none"/>
              </w:rPr>
              <w:t>为0.1t/a</w:t>
            </w:r>
            <w:r>
              <w:rPr>
                <w:rFonts w:hint="eastAsia"/>
                <w:b w:val="0"/>
                <w:bCs w:val="0"/>
                <w:u w:val="none"/>
                <w:lang w:eastAsia="zh-CN"/>
              </w:rPr>
              <w:t>，产生一个废油桶，每个废油桶重约15kg，总重为0.015t/a。</w:t>
            </w:r>
          </w:p>
          <w:p w14:paraId="1407F056">
            <w:pPr>
              <w:pStyle w:val="44"/>
              <w:numPr>
                <w:ilvl w:val="0"/>
                <w:numId w:val="2"/>
              </w:numPr>
              <w:rPr>
                <w:rFonts w:hint="default"/>
                <w:b w:val="0"/>
                <w:bCs w:val="0"/>
                <w:u w:val="none"/>
              </w:rPr>
            </w:pPr>
            <w:r>
              <w:rPr>
                <w:rFonts w:hint="default"/>
                <w:b w:val="0"/>
                <w:bCs w:val="0"/>
                <w:u w:val="none"/>
              </w:rPr>
              <w:t>本项目危险废物产生及处置情况汇总表</w:t>
            </w:r>
          </w:p>
          <w:tbl>
            <w:tblPr>
              <w:tblStyle w:val="2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71"/>
              <w:gridCol w:w="847"/>
              <w:gridCol w:w="696"/>
              <w:gridCol w:w="1056"/>
              <w:gridCol w:w="671"/>
              <w:gridCol w:w="671"/>
              <w:gridCol w:w="592"/>
              <w:gridCol w:w="592"/>
              <w:gridCol w:w="564"/>
              <w:gridCol w:w="766"/>
              <w:gridCol w:w="914"/>
            </w:tblGrid>
            <w:tr w14:paraId="0BDC990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17" w:type="pct"/>
                  <w:vMerge w:val="restart"/>
                  <w:tcBorders>
                    <w:tl2br w:val="nil"/>
                    <w:tr2bl w:val="nil"/>
                  </w:tcBorders>
                  <w:shd w:val="clear" w:color="auto" w:fill="auto"/>
                  <w:vAlign w:val="center"/>
                </w:tcPr>
                <w:p w14:paraId="0F9BC18D">
                  <w:pPr>
                    <w:pStyle w:val="45"/>
                    <w:rPr>
                      <w:rFonts w:hint="default"/>
                      <w:b w:val="0"/>
                      <w:bCs w:val="0"/>
                      <w:u w:val="none"/>
                    </w:rPr>
                  </w:pPr>
                  <w:r>
                    <w:rPr>
                      <w:b w:val="0"/>
                      <w:bCs w:val="0"/>
                      <w:u w:val="none"/>
                    </w:rPr>
                    <w:t>序号</w:t>
                  </w:r>
                </w:p>
              </w:tc>
              <w:tc>
                <w:tcPr>
                  <w:tcW w:w="526" w:type="pct"/>
                  <w:vMerge w:val="restart"/>
                  <w:tcBorders>
                    <w:tl2br w:val="nil"/>
                    <w:tr2bl w:val="nil"/>
                  </w:tcBorders>
                  <w:shd w:val="clear" w:color="auto" w:fill="auto"/>
                  <w:vAlign w:val="center"/>
                </w:tcPr>
                <w:p w14:paraId="655CFB70">
                  <w:pPr>
                    <w:pStyle w:val="45"/>
                    <w:rPr>
                      <w:rFonts w:hint="default"/>
                      <w:b w:val="0"/>
                      <w:bCs w:val="0"/>
                      <w:u w:val="none"/>
                    </w:rPr>
                  </w:pPr>
                  <w:r>
                    <w:rPr>
                      <w:b w:val="0"/>
                      <w:bCs w:val="0"/>
                      <w:u w:val="none"/>
                    </w:rPr>
                    <w:t>危险废物名称</w:t>
                  </w:r>
                </w:p>
              </w:tc>
              <w:tc>
                <w:tcPr>
                  <w:tcW w:w="432" w:type="pct"/>
                  <w:vMerge w:val="restart"/>
                  <w:tcBorders>
                    <w:tl2br w:val="nil"/>
                    <w:tr2bl w:val="nil"/>
                  </w:tcBorders>
                  <w:shd w:val="clear" w:color="auto" w:fill="auto"/>
                  <w:vAlign w:val="center"/>
                </w:tcPr>
                <w:p w14:paraId="3B26E0E3">
                  <w:pPr>
                    <w:pStyle w:val="45"/>
                    <w:rPr>
                      <w:rFonts w:hint="default"/>
                      <w:b w:val="0"/>
                      <w:bCs w:val="0"/>
                      <w:u w:val="none"/>
                    </w:rPr>
                  </w:pPr>
                  <w:r>
                    <w:rPr>
                      <w:b w:val="0"/>
                      <w:bCs w:val="0"/>
                      <w:u w:val="none"/>
                    </w:rPr>
                    <w:t>危险废物类别</w:t>
                  </w:r>
                </w:p>
              </w:tc>
              <w:tc>
                <w:tcPr>
                  <w:tcW w:w="656" w:type="pct"/>
                  <w:vMerge w:val="restart"/>
                  <w:tcBorders>
                    <w:tl2br w:val="nil"/>
                    <w:tr2bl w:val="nil"/>
                  </w:tcBorders>
                  <w:shd w:val="clear" w:color="auto" w:fill="auto"/>
                  <w:vAlign w:val="center"/>
                </w:tcPr>
                <w:p w14:paraId="5D8E3F34">
                  <w:pPr>
                    <w:pStyle w:val="45"/>
                    <w:rPr>
                      <w:rFonts w:hint="default"/>
                      <w:b w:val="0"/>
                      <w:bCs w:val="0"/>
                      <w:u w:val="none"/>
                    </w:rPr>
                  </w:pPr>
                  <w:r>
                    <w:rPr>
                      <w:b w:val="0"/>
                      <w:bCs w:val="0"/>
                      <w:u w:val="none"/>
                    </w:rPr>
                    <w:t>废物代码</w:t>
                  </w:r>
                </w:p>
              </w:tc>
              <w:tc>
                <w:tcPr>
                  <w:tcW w:w="417" w:type="pct"/>
                  <w:vMerge w:val="restart"/>
                  <w:tcBorders>
                    <w:tl2br w:val="nil"/>
                    <w:tr2bl w:val="nil"/>
                  </w:tcBorders>
                  <w:shd w:val="clear" w:color="auto" w:fill="auto"/>
                  <w:vAlign w:val="center"/>
                </w:tcPr>
                <w:p w14:paraId="351B8675">
                  <w:pPr>
                    <w:pStyle w:val="45"/>
                    <w:rPr>
                      <w:rFonts w:hint="default"/>
                      <w:b w:val="0"/>
                      <w:bCs w:val="0"/>
                      <w:u w:val="none"/>
                    </w:rPr>
                  </w:pPr>
                  <w:r>
                    <w:rPr>
                      <w:b w:val="0"/>
                      <w:bCs w:val="0"/>
                      <w:u w:val="none"/>
                    </w:rPr>
                    <w:t>产生环节</w:t>
                  </w:r>
                </w:p>
              </w:tc>
              <w:tc>
                <w:tcPr>
                  <w:tcW w:w="417" w:type="pct"/>
                  <w:vMerge w:val="restart"/>
                  <w:tcBorders>
                    <w:tl2br w:val="nil"/>
                    <w:tr2bl w:val="nil"/>
                  </w:tcBorders>
                  <w:shd w:val="clear" w:color="auto" w:fill="auto"/>
                  <w:vAlign w:val="center"/>
                </w:tcPr>
                <w:p w14:paraId="7C0204CD">
                  <w:pPr>
                    <w:pStyle w:val="45"/>
                    <w:rPr>
                      <w:rFonts w:hint="default"/>
                      <w:b w:val="0"/>
                      <w:bCs w:val="0"/>
                      <w:u w:val="none"/>
                    </w:rPr>
                  </w:pPr>
                  <w:r>
                    <w:rPr>
                      <w:b w:val="0"/>
                      <w:bCs w:val="0"/>
                      <w:u w:val="none"/>
                    </w:rPr>
                    <w:t>主要有毒有害物质</w:t>
                  </w:r>
                </w:p>
              </w:tc>
              <w:tc>
                <w:tcPr>
                  <w:tcW w:w="368" w:type="pct"/>
                  <w:vMerge w:val="restart"/>
                  <w:tcBorders>
                    <w:tl2br w:val="nil"/>
                    <w:tr2bl w:val="nil"/>
                  </w:tcBorders>
                  <w:shd w:val="clear" w:color="auto" w:fill="auto"/>
                  <w:vAlign w:val="center"/>
                </w:tcPr>
                <w:p w14:paraId="747F258E">
                  <w:pPr>
                    <w:pStyle w:val="45"/>
                    <w:rPr>
                      <w:rFonts w:hint="default"/>
                      <w:b w:val="0"/>
                      <w:bCs w:val="0"/>
                      <w:u w:val="none"/>
                    </w:rPr>
                  </w:pPr>
                  <w:r>
                    <w:rPr>
                      <w:b w:val="0"/>
                      <w:bCs w:val="0"/>
                      <w:u w:val="none"/>
                    </w:rPr>
                    <w:t>物理性状</w:t>
                  </w:r>
                </w:p>
              </w:tc>
              <w:tc>
                <w:tcPr>
                  <w:tcW w:w="368" w:type="pct"/>
                  <w:vMerge w:val="restart"/>
                  <w:tcBorders>
                    <w:tl2br w:val="nil"/>
                    <w:tr2bl w:val="nil"/>
                  </w:tcBorders>
                  <w:shd w:val="clear" w:color="auto" w:fill="auto"/>
                  <w:vAlign w:val="center"/>
                </w:tcPr>
                <w:p w14:paraId="4CD0A6CE">
                  <w:pPr>
                    <w:pStyle w:val="45"/>
                    <w:rPr>
                      <w:rFonts w:hint="default"/>
                      <w:b w:val="0"/>
                      <w:bCs w:val="0"/>
                      <w:u w:val="none"/>
                    </w:rPr>
                  </w:pPr>
                  <w:r>
                    <w:rPr>
                      <w:b w:val="0"/>
                      <w:bCs w:val="0"/>
                      <w:u w:val="none"/>
                    </w:rPr>
                    <w:t>产废周期</w:t>
                  </w:r>
                </w:p>
              </w:tc>
              <w:tc>
                <w:tcPr>
                  <w:tcW w:w="350" w:type="pct"/>
                  <w:vMerge w:val="restart"/>
                  <w:tcBorders>
                    <w:tl2br w:val="nil"/>
                    <w:tr2bl w:val="nil"/>
                  </w:tcBorders>
                  <w:shd w:val="clear" w:color="auto" w:fill="auto"/>
                  <w:vAlign w:val="center"/>
                </w:tcPr>
                <w:p w14:paraId="7B9C0E2A">
                  <w:pPr>
                    <w:pStyle w:val="45"/>
                    <w:rPr>
                      <w:rFonts w:hint="default"/>
                      <w:b w:val="0"/>
                      <w:bCs w:val="0"/>
                      <w:u w:val="none"/>
                    </w:rPr>
                  </w:pPr>
                  <w:r>
                    <w:rPr>
                      <w:b w:val="0"/>
                      <w:bCs w:val="0"/>
                      <w:u w:val="none"/>
                    </w:rPr>
                    <w:t>危险特性</w:t>
                  </w:r>
                </w:p>
              </w:tc>
              <w:tc>
                <w:tcPr>
                  <w:tcW w:w="476" w:type="pct"/>
                  <w:vMerge w:val="restart"/>
                  <w:tcBorders>
                    <w:tl2br w:val="nil"/>
                    <w:tr2bl w:val="nil"/>
                  </w:tcBorders>
                  <w:shd w:val="clear" w:color="auto" w:fill="auto"/>
                  <w:vAlign w:val="center"/>
                </w:tcPr>
                <w:p w14:paraId="2CD85F97">
                  <w:pPr>
                    <w:pStyle w:val="45"/>
                    <w:rPr>
                      <w:rFonts w:hint="default"/>
                      <w:b w:val="0"/>
                      <w:bCs w:val="0"/>
                      <w:u w:val="none"/>
                    </w:rPr>
                  </w:pPr>
                  <w:r>
                    <w:rPr>
                      <w:b w:val="0"/>
                      <w:bCs w:val="0"/>
                      <w:u w:val="none"/>
                    </w:rPr>
                    <w:t>年度产生量（</w:t>
                  </w:r>
                  <w:r>
                    <w:rPr>
                      <w:rFonts w:hint="default"/>
                      <w:b w:val="0"/>
                      <w:bCs w:val="0"/>
                      <w:u w:val="none"/>
                    </w:rPr>
                    <w:t>t/a</w:t>
                  </w:r>
                  <w:r>
                    <w:rPr>
                      <w:b w:val="0"/>
                      <w:bCs w:val="0"/>
                      <w:u w:val="none"/>
                    </w:rPr>
                    <w:t>）</w:t>
                  </w:r>
                </w:p>
              </w:tc>
              <w:tc>
                <w:tcPr>
                  <w:tcW w:w="567" w:type="pct"/>
                  <w:vMerge w:val="restart"/>
                  <w:tcBorders>
                    <w:tl2br w:val="nil"/>
                    <w:tr2bl w:val="nil"/>
                  </w:tcBorders>
                  <w:shd w:val="clear" w:color="auto" w:fill="auto"/>
                  <w:vAlign w:val="center"/>
                </w:tcPr>
                <w:p w14:paraId="03D7E0ED">
                  <w:pPr>
                    <w:pStyle w:val="45"/>
                    <w:rPr>
                      <w:rFonts w:hint="default"/>
                      <w:b w:val="0"/>
                      <w:bCs w:val="0"/>
                      <w:u w:val="none"/>
                    </w:rPr>
                  </w:pPr>
                  <w:r>
                    <w:rPr>
                      <w:b w:val="0"/>
                      <w:bCs w:val="0"/>
                      <w:u w:val="none"/>
                    </w:rPr>
                    <w:t>污染防治措施</w:t>
                  </w:r>
                </w:p>
              </w:tc>
            </w:tr>
            <w:tr w14:paraId="7427558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17" w:type="pct"/>
                  <w:vMerge w:val="continue"/>
                  <w:tcBorders>
                    <w:tl2br w:val="nil"/>
                    <w:tr2bl w:val="nil"/>
                  </w:tcBorders>
                  <w:shd w:val="clear" w:color="auto" w:fill="auto"/>
                  <w:vAlign w:val="center"/>
                </w:tcPr>
                <w:p w14:paraId="28E6519E">
                  <w:pPr>
                    <w:pStyle w:val="45"/>
                    <w:rPr>
                      <w:rFonts w:hint="default"/>
                      <w:b w:val="0"/>
                      <w:bCs w:val="0"/>
                      <w:u w:val="none"/>
                    </w:rPr>
                  </w:pPr>
                </w:p>
              </w:tc>
              <w:tc>
                <w:tcPr>
                  <w:tcW w:w="526" w:type="pct"/>
                  <w:vMerge w:val="continue"/>
                  <w:tcBorders>
                    <w:tl2br w:val="nil"/>
                    <w:tr2bl w:val="nil"/>
                  </w:tcBorders>
                  <w:shd w:val="clear" w:color="auto" w:fill="auto"/>
                  <w:vAlign w:val="center"/>
                </w:tcPr>
                <w:p w14:paraId="26D5F237">
                  <w:pPr>
                    <w:pStyle w:val="45"/>
                    <w:rPr>
                      <w:rFonts w:hint="default"/>
                      <w:b w:val="0"/>
                      <w:bCs w:val="0"/>
                      <w:u w:val="none"/>
                    </w:rPr>
                  </w:pPr>
                </w:p>
              </w:tc>
              <w:tc>
                <w:tcPr>
                  <w:tcW w:w="432" w:type="pct"/>
                  <w:vMerge w:val="continue"/>
                  <w:tcBorders>
                    <w:tl2br w:val="nil"/>
                    <w:tr2bl w:val="nil"/>
                  </w:tcBorders>
                  <w:shd w:val="clear" w:color="auto" w:fill="auto"/>
                  <w:vAlign w:val="center"/>
                </w:tcPr>
                <w:p w14:paraId="78B9FD52">
                  <w:pPr>
                    <w:pStyle w:val="45"/>
                    <w:rPr>
                      <w:rFonts w:hint="default"/>
                      <w:b w:val="0"/>
                      <w:bCs w:val="0"/>
                      <w:u w:val="none"/>
                    </w:rPr>
                  </w:pPr>
                </w:p>
              </w:tc>
              <w:tc>
                <w:tcPr>
                  <w:tcW w:w="656" w:type="pct"/>
                  <w:vMerge w:val="continue"/>
                  <w:tcBorders>
                    <w:tl2br w:val="nil"/>
                    <w:tr2bl w:val="nil"/>
                  </w:tcBorders>
                  <w:shd w:val="clear" w:color="auto" w:fill="auto"/>
                  <w:vAlign w:val="center"/>
                </w:tcPr>
                <w:p w14:paraId="12382EB9">
                  <w:pPr>
                    <w:pStyle w:val="45"/>
                    <w:rPr>
                      <w:rFonts w:hint="default"/>
                      <w:b w:val="0"/>
                      <w:bCs w:val="0"/>
                      <w:u w:val="none"/>
                    </w:rPr>
                  </w:pPr>
                </w:p>
              </w:tc>
              <w:tc>
                <w:tcPr>
                  <w:tcW w:w="417" w:type="pct"/>
                  <w:vMerge w:val="continue"/>
                  <w:tcBorders>
                    <w:tl2br w:val="nil"/>
                    <w:tr2bl w:val="nil"/>
                  </w:tcBorders>
                  <w:shd w:val="clear" w:color="auto" w:fill="auto"/>
                  <w:vAlign w:val="center"/>
                </w:tcPr>
                <w:p w14:paraId="10653378">
                  <w:pPr>
                    <w:pStyle w:val="45"/>
                    <w:rPr>
                      <w:rFonts w:hint="default"/>
                      <w:b w:val="0"/>
                      <w:bCs w:val="0"/>
                      <w:u w:val="none"/>
                    </w:rPr>
                  </w:pPr>
                </w:p>
              </w:tc>
              <w:tc>
                <w:tcPr>
                  <w:tcW w:w="417" w:type="pct"/>
                  <w:vMerge w:val="continue"/>
                  <w:tcBorders>
                    <w:tl2br w:val="nil"/>
                    <w:tr2bl w:val="nil"/>
                  </w:tcBorders>
                  <w:shd w:val="clear" w:color="auto" w:fill="auto"/>
                  <w:vAlign w:val="center"/>
                </w:tcPr>
                <w:p w14:paraId="15744848">
                  <w:pPr>
                    <w:pStyle w:val="45"/>
                    <w:rPr>
                      <w:rFonts w:hint="default"/>
                      <w:b w:val="0"/>
                      <w:bCs w:val="0"/>
                      <w:u w:val="none"/>
                    </w:rPr>
                  </w:pPr>
                </w:p>
              </w:tc>
              <w:tc>
                <w:tcPr>
                  <w:tcW w:w="368" w:type="pct"/>
                  <w:vMerge w:val="continue"/>
                  <w:tcBorders>
                    <w:tl2br w:val="nil"/>
                    <w:tr2bl w:val="nil"/>
                  </w:tcBorders>
                  <w:shd w:val="clear" w:color="auto" w:fill="auto"/>
                  <w:vAlign w:val="center"/>
                </w:tcPr>
                <w:p w14:paraId="2905A2C9">
                  <w:pPr>
                    <w:pStyle w:val="45"/>
                    <w:rPr>
                      <w:rFonts w:hint="default"/>
                      <w:b w:val="0"/>
                      <w:bCs w:val="0"/>
                      <w:u w:val="none"/>
                    </w:rPr>
                  </w:pPr>
                </w:p>
              </w:tc>
              <w:tc>
                <w:tcPr>
                  <w:tcW w:w="368" w:type="pct"/>
                  <w:vMerge w:val="continue"/>
                  <w:tcBorders>
                    <w:tl2br w:val="nil"/>
                    <w:tr2bl w:val="nil"/>
                  </w:tcBorders>
                  <w:shd w:val="clear" w:color="auto" w:fill="auto"/>
                  <w:vAlign w:val="center"/>
                </w:tcPr>
                <w:p w14:paraId="5842CE70">
                  <w:pPr>
                    <w:pStyle w:val="45"/>
                    <w:rPr>
                      <w:rFonts w:hint="default"/>
                      <w:b w:val="0"/>
                      <w:bCs w:val="0"/>
                      <w:u w:val="none"/>
                    </w:rPr>
                  </w:pPr>
                </w:p>
              </w:tc>
              <w:tc>
                <w:tcPr>
                  <w:tcW w:w="350" w:type="pct"/>
                  <w:vMerge w:val="continue"/>
                  <w:tcBorders>
                    <w:tl2br w:val="nil"/>
                    <w:tr2bl w:val="nil"/>
                  </w:tcBorders>
                  <w:shd w:val="clear" w:color="auto" w:fill="auto"/>
                  <w:vAlign w:val="center"/>
                </w:tcPr>
                <w:p w14:paraId="15F67B3A">
                  <w:pPr>
                    <w:pStyle w:val="45"/>
                    <w:rPr>
                      <w:rFonts w:hint="default"/>
                      <w:b w:val="0"/>
                      <w:bCs w:val="0"/>
                      <w:u w:val="none"/>
                    </w:rPr>
                  </w:pPr>
                </w:p>
              </w:tc>
              <w:tc>
                <w:tcPr>
                  <w:tcW w:w="476" w:type="pct"/>
                  <w:vMerge w:val="continue"/>
                  <w:tcBorders>
                    <w:tl2br w:val="nil"/>
                    <w:tr2bl w:val="nil"/>
                  </w:tcBorders>
                  <w:shd w:val="clear" w:color="auto" w:fill="auto"/>
                  <w:vAlign w:val="center"/>
                </w:tcPr>
                <w:p w14:paraId="2BE22010">
                  <w:pPr>
                    <w:pStyle w:val="45"/>
                    <w:rPr>
                      <w:rFonts w:hint="default"/>
                      <w:b w:val="0"/>
                      <w:bCs w:val="0"/>
                      <w:u w:val="none"/>
                    </w:rPr>
                  </w:pPr>
                </w:p>
              </w:tc>
              <w:tc>
                <w:tcPr>
                  <w:tcW w:w="567" w:type="pct"/>
                  <w:vMerge w:val="continue"/>
                  <w:tcBorders>
                    <w:tl2br w:val="nil"/>
                    <w:tr2bl w:val="nil"/>
                  </w:tcBorders>
                  <w:shd w:val="clear" w:color="auto" w:fill="auto"/>
                  <w:vAlign w:val="center"/>
                </w:tcPr>
                <w:p w14:paraId="1CF4BDF0">
                  <w:pPr>
                    <w:pStyle w:val="45"/>
                    <w:rPr>
                      <w:rFonts w:hint="default"/>
                      <w:b w:val="0"/>
                      <w:bCs w:val="0"/>
                      <w:u w:val="none"/>
                    </w:rPr>
                  </w:pPr>
                </w:p>
              </w:tc>
            </w:tr>
            <w:tr w14:paraId="6EEDACF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17" w:type="pct"/>
                  <w:tcBorders>
                    <w:tl2br w:val="nil"/>
                    <w:tr2bl w:val="nil"/>
                  </w:tcBorders>
                  <w:shd w:val="clear" w:color="auto" w:fill="auto"/>
                  <w:vAlign w:val="center"/>
                </w:tcPr>
                <w:p w14:paraId="24094F33">
                  <w:pPr>
                    <w:pStyle w:val="45"/>
                    <w:rPr>
                      <w:rFonts w:hint="default"/>
                      <w:b w:val="0"/>
                      <w:bCs w:val="0"/>
                      <w:u w:val="none"/>
                    </w:rPr>
                  </w:pPr>
                  <w:r>
                    <w:rPr>
                      <w:rFonts w:hint="default"/>
                      <w:b w:val="0"/>
                      <w:bCs w:val="0"/>
                      <w:u w:val="none"/>
                    </w:rPr>
                    <w:t>S5</w:t>
                  </w:r>
                </w:p>
              </w:tc>
              <w:tc>
                <w:tcPr>
                  <w:tcW w:w="526" w:type="pct"/>
                  <w:tcBorders>
                    <w:tl2br w:val="nil"/>
                    <w:tr2bl w:val="nil"/>
                  </w:tcBorders>
                  <w:shd w:val="clear" w:color="auto" w:fill="auto"/>
                  <w:vAlign w:val="center"/>
                </w:tcPr>
                <w:p w14:paraId="143016B2">
                  <w:pPr>
                    <w:pStyle w:val="45"/>
                    <w:rPr>
                      <w:rFonts w:hint="default"/>
                      <w:b w:val="0"/>
                      <w:bCs w:val="0"/>
                      <w:u w:val="none"/>
                    </w:rPr>
                  </w:pPr>
                  <w:r>
                    <w:rPr>
                      <w:b w:val="0"/>
                      <w:bCs w:val="0"/>
                      <w:u w:val="none"/>
                    </w:rPr>
                    <w:t>废润滑油</w:t>
                  </w:r>
                </w:p>
              </w:tc>
              <w:tc>
                <w:tcPr>
                  <w:tcW w:w="432" w:type="pct"/>
                  <w:tcBorders>
                    <w:tl2br w:val="nil"/>
                    <w:tr2bl w:val="nil"/>
                  </w:tcBorders>
                  <w:shd w:val="clear" w:color="auto" w:fill="auto"/>
                  <w:vAlign w:val="center"/>
                </w:tcPr>
                <w:p w14:paraId="13E362DD">
                  <w:pPr>
                    <w:pStyle w:val="45"/>
                    <w:rPr>
                      <w:rFonts w:hint="default"/>
                      <w:b w:val="0"/>
                      <w:bCs w:val="0"/>
                      <w:u w:val="none"/>
                    </w:rPr>
                  </w:pPr>
                  <w:r>
                    <w:rPr>
                      <w:rFonts w:hint="default"/>
                      <w:b w:val="0"/>
                      <w:bCs w:val="0"/>
                      <w:u w:val="none"/>
                    </w:rPr>
                    <w:t>HW08</w:t>
                  </w:r>
                </w:p>
              </w:tc>
              <w:tc>
                <w:tcPr>
                  <w:tcW w:w="656" w:type="pct"/>
                  <w:tcBorders>
                    <w:tl2br w:val="nil"/>
                    <w:tr2bl w:val="nil"/>
                  </w:tcBorders>
                  <w:shd w:val="clear" w:color="auto" w:fill="auto"/>
                  <w:vAlign w:val="center"/>
                </w:tcPr>
                <w:p w14:paraId="1554749B">
                  <w:pPr>
                    <w:pStyle w:val="45"/>
                    <w:rPr>
                      <w:rFonts w:hint="default"/>
                      <w:b w:val="0"/>
                      <w:bCs w:val="0"/>
                      <w:u w:val="none"/>
                    </w:rPr>
                  </w:pPr>
                  <w:r>
                    <w:rPr>
                      <w:rFonts w:hint="default"/>
                      <w:b w:val="0"/>
                      <w:bCs w:val="0"/>
                      <w:u w:val="none"/>
                    </w:rPr>
                    <w:t>009-214-08</w:t>
                  </w:r>
                </w:p>
              </w:tc>
              <w:tc>
                <w:tcPr>
                  <w:tcW w:w="417" w:type="pct"/>
                  <w:tcBorders>
                    <w:tl2br w:val="nil"/>
                    <w:tr2bl w:val="nil"/>
                  </w:tcBorders>
                  <w:shd w:val="clear" w:color="auto" w:fill="auto"/>
                  <w:vAlign w:val="center"/>
                </w:tcPr>
                <w:p w14:paraId="640A1A40">
                  <w:pPr>
                    <w:pStyle w:val="45"/>
                    <w:rPr>
                      <w:rFonts w:hint="default"/>
                      <w:b w:val="0"/>
                      <w:bCs w:val="0"/>
                      <w:u w:val="none"/>
                    </w:rPr>
                  </w:pPr>
                  <w:r>
                    <w:rPr>
                      <w:b w:val="0"/>
                      <w:bCs w:val="0"/>
                      <w:u w:val="none"/>
                    </w:rPr>
                    <w:t>设备维护</w:t>
                  </w:r>
                </w:p>
              </w:tc>
              <w:tc>
                <w:tcPr>
                  <w:tcW w:w="417" w:type="pct"/>
                  <w:tcBorders>
                    <w:tl2br w:val="nil"/>
                    <w:tr2bl w:val="nil"/>
                  </w:tcBorders>
                  <w:shd w:val="clear" w:color="auto" w:fill="auto"/>
                  <w:vAlign w:val="center"/>
                </w:tcPr>
                <w:p w14:paraId="729DEF13">
                  <w:pPr>
                    <w:pStyle w:val="45"/>
                    <w:rPr>
                      <w:rFonts w:hint="default"/>
                      <w:b w:val="0"/>
                      <w:bCs w:val="0"/>
                      <w:u w:val="none"/>
                    </w:rPr>
                  </w:pPr>
                  <w:r>
                    <w:rPr>
                      <w:b w:val="0"/>
                      <w:bCs w:val="0"/>
                      <w:u w:val="none"/>
                    </w:rPr>
                    <w:t>矿物油</w:t>
                  </w:r>
                </w:p>
              </w:tc>
              <w:tc>
                <w:tcPr>
                  <w:tcW w:w="368" w:type="pct"/>
                  <w:tcBorders>
                    <w:tl2br w:val="nil"/>
                    <w:tr2bl w:val="nil"/>
                  </w:tcBorders>
                  <w:shd w:val="clear" w:color="auto" w:fill="auto"/>
                  <w:vAlign w:val="center"/>
                </w:tcPr>
                <w:p w14:paraId="2FE9A656">
                  <w:pPr>
                    <w:pStyle w:val="45"/>
                    <w:rPr>
                      <w:rFonts w:hint="default"/>
                      <w:b w:val="0"/>
                      <w:bCs w:val="0"/>
                      <w:u w:val="none"/>
                    </w:rPr>
                  </w:pPr>
                  <w:r>
                    <w:rPr>
                      <w:b w:val="0"/>
                      <w:bCs w:val="0"/>
                      <w:u w:val="none"/>
                    </w:rPr>
                    <w:t>液态</w:t>
                  </w:r>
                </w:p>
              </w:tc>
              <w:tc>
                <w:tcPr>
                  <w:tcW w:w="368" w:type="pct"/>
                  <w:tcBorders>
                    <w:tl2br w:val="nil"/>
                    <w:tr2bl w:val="nil"/>
                  </w:tcBorders>
                  <w:shd w:val="clear" w:color="auto" w:fill="auto"/>
                  <w:noWrap/>
                  <w:vAlign w:val="center"/>
                </w:tcPr>
                <w:p w14:paraId="319F0397">
                  <w:pPr>
                    <w:pStyle w:val="45"/>
                    <w:rPr>
                      <w:rFonts w:hint="default"/>
                      <w:b w:val="0"/>
                      <w:bCs w:val="0"/>
                      <w:u w:val="none"/>
                    </w:rPr>
                  </w:pPr>
                  <w:r>
                    <w:rPr>
                      <w:b w:val="0"/>
                      <w:bCs w:val="0"/>
                      <w:u w:val="none"/>
                    </w:rPr>
                    <w:t>每年</w:t>
                  </w:r>
                </w:p>
              </w:tc>
              <w:tc>
                <w:tcPr>
                  <w:tcW w:w="350" w:type="pct"/>
                  <w:tcBorders>
                    <w:tl2br w:val="nil"/>
                    <w:tr2bl w:val="nil"/>
                  </w:tcBorders>
                  <w:shd w:val="clear" w:color="auto" w:fill="auto"/>
                  <w:vAlign w:val="center"/>
                </w:tcPr>
                <w:p w14:paraId="3C59833C">
                  <w:pPr>
                    <w:pStyle w:val="45"/>
                    <w:rPr>
                      <w:rFonts w:hint="default"/>
                      <w:b w:val="0"/>
                      <w:bCs w:val="0"/>
                      <w:u w:val="none"/>
                    </w:rPr>
                  </w:pPr>
                  <w:r>
                    <w:rPr>
                      <w:rFonts w:hint="default"/>
                      <w:b w:val="0"/>
                      <w:bCs w:val="0"/>
                      <w:u w:val="none"/>
                    </w:rPr>
                    <w:t>T,I</w:t>
                  </w:r>
                </w:p>
              </w:tc>
              <w:tc>
                <w:tcPr>
                  <w:tcW w:w="476" w:type="pct"/>
                  <w:tcBorders>
                    <w:tl2br w:val="nil"/>
                    <w:tr2bl w:val="nil"/>
                  </w:tcBorders>
                  <w:shd w:val="clear" w:color="auto" w:fill="auto"/>
                  <w:vAlign w:val="center"/>
                </w:tcPr>
                <w:p w14:paraId="510C644C">
                  <w:pPr>
                    <w:pStyle w:val="45"/>
                    <w:rPr>
                      <w:rFonts w:hint="default"/>
                      <w:b w:val="0"/>
                      <w:bCs w:val="0"/>
                      <w:u w:val="none"/>
                    </w:rPr>
                  </w:pPr>
                  <w:r>
                    <w:rPr>
                      <w:b w:val="0"/>
                      <w:bCs w:val="0"/>
                      <w:u w:val="none"/>
                    </w:rPr>
                    <w:t>0.1</w:t>
                  </w:r>
                </w:p>
              </w:tc>
              <w:tc>
                <w:tcPr>
                  <w:tcW w:w="567" w:type="pct"/>
                  <w:vMerge w:val="restart"/>
                  <w:tcBorders>
                    <w:tl2br w:val="nil"/>
                    <w:tr2bl w:val="nil"/>
                  </w:tcBorders>
                  <w:shd w:val="clear" w:color="auto" w:fill="auto"/>
                  <w:vAlign w:val="center"/>
                </w:tcPr>
                <w:p w14:paraId="637086BB">
                  <w:pPr>
                    <w:pStyle w:val="45"/>
                    <w:rPr>
                      <w:rFonts w:hint="default"/>
                      <w:b w:val="0"/>
                      <w:bCs w:val="0"/>
                      <w:u w:val="none"/>
                    </w:rPr>
                  </w:pPr>
                  <w:r>
                    <w:rPr>
                      <w:b w:val="0"/>
                      <w:bCs w:val="0"/>
                      <w:u w:val="none"/>
                    </w:rPr>
                    <w:t>危废暂存间分类暂存，委托有资质单位处置</w:t>
                  </w:r>
                </w:p>
              </w:tc>
            </w:tr>
            <w:tr w14:paraId="31DB92E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17" w:type="pct"/>
                  <w:tcBorders>
                    <w:tl2br w:val="nil"/>
                    <w:tr2bl w:val="nil"/>
                  </w:tcBorders>
                  <w:shd w:val="clear" w:color="auto" w:fill="auto"/>
                  <w:vAlign w:val="center"/>
                </w:tcPr>
                <w:p w14:paraId="2F1080CE">
                  <w:pPr>
                    <w:pStyle w:val="45"/>
                    <w:rPr>
                      <w:rFonts w:hint="default"/>
                      <w:b w:val="0"/>
                      <w:bCs w:val="0"/>
                      <w:u w:val="none"/>
                    </w:rPr>
                  </w:pPr>
                  <w:r>
                    <w:rPr>
                      <w:rFonts w:hint="default"/>
                      <w:b w:val="0"/>
                      <w:bCs w:val="0"/>
                      <w:u w:val="none"/>
                    </w:rPr>
                    <w:t>S6</w:t>
                  </w:r>
                </w:p>
              </w:tc>
              <w:tc>
                <w:tcPr>
                  <w:tcW w:w="526" w:type="pct"/>
                  <w:tcBorders>
                    <w:tl2br w:val="nil"/>
                    <w:tr2bl w:val="nil"/>
                  </w:tcBorders>
                  <w:shd w:val="clear" w:color="auto" w:fill="auto"/>
                  <w:vAlign w:val="center"/>
                </w:tcPr>
                <w:p w14:paraId="272A1E01">
                  <w:pPr>
                    <w:pStyle w:val="45"/>
                    <w:rPr>
                      <w:rFonts w:hint="default"/>
                      <w:b w:val="0"/>
                      <w:bCs w:val="0"/>
                      <w:u w:val="none"/>
                    </w:rPr>
                  </w:pPr>
                  <w:r>
                    <w:rPr>
                      <w:b w:val="0"/>
                      <w:bCs w:val="0"/>
                      <w:u w:val="none"/>
                    </w:rPr>
                    <w:t>废油桶</w:t>
                  </w:r>
                </w:p>
              </w:tc>
              <w:tc>
                <w:tcPr>
                  <w:tcW w:w="432" w:type="pct"/>
                  <w:tcBorders>
                    <w:tl2br w:val="nil"/>
                    <w:tr2bl w:val="nil"/>
                  </w:tcBorders>
                  <w:shd w:val="clear" w:color="auto" w:fill="auto"/>
                  <w:vAlign w:val="center"/>
                </w:tcPr>
                <w:p w14:paraId="15CDC490">
                  <w:pPr>
                    <w:pStyle w:val="45"/>
                    <w:rPr>
                      <w:rFonts w:hint="default"/>
                      <w:b w:val="0"/>
                      <w:bCs w:val="0"/>
                      <w:u w:val="none"/>
                    </w:rPr>
                  </w:pPr>
                  <w:r>
                    <w:rPr>
                      <w:rFonts w:hint="default"/>
                      <w:b w:val="0"/>
                      <w:bCs w:val="0"/>
                      <w:u w:val="none"/>
                    </w:rPr>
                    <w:t>HW08</w:t>
                  </w:r>
                </w:p>
              </w:tc>
              <w:tc>
                <w:tcPr>
                  <w:tcW w:w="656" w:type="pct"/>
                  <w:tcBorders>
                    <w:tl2br w:val="nil"/>
                    <w:tr2bl w:val="nil"/>
                  </w:tcBorders>
                  <w:shd w:val="clear" w:color="auto" w:fill="auto"/>
                  <w:vAlign w:val="center"/>
                </w:tcPr>
                <w:p w14:paraId="11FA84A2">
                  <w:pPr>
                    <w:pStyle w:val="45"/>
                    <w:rPr>
                      <w:rFonts w:hint="default"/>
                      <w:b w:val="0"/>
                      <w:bCs w:val="0"/>
                      <w:u w:val="none"/>
                    </w:rPr>
                  </w:pPr>
                  <w:r>
                    <w:rPr>
                      <w:rFonts w:hint="default"/>
                      <w:b w:val="0"/>
                      <w:bCs w:val="0"/>
                      <w:u w:val="none"/>
                    </w:rPr>
                    <w:t>900-249-08</w:t>
                  </w:r>
                </w:p>
              </w:tc>
              <w:tc>
                <w:tcPr>
                  <w:tcW w:w="417" w:type="pct"/>
                  <w:tcBorders>
                    <w:tl2br w:val="nil"/>
                    <w:tr2bl w:val="nil"/>
                  </w:tcBorders>
                  <w:shd w:val="clear" w:color="auto" w:fill="auto"/>
                  <w:vAlign w:val="center"/>
                </w:tcPr>
                <w:p w14:paraId="52BEF6CB">
                  <w:pPr>
                    <w:pStyle w:val="45"/>
                    <w:rPr>
                      <w:rFonts w:hint="default"/>
                      <w:b w:val="0"/>
                      <w:bCs w:val="0"/>
                      <w:u w:val="none"/>
                    </w:rPr>
                  </w:pPr>
                  <w:r>
                    <w:rPr>
                      <w:b w:val="0"/>
                      <w:bCs w:val="0"/>
                      <w:u w:val="none"/>
                    </w:rPr>
                    <w:t>原料贮存</w:t>
                  </w:r>
                </w:p>
              </w:tc>
              <w:tc>
                <w:tcPr>
                  <w:tcW w:w="417" w:type="pct"/>
                  <w:tcBorders>
                    <w:tl2br w:val="nil"/>
                    <w:tr2bl w:val="nil"/>
                  </w:tcBorders>
                  <w:shd w:val="clear" w:color="auto" w:fill="auto"/>
                  <w:vAlign w:val="center"/>
                </w:tcPr>
                <w:p w14:paraId="030EAF94">
                  <w:pPr>
                    <w:pStyle w:val="45"/>
                    <w:rPr>
                      <w:rFonts w:hint="default"/>
                      <w:b w:val="0"/>
                      <w:bCs w:val="0"/>
                      <w:u w:val="none"/>
                    </w:rPr>
                  </w:pPr>
                  <w:r>
                    <w:rPr>
                      <w:b w:val="0"/>
                      <w:bCs w:val="0"/>
                      <w:u w:val="none"/>
                    </w:rPr>
                    <w:t>矿物油</w:t>
                  </w:r>
                </w:p>
              </w:tc>
              <w:tc>
                <w:tcPr>
                  <w:tcW w:w="368" w:type="pct"/>
                  <w:tcBorders>
                    <w:tl2br w:val="nil"/>
                    <w:tr2bl w:val="nil"/>
                  </w:tcBorders>
                  <w:shd w:val="clear" w:color="auto" w:fill="auto"/>
                  <w:vAlign w:val="center"/>
                </w:tcPr>
                <w:p w14:paraId="65726E78">
                  <w:pPr>
                    <w:pStyle w:val="45"/>
                    <w:rPr>
                      <w:rFonts w:hint="default"/>
                      <w:b w:val="0"/>
                      <w:bCs w:val="0"/>
                      <w:u w:val="none"/>
                    </w:rPr>
                  </w:pPr>
                  <w:r>
                    <w:rPr>
                      <w:b w:val="0"/>
                      <w:bCs w:val="0"/>
                      <w:u w:val="none"/>
                    </w:rPr>
                    <w:t>固态</w:t>
                  </w:r>
                </w:p>
              </w:tc>
              <w:tc>
                <w:tcPr>
                  <w:tcW w:w="368" w:type="pct"/>
                  <w:tcBorders>
                    <w:tl2br w:val="nil"/>
                    <w:tr2bl w:val="nil"/>
                  </w:tcBorders>
                  <w:shd w:val="clear" w:color="auto" w:fill="auto"/>
                  <w:noWrap/>
                  <w:vAlign w:val="center"/>
                </w:tcPr>
                <w:p w14:paraId="7204EA27">
                  <w:pPr>
                    <w:pStyle w:val="45"/>
                    <w:rPr>
                      <w:rFonts w:hint="default"/>
                      <w:b w:val="0"/>
                      <w:bCs w:val="0"/>
                      <w:u w:val="none"/>
                    </w:rPr>
                  </w:pPr>
                  <w:r>
                    <w:rPr>
                      <w:b w:val="0"/>
                      <w:bCs w:val="0"/>
                      <w:u w:val="none"/>
                    </w:rPr>
                    <w:t>每年</w:t>
                  </w:r>
                </w:p>
              </w:tc>
              <w:tc>
                <w:tcPr>
                  <w:tcW w:w="350" w:type="pct"/>
                  <w:tcBorders>
                    <w:tl2br w:val="nil"/>
                    <w:tr2bl w:val="nil"/>
                  </w:tcBorders>
                  <w:shd w:val="clear" w:color="auto" w:fill="auto"/>
                  <w:vAlign w:val="center"/>
                </w:tcPr>
                <w:p w14:paraId="4197D4FA">
                  <w:pPr>
                    <w:pStyle w:val="45"/>
                    <w:rPr>
                      <w:rFonts w:hint="default"/>
                      <w:b w:val="0"/>
                      <w:bCs w:val="0"/>
                      <w:u w:val="none"/>
                    </w:rPr>
                  </w:pPr>
                  <w:r>
                    <w:rPr>
                      <w:rFonts w:hint="default"/>
                      <w:b w:val="0"/>
                      <w:bCs w:val="0"/>
                      <w:u w:val="none"/>
                    </w:rPr>
                    <w:t>T,I</w:t>
                  </w:r>
                </w:p>
              </w:tc>
              <w:tc>
                <w:tcPr>
                  <w:tcW w:w="476" w:type="pct"/>
                  <w:tcBorders>
                    <w:tl2br w:val="nil"/>
                    <w:tr2bl w:val="nil"/>
                  </w:tcBorders>
                  <w:shd w:val="clear" w:color="auto" w:fill="auto"/>
                  <w:vAlign w:val="center"/>
                </w:tcPr>
                <w:p w14:paraId="78D24991">
                  <w:pPr>
                    <w:pStyle w:val="45"/>
                    <w:rPr>
                      <w:rFonts w:hint="eastAsia" w:eastAsia="宋体"/>
                      <w:b w:val="0"/>
                      <w:bCs w:val="0"/>
                      <w:u w:val="none"/>
                      <w:lang w:eastAsia="zh-CN"/>
                    </w:rPr>
                  </w:pPr>
                  <w:r>
                    <w:rPr>
                      <w:b w:val="0"/>
                      <w:bCs w:val="0"/>
                      <w:u w:val="none"/>
                    </w:rPr>
                    <w:t>0.01</w:t>
                  </w:r>
                  <w:r>
                    <w:rPr>
                      <w:rFonts w:hint="eastAsia"/>
                      <w:b w:val="0"/>
                      <w:bCs w:val="0"/>
                      <w:u w:val="none"/>
                      <w:lang w:val="en-US" w:eastAsia="zh-CN"/>
                    </w:rPr>
                    <w:t>5</w:t>
                  </w:r>
                </w:p>
              </w:tc>
              <w:tc>
                <w:tcPr>
                  <w:tcW w:w="567" w:type="pct"/>
                  <w:vMerge w:val="continue"/>
                  <w:tcBorders>
                    <w:tl2br w:val="nil"/>
                    <w:tr2bl w:val="nil"/>
                  </w:tcBorders>
                  <w:shd w:val="clear" w:color="auto" w:fill="auto"/>
                  <w:vAlign w:val="center"/>
                </w:tcPr>
                <w:p w14:paraId="365D3C35">
                  <w:pPr>
                    <w:pStyle w:val="45"/>
                    <w:rPr>
                      <w:rFonts w:hint="default"/>
                      <w:b w:val="0"/>
                      <w:bCs w:val="0"/>
                      <w:u w:val="none"/>
                    </w:rPr>
                  </w:pPr>
                </w:p>
              </w:tc>
            </w:tr>
          </w:tbl>
          <w:p w14:paraId="4F9F4CA2">
            <w:pPr>
              <w:pStyle w:val="5"/>
              <w:rPr>
                <w:rFonts w:hint="default"/>
                <w:b w:val="0"/>
                <w:bCs w:val="0"/>
                <w:u w:val="none"/>
              </w:rPr>
            </w:pPr>
            <w:r>
              <w:rPr>
                <w:rFonts w:hint="default"/>
                <w:b w:val="0"/>
                <w:bCs w:val="0"/>
                <w:u w:val="none"/>
              </w:rPr>
              <w:t>危险废物的收集、运输、贮存、管理以及转运应严格按照《危险废物污染防治技术政策》（环发</w:t>
            </w:r>
            <w:r>
              <w:rPr>
                <w:b w:val="0"/>
                <w:bCs w:val="0"/>
                <w:u w:val="none"/>
              </w:rPr>
              <w:t>〔</w:t>
            </w:r>
            <w:r>
              <w:rPr>
                <w:rFonts w:hint="default"/>
                <w:b w:val="0"/>
                <w:bCs w:val="0"/>
                <w:u w:val="none"/>
              </w:rPr>
              <w:t>2001</w:t>
            </w:r>
            <w:r>
              <w:rPr>
                <w:b w:val="0"/>
                <w:bCs w:val="0"/>
                <w:u w:val="none"/>
              </w:rPr>
              <w:t>〕</w:t>
            </w:r>
            <w:r>
              <w:rPr>
                <w:rFonts w:hint="default"/>
                <w:b w:val="0"/>
                <w:bCs w:val="0"/>
                <w:u w:val="none"/>
              </w:rPr>
              <w:t>199号）、《危险废物转移联单管理办法》（国家环境保护总局令第5号）和</w:t>
            </w:r>
            <w:r>
              <w:rPr>
                <w:b w:val="0"/>
                <w:bCs w:val="0"/>
                <w:u w:val="none"/>
              </w:rPr>
              <w:t>《危险废物贮存污染控制标准》（GB18597-2023）</w:t>
            </w:r>
            <w:r>
              <w:rPr>
                <w:rFonts w:hint="default"/>
                <w:b w:val="0"/>
                <w:bCs w:val="0"/>
                <w:u w:val="none"/>
              </w:rPr>
              <w:t>实行，对危险废物外运采取防渗透、防泄漏、防中途流失措施，并落实安全管理责任，避免二次污染。本项目危险废物委托有资质单位安全处置，企业不得擅自处理，评价要求建设单位在投入运行前应当与相应资质单位签订相应的危废处置协议。</w:t>
            </w:r>
          </w:p>
          <w:p w14:paraId="2D4BBCD8">
            <w:pPr>
              <w:pStyle w:val="6"/>
              <w:numPr>
                <w:ilvl w:val="2"/>
                <w:numId w:val="3"/>
              </w:numPr>
              <w:rPr>
                <w:b w:val="0"/>
                <w:bCs w:val="0"/>
                <w:u w:val="none"/>
              </w:rPr>
            </w:pPr>
            <w:r>
              <w:rPr>
                <w:b w:val="0"/>
                <w:bCs w:val="0"/>
                <w:u w:val="none"/>
              </w:rPr>
              <w:t>环境管理要求</w:t>
            </w:r>
          </w:p>
          <w:p w14:paraId="4D9863B7">
            <w:pPr>
              <w:pStyle w:val="5"/>
              <w:rPr>
                <w:rFonts w:hint="default"/>
                <w:b w:val="0"/>
                <w:bCs w:val="0"/>
                <w:u w:val="none"/>
              </w:rPr>
            </w:pPr>
            <w:r>
              <w:rPr>
                <w:rFonts w:hint="default"/>
                <w:b w:val="0"/>
                <w:bCs w:val="0"/>
                <w:u w:val="none"/>
              </w:rPr>
              <w:t>（1）一般工业固废</w:t>
            </w:r>
          </w:p>
          <w:p w14:paraId="6A3634A0">
            <w:pPr>
              <w:pStyle w:val="5"/>
              <w:rPr>
                <w:rFonts w:hint="default"/>
                <w:b w:val="0"/>
                <w:bCs w:val="0"/>
                <w:u w:val="none"/>
              </w:rPr>
            </w:pPr>
            <w:r>
              <w:rPr>
                <w:rFonts w:hint="default"/>
                <w:b w:val="0"/>
                <w:bCs w:val="0"/>
                <w:u w:val="none"/>
              </w:rPr>
              <w:t>①本项目产生的一般固体废物应按不同类别分类存放于生产车间内独立的一般固废暂存区。</w:t>
            </w:r>
          </w:p>
          <w:p w14:paraId="3C8DD377">
            <w:pPr>
              <w:pStyle w:val="5"/>
              <w:rPr>
                <w:rFonts w:hint="default"/>
                <w:b w:val="0"/>
                <w:bCs w:val="0"/>
                <w:u w:val="none"/>
              </w:rPr>
            </w:pPr>
            <w:r>
              <w:rPr>
                <w:rFonts w:hint="default"/>
                <w:b w:val="0"/>
                <w:bCs w:val="0"/>
                <w:u w:val="none"/>
              </w:rPr>
              <w:t>②一般固废暂存区所应具备防雨淋、防泄漏、防扬散、防流失等设施或措施。</w:t>
            </w:r>
          </w:p>
          <w:p w14:paraId="27F640F1">
            <w:pPr>
              <w:pStyle w:val="5"/>
              <w:rPr>
                <w:rFonts w:hint="default"/>
                <w:b w:val="0"/>
                <w:bCs w:val="0"/>
                <w:u w:val="none"/>
              </w:rPr>
            </w:pPr>
            <w:r>
              <w:rPr>
                <w:rFonts w:hint="default"/>
                <w:b w:val="0"/>
                <w:bCs w:val="0"/>
                <w:u w:val="none"/>
              </w:rPr>
              <w:t>③厂区应建立完备的检测、记录、存档和报告制度，并对各类固废的去向、用途、用量等进行跟踪、记录和报告，相关资料至少保存5年。</w:t>
            </w:r>
          </w:p>
          <w:p w14:paraId="2D2626AF">
            <w:pPr>
              <w:pStyle w:val="5"/>
              <w:rPr>
                <w:rFonts w:hint="default"/>
                <w:b w:val="0"/>
                <w:bCs w:val="0"/>
                <w:u w:val="none"/>
              </w:rPr>
            </w:pPr>
            <w:r>
              <w:rPr>
                <w:b w:val="0"/>
                <w:bCs w:val="0"/>
                <w:u w:val="none"/>
              </w:rPr>
              <w:t>（2）</w:t>
            </w:r>
            <w:r>
              <w:rPr>
                <w:rFonts w:hint="default"/>
                <w:b w:val="0"/>
                <w:bCs w:val="0"/>
                <w:u w:val="none"/>
              </w:rPr>
              <w:t>危险废物</w:t>
            </w:r>
          </w:p>
          <w:p w14:paraId="2BA6C5D7">
            <w:pPr>
              <w:pStyle w:val="5"/>
              <w:rPr>
                <w:rFonts w:hint="default"/>
                <w:b w:val="0"/>
                <w:bCs w:val="0"/>
                <w:u w:val="none"/>
              </w:rPr>
            </w:pPr>
            <w:r>
              <w:rPr>
                <w:rFonts w:hint="default"/>
                <w:b w:val="0"/>
                <w:bCs w:val="0"/>
                <w:u w:val="none"/>
              </w:rPr>
              <w:t>危险废物暂存间应按规定设置环境保护图形标准，并建立检查维护制度，严格执行</w:t>
            </w:r>
            <w:r>
              <w:rPr>
                <w:b w:val="0"/>
                <w:bCs w:val="0"/>
                <w:u w:val="none"/>
              </w:rPr>
              <w:t>《危险废物贮存污染控制标准》（GB18597-2023）</w:t>
            </w:r>
            <w:r>
              <w:rPr>
                <w:rFonts w:hint="default"/>
                <w:b w:val="0"/>
                <w:bCs w:val="0"/>
                <w:u w:val="none"/>
              </w:rPr>
              <w:t>，做到防风、防雨、防晒、防渗漏，同时危险废物贮存应严格按照国家有关危险废物处置规范以及《建设项目危险废物环境影响评价指南》（环境保护部公告2017年第43号）要求进行设计、运行和贮存，具体要求如下：</w:t>
            </w:r>
          </w:p>
          <w:p w14:paraId="3800A0C6">
            <w:pPr>
              <w:pStyle w:val="5"/>
              <w:rPr>
                <w:rFonts w:hint="default"/>
                <w:b w:val="0"/>
                <w:bCs w:val="0"/>
                <w:u w:val="none"/>
              </w:rPr>
            </w:pPr>
            <w:r>
              <w:rPr>
                <w:rFonts w:hint="default"/>
                <w:b w:val="0"/>
                <w:bCs w:val="0"/>
                <w:u w:val="none"/>
              </w:rPr>
              <w:t>①危险废物暂存间基础必须防渗，保证防渗系数≤10</w:t>
            </w:r>
            <w:r>
              <w:rPr>
                <w:rFonts w:hint="default"/>
                <w:b w:val="0"/>
                <w:bCs w:val="0"/>
                <w:u w:val="none"/>
                <w:vertAlign w:val="superscript"/>
              </w:rPr>
              <w:t>-10</w:t>
            </w:r>
            <w:r>
              <w:rPr>
                <w:rFonts w:hint="default"/>
                <w:b w:val="0"/>
                <w:bCs w:val="0"/>
                <w:u w:val="none"/>
              </w:rPr>
              <w:t>cm/s；</w:t>
            </w:r>
          </w:p>
          <w:p w14:paraId="0B249357">
            <w:pPr>
              <w:pStyle w:val="5"/>
              <w:rPr>
                <w:rFonts w:hint="default"/>
                <w:b w:val="0"/>
                <w:bCs w:val="0"/>
                <w:u w:val="none"/>
              </w:rPr>
            </w:pPr>
            <w:r>
              <w:rPr>
                <w:rFonts w:hint="default"/>
                <w:b w:val="0"/>
                <w:bCs w:val="0"/>
                <w:u w:val="none"/>
              </w:rPr>
              <w:t>②危险废物暂存间地面、裙角要用坚固、防渗的材料建造，建筑材料必须与危险废物相容，衬里能够覆盖危险废物可能涉及到的范围，衬里材料与堆放危险废物相容；</w:t>
            </w:r>
          </w:p>
          <w:p w14:paraId="1535280E">
            <w:pPr>
              <w:pStyle w:val="5"/>
              <w:rPr>
                <w:rFonts w:hint="default"/>
                <w:b w:val="0"/>
                <w:bCs w:val="0"/>
                <w:u w:val="none"/>
              </w:rPr>
            </w:pPr>
            <w:r>
              <w:rPr>
                <w:rFonts w:hint="default"/>
                <w:b w:val="0"/>
                <w:bCs w:val="0"/>
                <w:u w:val="none"/>
              </w:rPr>
              <w:t>③做好危险废物情况的记录，记录须注明危险废物的名称、来源、数量、特性、入库日期、废物出库日期及接收单位名称。危险废物的记录和货单在危险废物回取后应继续保留三年。</w:t>
            </w:r>
          </w:p>
          <w:p w14:paraId="334E6473">
            <w:pPr>
              <w:pStyle w:val="5"/>
              <w:rPr>
                <w:rFonts w:hint="default"/>
                <w:b w:val="0"/>
                <w:bCs w:val="0"/>
                <w:u w:val="none"/>
              </w:rPr>
            </w:pPr>
            <w:r>
              <w:rPr>
                <w:rFonts w:hint="default"/>
                <w:b w:val="0"/>
                <w:bCs w:val="0"/>
                <w:u w:val="none"/>
              </w:rPr>
              <w:t>④危险废物贮存设施必须按GB15562.2的规定设置警示标志。危险废物贮存设施周围应设置围墙</w:t>
            </w:r>
            <w:r>
              <w:rPr>
                <w:b w:val="0"/>
                <w:bCs w:val="0"/>
                <w:u w:val="none"/>
              </w:rPr>
              <w:t>或其他</w:t>
            </w:r>
            <w:r>
              <w:rPr>
                <w:rFonts w:hint="default"/>
                <w:b w:val="0"/>
                <w:bCs w:val="0"/>
                <w:u w:val="none"/>
              </w:rPr>
              <w:t>防护栅栏。危险废物贮存设施应配备通讯设备、照明设施、安全防护服装及工具，并设有应急防护设施。危险废物贮存设施内清理出来的</w:t>
            </w:r>
            <w:r>
              <w:rPr>
                <w:b w:val="0"/>
                <w:bCs w:val="0"/>
                <w:u w:val="none"/>
              </w:rPr>
              <w:t>泄漏</w:t>
            </w:r>
            <w:r>
              <w:rPr>
                <w:rFonts w:hint="default"/>
                <w:b w:val="0"/>
                <w:bCs w:val="0"/>
                <w:u w:val="none"/>
              </w:rPr>
              <w:t>物。一律按危险废物处理。</w:t>
            </w:r>
          </w:p>
          <w:p w14:paraId="61704E91">
            <w:pPr>
              <w:pStyle w:val="5"/>
              <w:rPr>
                <w:rFonts w:hint="default"/>
                <w:b w:val="0"/>
                <w:bCs w:val="0"/>
                <w:u w:val="none"/>
              </w:rPr>
            </w:pPr>
            <w:r>
              <w:rPr>
                <w:rFonts w:hint="default"/>
                <w:b w:val="0"/>
                <w:bCs w:val="0"/>
                <w:u w:val="none"/>
              </w:rPr>
              <w:t>⑤危废的转移执行国家环保总局第5号令《危险废物转移联单管理办法》。</w:t>
            </w:r>
          </w:p>
          <w:p w14:paraId="2C82F2C2">
            <w:pPr>
              <w:pStyle w:val="5"/>
              <w:rPr>
                <w:rFonts w:hint="default"/>
                <w:b w:val="0"/>
                <w:bCs w:val="0"/>
                <w:u w:val="none"/>
              </w:rPr>
            </w:pPr>
            <w:r>
              <w:rPr>
                <w:rFonts w:hint="default"/>
                <w:b w:val="0"/>
                <w:bCs w:val="0"/>
                <w:u w:val="none"/>
              </w:rPr>
              <w:t>⑥在日常管理中，应设置专人加强对危废暂存间的管理，出现问题及时解决，避免形成二次污染，对工作人员应进行专业培训，熟知各项固废知识。</w:t>
            </w:r>
          </w:p>
          <w:p w14:paraId="36A7CD66">
            <w:pPr>
              <w:pStyle w:val="5"/>
              <w:rPr>
                <w:rFonts w:hint="default"/>
                <w:b w:val="0"/>
                <w:bCs w:val="0"/>
                <w:u w:val="none"/>
              </w:rPr>
            </w:pPr>
            <w:r>
              <w:rPr>
                <w:rFonts w:hint="default"/>
                <w:b w:val="0"/>
                <w:bCs w:val="0"/>
                <w:u w:val="none"/>
              </w:rPr>
              <w:t>综上，采取上述措施后，本项目固体废物可得到妥善</w:t>
            </w:r>
            <w:r>
              <w:rPr>
                <w:b w:val="0"/>
                <w:bCs w:val="0"/>
                <w:u w:val="none"/>
              </w:rPr>
              <w:t>地</w:t>
            </w:r>
            <w:r>
              <w:rPr>
                <w:rFonts w:hint="default"/>
                <w:b w:val="0"/>
                <w:bCs w:val="0"/>
                <w:u w:val="none"/>
              </w:rPr>
              <w:t>处理与处置，对周围环境造成的影响很小。</w:t>
            </w:r>
          </w:p>
          <w:p w14:paraId="5E7FA27C">
            <w:pPr>
              <w:pStyle w:val="4"/>
              <w:numPr>
                <w:ilvl w:val="1"/>
                <w:numId w:val="3"/>
              </w:numPr>
              <w:tabs>
                <w:tab w:val="left" w:pos="0"/>
              </w:tabs>
              <w:rPr>
                <w:b w:val="0"/>
                <w:bCs w:val="0"/>
                <w:u w:val="none"/>
              </w:rPr>
            </w:pPr>
            <w:r>
              <w:rPr>
                <w:b w:val="0"/>
                <w:bCs w:val="0"/>
                <w:u w:val="none"/>
              </w:rPr>
              <w:t>营运期地下水和土壤环境影响和保护措施</w:t>
            </w:r>
          </w:p>
          <w:p w14:paraId="6189667B">
            <w:pPr>
              <w:pStyle w:val="5"/>
              <w:rPr>
                <w:rFonts w:hint="default"/>
                <w:b w:val="0"/>
                <w:bCs w:val="0"/>
                <w:u w:val="none"/>
              </w:rPr>
            </w:pPr>
            <w:r>
              <w:rPr>
                <w:rFonts w:hint="default"/>
                <w:b w:val="0"/>
                <w:bCs w:val="0"/>
                <w:u w:val="none"/>
              </w:rPr>
              <w:t>1.污染的途径</w:t>
            </w:r>
          </w:p>
          <w:p w14:paraId="6F2D6B0D">
            <w:pPr>
              <w:pStyle w:val="5"/>
              <w:rPr>
                <w:rFonts w:hint="default"/>
                <w:b w:val="0"/>
                <w:bCs w:val="0"/>
                <w:u w:val="none"/>
              </w:rPr>
            </w:pPr>
            <w:r>
              <w:rPr>
                <w:rFonts w:hint="default"/>
                <w:b w:val="0"/>
                <w:bCs w:val="0"/>
                <w:u w:val="none"/>
              </w:rPr>
              <w:t>危废暂存间、</w:t>
            </w:r>
            <w:r>
              <w:rPr>
                <w:b w:val="0"/>
                <w:bCs w:val="0"/>
                <w:u w:val="none"/>
              </w:rPr>
              <w:t>液氨和氨水</w:t>
            </w:r>
            <w:r>
              <w:rPr>
                <w:rFonts w:hint="default"/>
                <w:b w:val="0"/>
                <w:bCs w:val="0"/>
                <w:u w:val="none"/>
              </w:rPr>
              <w:t>储罐区、一般工业固废暂存库等可能会造成地下水污染。长期使用出现防渗层破损、断裂情况，造成地下水污染。</w:t>
            </w:r>
          </w:p>
          <w:p w14:paraId="3C70C0EB">
            <w:pPr>
              <w:pStyle w:val="5"/>
              <w:rPr>
                <w:rFonts w:hint="default"/>
                <w:b w:val="0"/>
                <w:bCs w:val="0"/>
                <w:u w:val="none"/>
              </w:rPr>
            </w:pPr>
            <w:r>
              <w:rPr>
                <w:rFonts w:hint="default"/>
                <w:b w:val="0"/>
                <w:bCs w:val="0"/>
                <w:u w:val="none"/>
              </w:rPr>
              <w:t>2.污染防治措施</w:t>
            </w:r>
          </w:p>
          <w:p w14:paraId="4CA5C020">
            <w:pPr>
              <w:pStyle w:val="5"/>
              <w:rPr>
                <w:rFonts w:hint="default"/>
                <w:b w:val="0"/>
                <w:bCs w:val="0"/>
                <w:u w:val="none"/>
              </w:rPr>
            </w:pPr>
            <w:r>
              <w:rPr>
                <w:rFonts w:hint="default"/>
                <w:b w:val="0"/>
                <w:bCs w:val="0"/>
                <w:u w:val="none"/>
              </w:rPr>
              <w:t>（1）源头控制措施</w:t>
            </w:r>
          </w:p>
          <w:p w14:paraId="0DC873C7">
            <w:pPr>
              <w:pStyle w:val="5"/>
              <w:rPr>
                <w:rFonts w:hint="default"/>
                <w:b w:val="0"/>
                <w:bCs w:val="0"/>
                <w:u w:val="none"/>
              </w:rPr>
            </w:pPr>
            <w:r>
              <w:rPr>
                <w:rFonts w:hint="default"/>
                <w:b w:val="0"/>
                <w:bCs w:val="0"/>
                <w:u w:val="none"/>
              </w:rPr>
              <w:t>实施清洁生产，实现废物资源化利用，减少污染物的排放；加强环境管理，污水管道等选用做防渗、防腐处理的管道，将污染物“跑、冒、滴、漏”降到最低程度。</w:t>
            </w:r>
          </w:p>
          <w:p w14:paraId="5E0E5F33">
            <w:pPr>
              <w:pStyle w:val="5"/>
              <w:rPr>
                <w:rFonts w:hint="default"/>
                <w:b w:val="0"/>
                <w:bCs w:val="0"/>
                <w:u w:val="none"/>
              </w:rPr>
            </w:pPr>
            <w:r>
              <w:rPr>
                <w:rFonts w:hint="default"/>
                <w:b w:val="0"/>
                <w:bCs w:val="0"/>
                <w:u w:val="none"/>
              </w:rPr>
              <w:t>（2）分区防控</w:t>
            </w:r>
          </w:p>
          <w:p w14:paraId="6867136C">
            <w:pPr>
              <w:pStyle w:val="5"/>
              <w:rPr>
                <w:rFonts w:hint="default"/>
                <w:b w:val="0"/>
                <w:bCs w:val="0"/>
                <w:u w:val="none"/>
              </w:rPr>
            </w:pPr>
            <w:r>
              <w:rPr>
                <w:rFonts w:hint="default"/>
                <w:b w:val="0"/>
                <w:bCs w:val="0"/>
                <w:u w:val="none"/>
              </w:rPr>
              <w:t>重点防渗区：危废暂存间、</w:t>
            </w:r>
            <w:r>
              <w:rPr>
                <w:b w:val="0"/>
                <w:bCs w:val="0"/>
                <w:u w:val="none"/>
              </w:rPr>
              <w:t>液氨和氨水</w:t>
            </w:r>
            <w:r>
              <w:rPr>
                <w:rFonts w:hint="default"/>
                <w:b w:val="0"/>
                <w:bCs w:val="0"/>
                <w:u w:val="none"/>
              </w:rPr>
              <w:t>储罐区在原有水泥地面+2 mm 厚高密度聚乙烯膜，膜上水泥砂浆敷面，确保渗透系数≤10</w:t>
            </w:r>
            <w:r>
              <w:rPr>
                <w:rFonts w:hint="default"/>
                <w:b w:val="0"/>
                <w:bCs w:val="0"/>
                <w:u w:val="none"/>
                <w:vertAlign w:val="superscript"/>
              </w:rPr>
              <w:t>-10</w:t>
            </w:r>
            <w:r>
              <w:rPr>
                <w:rFonts w:hint="default"/>
                <w:b w:val="0"/>
                <w:bCs w:val="0"/>
                <w:u w:val="none"/>
              </w:rPr>
              <w:t xml:space="preserve">cm/s。 </w:t>
            </w:r>
          </w:p>
          <w:p w14:paraId="556105A7">
            <w:pPr>
              <w:pStyle w:val="5"/>
              <w:rPr>
                <w:rFonts w:hint="default"/>
                <w:b w:val="0"/>
                <w:bCs w:val="0"/>
                <w:u w:val="none"/>
              </w:rPr>
            </w:pPr>
            <w:r>
              <w:rPr>
                <w:rFonts w:hint="default"/>
                <w:b w:val="0"/>
                <w:bCs w:val="0"/>
                <w:u w:val="none"/>
              </w:rPr>
              <w:t>一般防渗区：一般工业固废暂存库等，防渗要求：采用20cm防渗混凝土进行防渗 0.75 m，确保防渗层达到等效黏土防渗层Mb≥1.5m、渗透系数K≤1.0×10</w:t>
            </w:r>
            <w:r>
              <w:rPr>
                <w:rFonts w:hint="default"/>
                <w:b w:val="0"/>
                <w:bCs w:val="0"/>
                <w:u w:val="none"/>
                <w:vertAlign w:val="superscript"/>
              </w:rPr>
              <w:t>-7</w:t>
            </w:r>
            <w:r>
              <w:rPr>
                <w:rFonts w:hint="default"/>
                <w:b w:val="0"/>
                <w:bCs w:val="0"/>
                <w:u w:val="none"/>
              </w:rPr>
              <w:t>cm/s 的要求。</w:t>
            </w:r>
          </w:p>
          <w:p w14:paraId="0622B555">
            <w:pPr>
              <w:pStyle w:val="5"/>
              <w:rPr>
                <w:rFonts w:hint="default"/>
                <w:b w:val="0"/>
                <w:bCs w:val="0"/>
                <w:u w:val="none"/>
              </w:rPr>
            </w:pPr>
            <w:r>
              <w:rPr>
                <w:rFonts w:hint="default"/>
                <w:b w:val="0"/>
                <w:bCs w:val="0"/>
                <w:u w:val="none"/>
              </w:rPr>
              <w:t>简单防渗区：除重点防渗区和一般防渗区外的区域，采取一般混凝土地面硬化。</w:t>
            </w:r>
          </w:p>
          <w:p w14:paraId="7C93334D">
            <w:pPr>
              <w:pStyle w:val="5"/>
              <w:rPr>
                <w:rFonts w:hint="default"/>
                <w:b w:val="0"/>
                <w:bCs w:val="0"/>
                <w:u w:val="none"/>
              </w:rPr>
            </w:pPr>
            <w:r>
              <w:rPr>
                <w:rFonts w:hint="default"/>
                <w:b w:val="0"/>
                <w:bCs w:val="0"/>
                <w:u w:val="none"/>
              </w:rPr>
              <w:t>在加强维护和项目环境管理的前提下，可有效控制项目的废水污染物下渗现象，避免污染地下水，因此项目不会对区域地下水环境产生明显影响。</w:t>
            </w:r>
          </w:p>
          <w:p w14:paraId="3623FE5E">
            <w:pPr>
              <w:pStyle w:val="5"/>
              <w:rPr>
                <w:rFonts w:hint="default"/>
                <w:b w:val="0"/>
                <w:bCs w:val="0"/>
                <w:u w:val="none"/>
              </w:rPr>
            </w:pPr>
            <w:r>
              <w:rPr>
                <w:rFonts w:hint="default"/>
                <w:b w:val="0"/>
                <w:bCs w:val="0"/>
                <w:u w:val="none"/>
              </w:rPr>
              <w:t>综上所述，在采取上述防渗处理措施后，项目对土壤、地下水基本不会造成明显影响。</w:t>
            </w:r>
          </w:p>
          <w:p w14:paraId="1DE23D7C">
            <w:pPr>
              <w:pStyle w:val="4"/>
              <w:rPr>
                <w:b w:val="0"/>
                <w:bCs w:val="0"/>
                <w:u w:val="none"/>
              </w:rPr>
            </w:pPr>
            <w:r>
              <w:rPr>
                <w:b w:val="0"/>
                <w:bCs w:val="0"/>
                <w:u w:val="none"/>
              </w:rPr>
              <w:t>生态</w:t>
            </w:r>
            <w:r>
              <w:rPr>
                <w:rFonts w:hint="eastAsia"/>
                <w:b w:val="0"/>
                <w:bCs w:val="0"/>
                <w:u w:val="none"/>
              </w:rPr>
              <w:t>环境</w:t>
            </w:r>
          </w:p>
          <w:p w14:paraId="0B5D6FA7">
            <w:pPr>
              <w:pStyle w:val="5"/>
              <w:rPr>
                <w:rFonts w:hint="default"/>
                <w:b w:val="0"/>
                <w:bCs w:val="0"/>
                <w:u w:val="none"/>
              </w:rPr>
            </w:pPr>
            <w:r>
              <w:rPr>
                <w:rFonts w:hint="default"/>
                <w:b w:val="0"/>
                <w:bCs w:val="0"/>
                <w:u w:val="none"/>
              </w:rPr>
              <w:t>本项目</w:t>
            </w:r>
            <w:r>
              <w:rPr>
                <w:b w:val="0"/>
                <w:bCs w:val="0"/>
                <w:u w:val="none"/>
              </w:rPr>
              <w:t>位于工业园区，不涉及</w:t>
            </w:r>
            <w:r>
              <w:rPr>
                <w:rFonts w:hint="default"/>
                <w:b w:val="0"/>
                <w:bCs w:val="0"/>
                <w:u w:val="none"/>
              </w:rPr>
              <w:t>各级自然生态保护区和风景名胜区。</w:t>
            </w:r>
          </w:p>
          <w:p w14:paraId="1A911696">
            <w:pPr>
              <w:pStyle w:val="4"/>
              <w:rPr>
                <w:b w:val="0"/>
                <w:bCs w:val="0"/>
                <w:u w:val="none"/>
              </w:rPr>
            </w:pPr>
            <w:r>
              <w:rPr>
                <w:b w:val="0"/>
                <w:bCs w:val="0"/>
                <w:u w:val="none"/>
              </w:rPr>
              <w:t>环境风险</w:t>
            </w:r>
          </w:p>
          <w:p w14:paraId="4B1C45D1">
            <w:pPr>
              <w:pStyle w:val="5"/>
              <w:rPr>
                <w:rFonts w:hint="default"/>
                <w:b w:val="0"/>
                <w:bCs w:val="0"/>
                <w:u w:val="none"/>
              </w:rPr>
            </w:pPr>
            <w:r>
              <w:rPr>
                <w:rFonts w:hint="default"/>
                <w:b w:val="0"/>
                <w:bCs w:val="0"/>
                <w:u w:val="none"/>
              </w:rPr>
              <w:t>根据《建设项目环境风险评价技术导则》（HJ 169-2018）导则附录B，项目涉及的风险物质为</w:t>
            </w:r>
            <w:r>
              <w:rPr>
                <w:b w:val="0"/>
                <w:bCs w:val="0"/>
                <w:u w:val="none"/>
              </w:rPr>
              <w:t>液氨、氨水和</w:t>
            </w:r>
            <w:r>
              <w:rPr>
                <w:rFonts w:hint="default"/>
                <w:b w:val="0"/>
                <w:bCs w:val="0"/>
                <w:u w:val="none"/>
              </w:rPr>
              <w:t>废</w:t>
            </w:r>
            <w:r>
              <w:rPr>
                <w:b w:val="0"/>
                <w:bCs w:val="0"/>
                <w:u w:val="none"/>
              </w:rPr>
              <w:t>润滑油</w:t>
            </w:r>
            <w:r>
              <w:rPr>
                <w:rFonts w:hint="default"/>
                <w:b w:val="0"/>
                <w:bCs w:val="0"/>
                <w:u w:val="none"/>
              </w:rPr>
              <w:t>，危险物质及风险源分布情况见</w:t>
            </w:r>
            <w:r>
              <w:rPr>
                <w:b w:val="0"/>
                <w:bCs w:val="0"/>
                <w:u w:val="none"/>
              </w:rPr>
              <w:t>风险专项报告</w:t>
            </w:r>
            <w:r>
              <w:rPr>
                <w:rFonts w:hint="default"/>
                <w:b w:val="0"/>
                <w:bCs w:val="0"/>
                <w:u w:val="none"/>
              </w:rPr>
              <w:t>。</w:t>
            </w:r>
          </w:p>
          <w:p w14:paraId="16AF4E27">
            <w:pPr>
              <w:pStyle w:val="5"/>
              <w:rPr>
                <w:rFonts w:hint="default"/>
                <w:b w:val="0"/>
                <w:bCs w:val="0"/>
                <w:u w:val="none"/>
              </w:rPr>
            </w:pPr>
            <w:r>
              <w:rPr>
                <w:rFonts w:hint="default"/>
                <w:b w:val="0"/>
                <w:bCs w:val="0"/>
                <w:u w:val="none"/>
              </w:rPr>
              <w:t>根据《建设项目环境风险评价技术导则》（HJ169-2018）计算可知，该项目Q</w:t>
            </w:r>
            <w:r>
              <w:rPr>
                <w:b w:val="0"/>
                <w:bCs w:val="0"/>
                <w:u w:val="none"/>
              </w:rPr>
              <w:t>＞59.3451</w:t>
            </w:r>
            <w:r>
              <w:rPr>
                <w:rFonts w:hint="default"/>
                <w:b w:val="0"/>
                <w:bCs w:val="0"/>
                <w:u w:val="none"/>
              </w:rPr>
              <w:t>，环境风险潜势为II，确定本项目环境风险评价等级为</w:t>
            </w:r>
            <w:r>
              <w:rPr>
                <w:b w:val="0"/>
                <w:bCs w:val="0"/>
                <w:u w:val="none"/>
              </w:rPr>
              <w:t>三级</w:t>
            </w:r>
            <w:r>
              <w:rPr>
                <w:rFonts w:hint="default"/>
                <w:b w:val="0"/>
                <w:bCs w:val="0"/>
                <w:u w:val="none"/>
              </w:rPr>
              <w:t>。</w:t>
            </w:r>
            <w:r>
              <w:rPr>
                <w:b w:val="0"/>
                <w:bCs w:val="0"/>
                <w:u w:val="none"/>
              </w:rPr>
              <w:t>详见风险专项报告。</w:t>
            </w:r>
          </w:p>
          <w:p w14:paraId="5E55DEDF">
            <w:pPr>
              <w:pStyle w:val="5"/>
              <w:rPr>
                <w:rFonts w:hint="default"/>
                <w:b w:val="0"/>
                <w:bCs w:val="0"/>
                <w:u w:val="none"/>
              </w:rPr>
            </w:pPr>
            <w:r>
              <w:rPr>
                <w:rFonts w:hint="default"/>
                <w:b w:val="0"/>
                <w:bCs w:val="0"/>
                <w:u w:val="none"/>
              </w:rPr>
              <w:t>根据风险评价内容，对评价范围内的环境空气、地表水和地下水环境敏感目标进行了调查，通过对大气环境风险事故情形液氨储罐泄漏、地下水环境风险事故情形储罐破损泄漏、地表水环境风险事故的影响进行了分析，在采取完善的风险防范措施的前提下，本项目环境风险是可防控的</w:t>
            </w:r>
            <w:r>
              <w:rPr>
                <w:b w:val="0"/>
                <w:bCs w:val="0"/>
                <w:u w:val="none"/>
              </w:rPr>
              <w:t>。</w:t>
            </w:r>
          </w:p>
          <w:p w14:paraId="1F53ED67">
            <w:pPr>
              <w:pStyle w:val="5"/>
              <w:rPr>
                <w:rFonts w:hint="default"/>
                <w:b w:val="0"/>
                <w:bCs w:val="0"/>
                <w:u w:val="none"/>
              </w:rPr>
            </w:pPr>
          </w:p>
          <w:p w14:paraId="71C73A78">
            <w:pPr>
              <w:pStyle w:val="5"/>
              <w:rPr>
                <w:rFonts w:hint="default"/>
                <w:b w:val="0"/>
                <w:bCs w:val="0"/>
                <w:u w:val="none"/>
              </w:rPr>
            </w:pPr>
          </w:p>
        </w:tc>
      </w:tr>
    </w:tbl>
    <w:p w14:paraId="2B95D9C2">
      <w:pPr>
        <w:rPr>
          <w:b w:val="0"/>
          <w:bCs w:val="0"/>
          <w:u w:val="none"/>
        </w:rPr>
        <w:sectPr>
          <w:pgSz w:w="11906" w:h="16838"/>
          <w:pgMar w:top="1440" w:right="1803" w:bottom="1440" w:left="1803" w:header="851" w:footer="992" w:gutter="0"/>
          <w:cols w:space="0" w:num="1"/>
          <w:docGrid w:type="lines" w:linePitch="332" w:charSpace="0"/>
        </w:sectPr>
      </w:pPr>
    </w:p>
    <w:p w14:paraId="10F43B19">
      <w:pPr>
        <w:pStyle w:val="3"/>
        <w:rPr>
          <w:b w:val="0"/>
          <w:bCs w:val="0"/>
          <w:u w:val="none"/>
        </w:rPr>
      </w:pPr>
      <w:r>
        <w:rPr>
          <w:rFonts w:hint="eastAsia"/>
          <w:b w:val="0"/>
          <w:bCs w:val="0"/>
          <w:u w:val="none"/>
        </w:rPr>
        <w:t>环境保护措施监督检查清单</w:t>
      </w:r>
    </w:p>
    <w:tbl>
      <w:tblPr>
        <w:tblStyle w:val="27"/>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183"/>
        <w:gridCol w:w="1400"/>
        <w:gridCol w:w="1270"/>
        <w:gridCol w:w="1087"/>
        <w:gridCol w:w="2706"/>
      </w:tblGrid>
      <w:tr w14:paraId="77EF4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54" w:type="dxa"/>
            <w:tcBorders>
              <w:top w:val="single" w:color="auto" w:sz="8" w:space="0"/>
              <w:left w:val="single" w:color="auto" w:sz="8" w:space="0"/>
              <w:bottom w:val="single" w:color="auto" w:sz="4" w:space="0"/>
              <w:right w:val="single" w:color="auto" w:sz="4" w:space="0"/>
            </w:tcBorders>
            <w:vAlign w:val="center"/>
          </w:tcPr>
          <w:p w14:paraId="048BDC8B">
            <w:pPr>
              <w:jc w:val="center"/>
              <w:rPr>
                <w:b w:val="0"/>
                <w:bCs w:val="0"/>
                <w:u w:val="none"/>
              </w:rPr>
            </w:pPr>
            <w:r>
              <w:rPr>
                <w:rFonts w:hint="eastAsia"/>
                <w:b w:val="0"/>
                <w:bCs w:val="0"/>
                <w:u w:val="none"/>
              </w:rPr>
              <w:t>内容要素</w:t>
            </w:r>
          </w:p>
        </w:tc>
        <w:tc>
          <w:tcPr>
            <w:tcW w:w="1183" w:type="dxa"/>
            <w:tcBorders>
              <w:top w:val="single" w:color="auto" w:sz="8" w:space="0"/>
              <w:left w:val="single" w:color="auto" w:sz="4" w:space="0"/>
              <w:bottom w:val="single" w:color="auto" w:sz="4" w:space="0"/>
              <w:right w:val="single" w:color="auto" w:sz="4" w:space="0"/>
            </w:tcBorders>
            <w:vAlign w:val="center"/>
          </w:tcPr>
          <w:p w14:paraId="0498654A">
            <w:pPr>
              <w:jc w:val="center"/>
              <w:rPr>
                <w:b w:val="0"/>
                <w:bCs w:val="0"/>
                <w:u w:val="none"/>
              </w:rPr>
            </w:pPr>
            <w:r>
              <w:rPr>
                <w:rFonts w:hint="eastAsia"/>
                <w:b w:val="0"/>
                <w:bCs w:val="0"/>
                <w:u w:val="none"/>
              </w:rPr>
              <w:t>排放口（编号、名称）/污染源</w:t>
            </w:r>
          </w:p>
        </w:tc>
        <w:tc>
          <w:tcPr>
            <w:tcW w:w="1400" w:type="dxa"/>
            <w:tcBorders>
              <w:top w:val="single" w:color="auto" w:sz="8" w:space="0"/>
              <w:left w:val="single" w:color="auto" w:sz="4" w:space="0"/>
              <w:bottom w:val="single" w:color="auto" w:sz="4" w:space="0"/>
              <w:right w:val="single" w:color="auto" w:sz="4" w:space="0"/>
            </w:tcBorders>
            <w:vAlign w:val="center"/>
          </w:tcPr>
          <w:p w14:paraId="6572827A">
            <w:pPr>
              <w:jc w:val="center"/>
              <w:rPr>
                <w:b w:val="0"/>
                <w:bCs w:val="0"/>
                <w:u w:val="none"/>
              </w:rPr>
            </w:pPr>
            <w:r>
              <w:rPr>
                <w:rFonts w:hint="eastAsia"/>
                <w:b w:val="0"/>
                <w:bCs w:val="0"/>
                <w:u w:val="none"/>
              </w:rPr>
              <w:t>污染物项目</w:t>
            </w:r>
          </w:p>
        </w:tc>
        <w:tc>
          <w:tcPr>
            <w:tcW w:w="2357" w:type="dxa"/>
            <w:gridSpan w:val="2"/>
            <w:tcBorders>
              <w:top w:val="single" w:color="auto" w:sz="8" w:space="0"/>
              <w:left w:val="single" w:color="auto" w:sz="4" w:space="0"/>
              <w:bottom w:val="single" w:color="auto" w:sz="4" w:space="0"/>
              <w:right w:val="single" w:color="auto" w:sz="4" w:space="0"/>
            </w:tcBorders>
            <w:vAlign w:val="center"/>
          </w:tcPr>
          <w:p w14:paraId="75045DCE">
            <w:pPr>
              <w:jc w:val="center"/>
              <w:rPr>
                <w:b w:val="0"/>
                <w:bCs w:val="0"/>
                <w:u w:val="none"/>
              </w:rPr>
            </w:pPr>
            <w:r>
              <w:rPr>
                <w:rFonts w:hint="eastAsia"/>
                <w:b w:val="0"/>
                <w:bCs w:val="0"/>
                <w:u w:val="none"/>
              </w:rPr>
              <w:t>环境保护措施</w:t>
            </w:r>
          </w:p>
        </w:tc>
        <w:tc>
          <w:tcPr>
            <w:tcW w:w="2706" w:type="dxa"/>
            <w:tcBorders>
              <w:top w:val="single" w:color="auto" w:sz="8" w:space="0"/>
              <w:left w:val="single" w:color="auto" w:sz="4" w:space="0"/>
              <w:bottom w:val="single" w:color="auto" w:sz="4" w:space="0"/>
              <w:right w:val="single" w:color="auto" w:sz="8" w:space="0"/>
            </w:tcBorders>
            <w:vAlign w:val="center"/>
          </w:tcPr>
          <w:p w14:paraId="438F9FB9">
            <w:pPr>
              <w:jc w:val="center"/>
              <w:rPr>
                <w:b w:val="0"/>
                <w:bCs w:val="0"/>
                <w:u w:val="none"/>
              </w:rPr>
            </w:pPr>
            <w:r>
              <w:rPr>
                <w:rFonts w:hint="eastAsia"/>
                <w:b w:val="0"/>
                <w:bCs w:val="0"/>
                <w:u w:val="none"/>
              </w:rPr>
              <w:t>执行标准</w:t>
            </w:r>
          </w:p>
        </w:tc>
      </w:tr>
      <w:tr w14:paraId="36969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54" w:type="dxa"/>
            <w:vMerge w:val="restart"/>
            <w:tcBorders>
              <w:top w:val="single" w:color="auto" w:sz="4" w:space="0"/>
              <w:left w:val="single" w:color="auto" w:sz="8" w:space="0"/>
              <w:bottom w:val="single" w:color="auto" w:sz="4" w:space="0"/>
              <w:right w:val="single" w:color="auto" w:sz="4" w:space="0"/>
            </w:tcBorders>
            <w:vAlign w:val="center"/>
          </w:tcPr>
          <w:p w14:paraId="319CF4DD">
            <w:pPr>
              <w:jc w:val="center"/>
              <w:rPr>
                <w:b w:val="0"/>
                <w:bCs w:val="0"/>
                <w:u w:val="none"/>
              </w:rPr>
            </w:pPr>
            <w:r>
              <w:rPr>
                <w:rFonts w:hint="eastAsia"/>
                <w:b w:val="0"/>
                <w:bCs w:val="0"/>
                <w:u w:val="none"/>
              </w:rPr>
              <w:t>大气环境</w:t>
            </w:r>
          </w:p>
        </w:tc>
        <w:tc>
          <w:tcPr>
            <w:tcW w:w="1183" w:type="dxa"/>
            <w:tcBorders>
              <w:top w:val="single" w:color="auto" w:sz="4" w:space="0"/>
              <w:left w:val="single" w:color="auto" w:sz="4" w:space="0"/>
              <w:bottom w:val="single" w:color="auto" w:sz="4" w:space="0"/>
              <w:right w:val="single" w:color="auto" w:sz="4" w:space="0"/>
            </w:tcBorders>
            <w:vAlign w:val="center"/>
          </w:tcPr>
          <w:p w14:paraId="6D6A8D70">
            <w:pPr>
              <w:jc w:val="center"/>
              <w:rPr>
                <w:b w:val="0"/>
                <w:bCs w:val="0"/>
                <w:u w:val="none"/>
              </w:rPr>
            </w:pPr>
            <w:r>
              <w:rPr>
                <w:rFonts w:hint="eastAsia"/>
                <w:b w:val="0"/>
                <w:bCs w:val="0"/>
                <w:u w:val="none"/>
              </w:rPr>
              <w:t>CO</w:t>
            </w:r>
            <w:r>
              <w:rPr>
                <w:rFonts w:hint="eastAsia"/>
                <w:b w:val="0"/>
                <w:bCs w:val="0"/>
                <w:u w:val="none"/>
                <w:vertAlign w:val="subscript"/>
              </w:rPr>
              <w:t>2</w:t>
            </w:r>
            <w:r>
              <w:rPr>
                <w:rFonts w:hint="eastAsia"/>
                <w:b w:val="0"/>
                <w:bCs w:val="0"/>
                <w:u w:val="none"/>
              </w:rPr>
              <w:t>回收尾气</w:t>
            </w:r>
          </w:p>
        </w:tc>
        <w:tc>
          <w:tcPr>
            <w:tcW w:w="1400" w:type="dxa"/>
            <w:tcBorders>
              <w:top w:val="single" w:color="auto" w:sz="4" w:space="0"/>
              <w:left w:val="single" w:color="auto" w:sz="4" w:space="0"/>
              <w:bottom w:val="single" w:color="auto" w:sz="4" w:space="0"/>
              <w:right w:val="single" w:color="auto" w:sz="4" w:space="0"/>
            </w:tcBorders>
            <w:vAlign w:val="center"/>
          </w:tcPr>
          <w:p w14:paraId="2BC0E2A5">
            <w:pPr>
              <w:jc w:val="center"/>
              <w:rPr>
                <w:b w:val="0"/>
                <w:bCs w:val="0"/>
                <w:u w:val="none"/>
              </w:rPr>
            </w:pPr>
            <w:r>
              <w:rPr>
                <w:rFonts w:hint="eastAsia"/>
                <w:b w:val="0"/>
                <w:bCs w:val="0"/>
                <w:u w:val="none"/>
              </w:rPr>
              <w:t>甲醇、硫化氢</w:t>
            </w:r>
          </w:p>
        </w:tc>
        <w:tc>
          <w:tcPr>
            <w:tcW w:w="2357" w:type="dxa"/>
            <w:gridSpan w:val="2"/>
            <w:tcBorders>
              <w:top w:val="single" w:color="auto" w:sz="4" w:space="0"/>
              <w:left w:val="single" w:color="auto" w:sz="4" w:space="0"/>
              <w:bottom w:val="single" w:color="auto" w:sz="4" w:space="0"/>
              <w:right w:val="single" w:color="auto" w:sz="4" w:space="0"/>
            </w:tcBorders>
            <w:vAlign w:val="center"/>
          </w:tcPr>
          <w:p w14:paraId="21C3AF95">
            <w:pPr>
              <w:jc w:val="center"/>
              <w:rPr>
                <w:b/>
                <w:bCs/>
                <w:u w:val="single"/>
              </w:rPr>
            </w:pPr>
            <w:r>
              <w:rPr>
                <w:rFonts w:hint="eastAsia"/>
                <w:b/>
                <w:bCs/>
                <w:u w:val="single"/>
              </w:rPr>
              <w:t>30m高排气筒</w:t>
            </w:r>
          </w:p>
        </w:tc>
        <w:tc>
          <w:tcPr>
            <w:tcW w:w="2706" w:type="dxa"/>
            <w:tcBorders>
              <w:top w:val="single" w:color="auto" w:sz="4" w:space="0"/>
              <w:left w:val="single" w:color="auto" w:sz="4" w:space="0"/>
              <w:bottom w:val="single" w:color="auto" w:sz="4" w:space="0"/>
              <w:right w:val="single" w:color="auto" w:sz="8" w:space="0"/>
            </w:tcBorders>
            <w:vAlign w:val="center"/>
          </w:tcPr>
          <w:p w14:paraId="6B33A039">
            <w:pPr>
              <w:jc w:val="center"/>
              <w:rPr>
                <w:b/>
                <w:bCs/>
                <w:u w:val="single"/>
              </w:rPr>
            </w:pPr>
            <w:r>
              <w:rPr>
                <w:rFonts w:hint="eastAsia"/>
                <w:b/>
                <w:bCs/>
                <w:u w:val="single"/>
              </w:rPr>
              <w:t>甲醇执行《大气污染物综合排放标准》</w:t>
            </w:r>
            <w:r>
              <w:rPr>
                <w:b/>
                <w:bCs/>
                <w:u w:val="single"/>
              </w:rPr>
              <w:t>（</w:t>
            </w:r>
            <w:r>
              <w:rPr>
                <w:rFonts w:hint="eastAsia"/>
                <w:b/>
                <w:bCs/>
                <w:u w:val="single"/>
              </w:rPr>
              <w:t>GB16297-1996</w:t>
            </w:r>
            <w:r>
              <w:rPr>
                <w:b/>
                <w:bCs/>
                <w:u w:val="single"/>
              </w:rPr>
              <w:t>）</w:t>
            </w:r>
            <w:r>
              <w:rPr>
                <w:rFonts w:hint="eastAsia"/>
                <w:b/>
                <w:bCs/>
                <w:u w:val="single"/>
              </w:rPr>
              <w:t>，硫化氢执行《无机化学工业污染物排放标准》（GB31573—2015）及其修改单中表4特别排放限值</w:t>
            </w:r>
          </w:p>
        </w:tc>
      </w:tr>
      <w:tr w14:paraId="63ADAE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54" w:type="dxa"/>
            <w:vMerge w:val="continue"/>
            <w:tcBorders>
              <w:top w:val="single" w:color="auto" w:sz="4" w:space="0"/>
              <w:left w:val="single" w:color="auto" w:sz="8" w:space="0"/>
              <w:bottom w:val="single" w:color="auto" w:sz="4" w:space="0"/>
              <w:right w:val="single" w:color="auto" w:sz="4" w:space="0"/>
            </w:tcBorders>
            <w:vAlign w:val="center"/>
          </w:tcPr>
          <w:p w14:paraId="49C36573">
            <w:pPr>
              <w:jc w:val="center"/>
              <w:rPr>
                <w:b w:val="0"/>
                <w:bCs w:val="0"/>
                <w:u w:val="none"/>
              </w:rPr>
            </w:pPr>
          </w:p>
        </w:tc>
        <w:tc>
          <w:tcPr>
            <w:tcW w:w="1183" w:type="dxa"/>
            <w:vMerge w:val="restart"/>
            <w:tcBorders>
              <w:top w:val="single" w:color="auto" w:sz="4" w:space="0"/>
              <w:left w:val="single" w:color="auto" w:sz="4" w:space="0"/>
              <w:right w:val="single" w:color="auto" w:sz="4" w:space="0"/>
            </w:tcBorders>
            <w:vAlign w:val="center"/>
          </w:tcPr>
          <w:p w14:paraId="6817B7B4">
            <w:pPr>
              <w:jc w:val="center"/>
              <w:rPr>
                <w:b w:val="0"/>
                <w:bCs w:val="0"/>
                <w:u w:val="none"/>
              </w:rPr>
            </w:pPr>
            <w:r>
              <w:rPr>
                <w:rFonts w:hint="eastAsia"/>
                <w:b w:val="0"/>
                <w:bCs w:val="0"/>
                <w:u w:val="none"/>
              </w:rPr>
              <w:t>氨提纯尾气</w:t>
            </w:r>
          </w:p>
        </w:tc>
        <w:tc>
          <w:tcPr>
            <w:tcW w:w="1400" w:type="dxa"/>
            <w:vMerge w:val="restart"/>
            <w:tcBorders>
              <w:top w:val="single" w:color="auto" w:sz="4" w:space="0"/>
              <w:left w:val="single" w:color="auto" w:sz="4" w:space="0"/>
              <w:right w:val="single" w:color="auto" w:sz="4" w:space="0"/>
            </w:tcBorders>
            <w:vAlign w:val="center"/>
          </w:tcPr>
          <w:p w14:paraId="70EF66CE">
            <w:pPr>
              <w:jc w:val="center"/>
              <w:rPr>
                <w:b w:val="0"/>
                <w:bCs w:val="0"/>
                <w:u w:val="none"/>
              </w:rPr>
            </w:pPr>
            <w:r>
              <w:rPr>
                <w:rFonts w:hint="eastAsia"/>
                <w:b w:val="0"/>
                <w:bCs w:val="0"/>
                <w:u w:val="none"/>
              </w:rPr>
              <w:t>氨</w:t>
            </w:r>
          </w:p>
        </w:tc>
        <w:tc>
          <w:tcPr>
            <w:tcW w:w="1270" w:type="dxa"/>
            <w:tcBorders>
              <w:top w:val="single" w:color="auto" w:sz="4" w:space="0"/>
              <w:left w:val="single" w:color="auto" w:sz="4" w:space="0"/>
              <w:bottom w:val="single" w:color="auto" w:sz="4" w:space="0"/>
              <w:right w:val="single" w:color="auto" w:sz="4" w:space="0"/>
            </w:tcBorders>
            <w:vAlign w:val="center"/>
          </w:tcPr>
          <w:p w14:paraId="2B47D4B0">
            <w:pPr>
              <w:jc w:val="center"/>
              <w:rPr>
                <w:b/>
                <w:bCs/>
                <w:u w:val="single"/>
              </w:rPr>
            </w:pPr>
            <w:r>
              <w:rPr>
                <w:rFonts w:hint="eastAsia"/>
                <w:b/>
                <w:bCs/>
                <w:sz w:val="18"/>
                <w:szCs w:val="18"/>
                <w:u w:val="single"/>
              </w:rPr>
              <w:t>开停机时采用超级吸氨器+两级吸氨器；正常运行时仅采用两级吸氨器</w:t>
            </w:r>
          </w:p>
        </w:tc>
        <w:tc>
          <w:tcPr>
            <w:tcW w:w="1087" w:type="dxa"/>
            <w:vMerge w:val="restart"/>
            <w:tcBorders>
              <w:top w:val="single" w:color="auto" w:sz="4" w:space="0"/>
              <w:left w:val="single" w:color="auto" w:sz="4" w:space="0"/>
              <w:right w:val="single" w:color="auto" w:sz="4" w:space="0"/>
            </w:tcBorders>
            <w:vAlign w:val="center"/>
          </w:tcPr>
          <w:p w14:paraId="7DB7347B">
            <w:pPr>
              <w:jc w:val="center"/>
              <w:rPr>
                <w:b/>
                <w:bCs/>
                <w:u w:val="single"/>
              </w:rPr>
            </w:pPr>
            <w:r>
              <w:rPr>
                <w:rFonts w:hint="eastAsia"/>
                <w:b/>
                <w:bCs/>
                <w:sz w:val="18"/>
                <w:szCs w:val="18"/>
                <w:u w:val="single"/>
              </w:rPr>
              <w:t>三级水喷淋吸收塔</w:t>
            </w:r>
            <w:r>
              <w:rPr>
                <w:b/>
                <w:bCs/>
                <w:sz w:val="18"/>
                <w:szCs w:val="18"/>
                <w:u w:val="single"/>
              </w:rPr>
              <w:t>+15m高塔排放</w:t>
            </w:r>
          </w:p>
        </w:tc>
        <w:tc>
          <w:tcPr>
            <w:tcW w:w="2706" w:type="dxa"/>
            <w:vMerge w:val="restart"/>
            <w:tcBorders>
              <w:top w:val="single" w:color="auto" w:sz="4" w:space="0"/>
              <w:left w:val="single" w:color="auto" w:sz="4" w:space="0"/>
              <w:right w:val="single" w:color="auto" w:sz="8" w:space="0"/>
            </w:tcBorders>
            <w:vAlign w:val="center"/>
          </w:tcPr>
          <w:p w14:paraId="78655D00">
            <w:pPr>
              <w:jc w:val="center"/>
              <w:rPr>
                <w:b/>
                <w:bCs/>
                <w:u w:val="single"/>
              </w:rPr>
            </w:pPr>
            <w:r>
              <w:rPr>
                <w:rFonts w:hint="eastAsia"/>
                <w:b/>
                <w:bCs/>
                <w:u w:val="single"/>
              </w:rPr>
              <w:t>《无机化学工业污染物排放标准》（GB31573—2015）及其修改单中表4特别排放限值</w:t>
            </w:r>
          </w:p>
        </w:tc>
      </w:tr>
      <w:tr w14:paraId="5BD29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154" w:type="dxa"/>
            <w:vMerge w:val="continue"/>
            <w:tcBorders>
              <w:left w:val="single" w:color="auto" w:sz="8" w:space="0"/>
              <w:bottom w:val="single" w:color="auto" w:sz="4" w:space="0"/>
              <w:right w:val="single" w:color="auto" w:sz="4" w:space="0"/>
            </w:tcBorders>
            <w:vAlign w:val="center"/>
          </w:tcPr>
          <w:p w14:paraId="1918CF2A">
            <w:pPr>
              <w:jc w:val="center"/>
              <w:rPr>
                <w:b w:val="0"/>
                <w:bCs w:val="0"/>
                <w:u w:val="none"/>
              </w:rPr>
            </w:pPr>
          </w:p>
        </w:tc>
        <w:tc>
          <w:tcPr>
            <w:tcW w:w="1183" w:type="dxa"/>
            <w:vMerge w:val="continue"/>
            <w:tcBorders>
              <w:left w:val="single" w:color="auto" w:sz="4" w:space="0"/>
              <w:bottom w:val="single" w:color="auto" w:sz="4" w:space="0"/>
              <w:right w:val="single" w:color="auto" w:sz="4" w:space="0"/>
            </w:tcBorders>
            <w:vAlign w:val="center"/>
          </w:tcPr>
          <w:p w14:paraId="67D0310F">
            <w:pPr>
              <w:jc w:val="center"/>
              <w:rPr>
                <w:b w:val="0"/>
                <w:bCs w:val="0"/>
                <w:u w:val="none"/>
              </w:rPr>
            </w:pPr>
          </w:p>
        </w:tc>
        <w:tc>
          <w:tcPr>
            <w:tcW w:w="1400" w:type="dxa"/>
            <w:vMerge w:val="continue"/>
            <w:tcBorders>
              <w:left w:val="single" w:color="auto" w:sz="4" w:space="0"/>
              <w:bottom w:val="single" w:color="auto" w:sz="4" w:space="0"/>
              <w:right w:val="single" w:color="auto" w:sz="4" w:space="0"/>
            </w:tcBorders>
            <w:vAlign w:val="center"/>
          </w:tcPr>
          <w:p w14:paraId="38F6EC22">
            <w:pPr>
              <w:jc w:val="center"/>
              <w:rPr>
                <w:b w:val="0"/>
                <w:bCs w:val="0"/>
                <w:u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3CDAC77">
            <w:pPr>
              <w:jc w:val="center"/>
              <w:rPr>
                <w:b/>
                <w:bCs/>
                <w:u w:val="single"/>
              </w:rPr>
            </w:pPr>
            <w:r>
              <w:rPr>
                <w:rFonts w:hint="eastAsia"/>
                <w:b/>
                <w:bCs/>
                <w:sz w:val="18"/>
                <w:szCs w:val="18"/>
                <w:u w:val="single"/>
              </w:rPr>
              <w:t>/</w:t>
            </w:r>
          </w:p>
        </w:tc>
        <w:tc>
          <w:tcPr>
            <w:tcW w:w="1087" w:type="dxa"/>
            <w:vMerge w:val="continue"/>
            <w:tcBorders>
              <w:left w:val="single" w:color="auto" w:sz="4" w:space="0"/>
              <w:bottom w:val="single" w:color="auto" w:sz="4" w:space="0"/>
              <w:right w:val="single" w:color="auto" w:sz="4" w:space="0"/>
            </w:tcBorders>
            <w:vAlign w:val="center"/>
          </w:tcPr>
          <w:p w14:paraId="345E4273">
            <w:pPr>
              <w:jc w:val="center"/>
              <w:rPr>
                <w:b/>
                <w:bCs/>
                <w:u w:val="single"/>
              </w:rPr>
            </w:pPr>
          </w:p>
        </w:tc>
        <w:tc>
          <w:tcPr>
            <w:tcW w:w="2706" w:type="dxa"/>
            <w:vMerge w:val="continue"/>
            <w:tcBorders>
              <w:left w:val="single" w:color="auto" w:sz="4" w:space="0"/>
              <w:bottom w:val="single" w:color="auto" w:sz="4" w:space="0"/>
              <w:right w:val="single" w:color="auto" w:sz="8" w:space="0"/>
            </w:tcBorders>
            <w:vAlign w:val="center"/>
          </w:tcPr>
          <w:p w14:paraId="1F27FAF0">
            <w:pPr>
              <w:jc w:val="center"/>
              <w:rPr>
                <w:b w:val="0"/>
                <w:bCs w:val="0"/>
                <w:u w:val="none"/>
              </w:rPr>
            </w:pPr>
          </w:p>
        </w:tc>
      </w:tr>
      <w:tr w14:paraId="636B3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54" w:type="dxa"/>
            <w:vMerge w:val="restart"/>
            <w:tcBorders>
              <w:top w:val="single" w:color="auto" w:sz="4" w:space="0"/>
              <w:left w:val="single" w:color="auto" w:sz="8" w:space="0"/>
              <w:bottom w:val="single" w:color="auto" w:sz="4" w:space="0"/>
              <w:right w:val="single" w:color="auto" w:sz="4" w:space="0"/>
            </w:tcBorders>
            <w:vAlign w:val="center"/>
          </w:tcPr>
          <w:p w14:paraId="38C84C1B">
            <w:pPr>
              <w:jc w:val="center"/>
              <w:rPr>
                <w:b w:val="0"/>
                <w:bCs w:val="0"/>
                <w:u w:val="none"/>
              </w:rPr>
            </w:pPr>
            <w:r>
              <w:rPr>
                <w:rFonts w:hint="eastAsia"/>
                <w:b w:val="0"/>
                <w:bCs w:val="0"/>
                <w:u w:val="none"/>
              </w:rPr>
              <w:t>地表水环境</w:t>
            </w:r>
          </w:p>
        </w:tc>
        <w:tc>
          <w:tcPr>
            <w:tcW w:w="1183" w:type="dxa"/>
            <w:tcBorders>
              <w:top w:val="single" w:color="auto" w:sz="4" w:space="0"/>
              <w:left w:val="single" w:color="auto" w:sz="4" w:space="0"/>
              <w:bottom w:val="single" w:color="auto" w:sz="4" w:space="0"/>
              <w:right w:val="single" w:color="auto" w:sz="4" w:space="0"/>
            </w:tcBorders>
            <w:vAlign w:val="center"/>
          </w:tcPr>
          <w:p w14:paraId="771C81B8">
            <w:pPr>
              <w:jc w:val="center"/>
              <w:rPr>
                <w:b w:val="0"/>
                <w:bCs w:val="0"/>
                <w:u w:val="none"/>
              </w:rPr>
            </w:pPr>
            <w:r>
              <w:rPr>
                <w:rFonts w:hint="eastAsia"/>
                <w:b w:val="0"/>
                <w:bCs w:val="0"/>
                <w:u w:val="none"/>
              </w:rPr>
              <w:t>生活污水</w:t>
            </w:r>
          </w:p>
        </w:tc>
        <w:tc>
          <w:tcPr>
            <w:tcW w:w="1400" w:type="dxa"/>
            <w:tcBorders>
              <w:top w:val="single" w:color="auto" w:sz="4" w:space="0"/>
              <w:left w:val="single" w:color="auto" w:sz="4" w:space="0"/>
              <w:bottom w:val="single" w:color="auto" w:sz="4" w:space="0"/>
              <w:right w:val="single" w:color="auto" w:sz="4" w:space="0"/>
            </w:tcBorders>
            <w:vAlign w:val="center"/>
          </w:tcPr>
          <w:p w14:paraId="1BA96EDA">
            <w:pPr>
              <w:jc w:val="center"/>
              <w:rPr>
                <w:b w:val="0"/>
                <w:bCs w:val="0"/>
                <w:u w:val="none"/>
              </w:rPr>
            </w:pPr>
            <w:r>
              <w:rPr>
                <w:b w:val="0"/>
                <w:bCs w:val="0"/>
                <w:u w:val="none"/>
              </w:rPr>
              <w:t>COD、氨氮</w:t>
            </w:r>
          </w:p>
        </w:tc>
        <w:tc>
          <w:tcPr>
            <w:tcW w:w="2357" w:type="dxa"/>
            <w:gridSpan w:val="2"/>
            <w:tcBorders>
              <w:top w:val="single" w:color="auto" w:sz="4" w:space="0"/>
              <w:left w:val="single" w:color="auto" w:sz="4" w:space="0"/>
              <w:bottom w:val="single" w:color="auto" w:sz="4" w:space="0"/>
              <w:right w:val="single" w:color="auto" w:sz="4" w:space="0"/>
            </w:tcBorders>
            <w:vAlign w:val="center"/>
          </w:tcPr>
          <w:p w14:paraId="4E0E502D">
            <w:pPr>
              <w:jc w:val="center"/>
              <w:rPr>
                <w:b w:val="0"/>
                <w:bCs w:val="0"/>
                <w:u w:val="none"/>
              </w:rPr>
            </w:pPr>
            <w:r>
              <w:rPr>
                <w:rFonts w:hint="eastAsia"/>
                <w:b w:val="0"/>
                <w:bCs w:val="0"/>
                <w:u w:val="none"/>
              </w:rPr>
              <w:t>化粪池</w:t>
            </w:r>
          </w:p>
        </w:tc>
        <w:tc>
          <w:tcPr>
            <w:tcW w:w="2706" w:type="dxa"/>
            <w:vMerge w:val="restart"/>
            <w:tcBorders>
              <w:top w:val="single" w:color="auto" w:sz="4" w:space="0"/>
              <w:left w:val="single" w:color="auto" w:sz="4" w:space="0"/>
              <w:right w:val="single" w:color="auto" w:sz="8" w:space="0"/>
            </w:tcBorders>
            <w:vAlign w:val="center"/>
          </w:tcPr>
          <w:p w14:paraId="1626A3EB">
            <w:pPr>
              <w:pStyle w:val="45"/>
              <w:rPr>
                <w:rFonts w:hint="default"/>
                <w:b w:val="0"/>
                <w:bCs w:val="0"/>
                <w:sz w:val="21"/>
                <w:u w:val="none"/>
              </w:rPr>
            </w:pPr>
            <w:r>
              <w:rPr>
                <w:b w:val="0"/>
                <w:bCs w:val="0"/>
                <w:sz w:val="21"/>
                <w:u w:val="none"/>
              </w:rPr>
              <w:t>平顶山市第三处理厂设计进水指标</w:t>
            </w:r>
          </w:p>
        </w:tc>
      </w:tr>
      <w:tr w14:paraId="2A854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4" w:type="dxa"/>
            <w:vMerge w:val="continue"/>
            <w:tcBorders>
              <w:top w:val="single" w:color="auto" w:sz="4" w:space="0"/>
              <w:left w:val="single" w:color="auto" w:sz="8" w:space="0"/>
              <w:bottom w:val="single" w:color="auto" w:sz="4" w:space="0"/>
              <w:right w:val="single" w:color="auto" w:sz="4" w:space="0"/>
            </w:tcBorders>
            <w:vAlign w:val="center"/>
          </w:tcPr>
          <w:p w14:paraId="227C76CC">
            <w:pPr>
              <w:jc w:val="center"/>
              <w:rPr>
                <w:b w:val="0"/>
                <w:bCs w:val="0"/>
                <w:u w:val="none"/>
              </w:rPr>
            </w:pPr>
          </w:p>
        </w:tc>
        <w:tc>
          <w:tcPr>
            <w:tcW w:w="1183" w:type="dxa"/>
            <w:tcBorders>
              <w:top w:val="single" w:color="auto" w:sz="4" w:space="0"/>
              <w:left w:val="single" w:color="auto" w:sz="4" w:space="0"/>
              <w:bottom w:val="single" w:color="auto" w:sz="4" w:space="0"/>
              <w:right w:val="single" w:color="auto" w:sz="4" w:space="0"/>
            </w:tcBorders>
            <w:vAlign w:val="center"/>
          </w:tcPr>
          <w:p w14:paraId="1BE628FC">
            <w:pPr>
              <w:jc w:val="center"/>
              <w:rPr>
                <w:b w:val="0"/>
                <w:bCs w:val="0"/>
                <w:u w:val="none"/>
              </w:rPr>
            </w:pPr>
            <w:r>
              <w:rPr>
                <w:rFonts w:hint="eastAsia"/>
                <w:b w:val="0"/>
                <w:bCs w:val="0"/>
                <w:u w:val="none"/>
              </w:rPr>
              <w:t>循环冷却水排水</w:t>
            </w:r>
          </w:p>
        </w:tc>
        <w:tc>
          <w:tcPr>
            <w:tcW w:w="1400" w:type="dxa"/>
            <w:tcBorders>
              <w:top w:val="single" w:color="auto" w:sz="4" w:space="0"/>
              <w:left w:val="single" w:color="auto" w:sz="4" w:space="0"/>
              <w:bottom w:val="single" w:color="auto" w:sz="4" w:space="0"/>
              <w:right w:val="single" w:color="auto" w:sz="4" w:space="0"/>
            </w:tcBorders>
            <w:vAlign w:val="center"/>
          </w:tcPr>
          <w:p w14:paraId="67BEF9DA">
            <w:pPr>
              <w:jc w:val="center"/>
              <w:rPr>
                <w:b w:val="0"/>
                <w:bCs w:val="0"/>
                <w:u w:val="none"/>
              </w:rPr>
            </w:pPr>
            <w:r>
              <w:rPr>
                <w:rFonts w:hint="eastAsia"/>
                <w:b w:val="0"/>
                <w:bCs w:val="0"/>
                <w:u w:val="none"/>
              </w:rPr>
              <w:t>COD</w:t>
            </w:r>
          </w:p>
        </w:tc>
        <w:tc>
          <w:tcPr>
            <w:tcW w:w="2357" w:type="dxa"/>
            <w:gridSpan w:val="2"/>
            <w:tcBorders>
              <w:top w:val="single" w:color="auto" w:sz="4" w:space="0"/>
              <w:left w:val="single" w:color="auto" w:sz="4" w:space="0"/>
              <w:bottom w:val="single" w:color="auto" w:sz="4" w:space="0"/>
              <w:right w:val="single" w:color="auto" w:sz="4" w:space="0"/>
            </w:tcBorders>
            <w:vAlign w:val="center"/>
          </w:tcPr>
          <w:p w14:paraId="248403C7">
            <w:pPr>
              <w:jc w:val="center"/>
              <w:rPr>
                <w:b w:val="0"/>
                <w:bCs w:val="0"/>
                <w:u w:val="none"/>
              </w:rPr>
            </w:pPr>
            <w:r>
              <w:rPr>
                <w:rFonts w:hint="eastAsia"/>
                <w:b w:val="0"/>
                <w:bCs w:val="0"/>
                <w:u w:val="none"/>
              </w:rPr>
              <w:t>/</w:t>
            </w:r>
          </w:p>
        </w:tc>
        <w:tc>
          <w:tcPr>
            <w:tcW w:w="2706" w:type="dxa"/>
            <w:vMerge w:val="continue"/>
            <w:tcBorders>
              <w:left w:val="single" w:color="auto" w:sz="4" w:space="0"/>
              <w:bottom w:val="single" w:color="auto" w:sz="4" w:space="0"/>
              <w:right w:val="single" w:color="auto" w:sz="8" w:space="0"/>
            </w:tcBorders>
            <w:vAlign w:val="center"/>
          </w:tcPr>
          <w:p w14:paraId="7791AC20">
            <w:pPr>
              <w:jc w:val="center"/>
              <w:rPr>
                <w:b w:val="0"/>
                <w:bCs w:val="0"/>
                <w:u w:val="none"/>
              </w:rPr>
            </w:pPr>
          </w:p>
        </w:tc>
      </w:tr>
      <w:tr w14:paraId="6BB69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54" w:type="dxa"/>
            <w:tcBorders>
              <w:top w:val="single" w:color="auto" w:sz="4" w:space="0"/>
              <w:left w:val="single" w:color="auto" w:sz="8" w:space="0"/>
              <w:bottom w:val="single" w:color="auto" w:sz="4" w:space="0"/>
              <w:right w:val="single" w:color="auto" w:sz="4" w:space="0"/>
            </w:tcBorders>
            <w:vAlign w:val="center"/>
          </w:tcPr>
          <w:p w14:paraId="5643E036">
            <w:pPr>
              <w:jc w:val="center"/>
              <w:rPr>
                <w:b w:val="0"/>
                <w:bCs w:val="0"/>
                <w:u w:val="none"/>
              </w:rPr>
            </w:pPr>
            <w:r>
              <w:rPr>
                <w:rFonts w:hint="eastAsia"/>
                <w:b w:val="0"/>
                <w:bCs w:val="0"/>
                <w:u w:val="none"/>
              </w:rPr>
              <w:t>声环境</w:t>
            </w:r>
          </w:p>
        </w:tc>
        <w:tc>
          <w:tcPr>
            <w:tcW w:w="1183" w:type="dxa"/>
            <w:tcBorders>
              <w:top w:val="single" w:color="auto" w:sz="4" w:space="0"/>
              <w:left w:val="single" w:color="auto" w:sz="4" w:space="0"/>
              <w:bottom w:val="single" w:color="auto" w:sz="4" w:space="0"/>
              <w:right w:val="single" w:color="auto" w:sz="4" w:space="0"/>
            </w:tcBorders>
            <w:vAlign w:val="center"/>
          </w:tcPr>
          <w:p w14:paraId="04FD4CE4">
            <w:pPr>
              <w:jc w:val="center"/>
              <w:rPr>
                <w:b w:val="0"/>
                <w:bCs w:val="0"/>
                <w:u w:val="none"/>
              </w:rPr>
            </w:pPr>
            <w:r>
              <w:rPr>
                <w:rFonts w:hint="eastAsia"/>
                <w:b w:val="0"/>
                <w:bCs w:val="0"/>
                <w:u w:val="none"/>
              </w:rPr>
              <w:t>压缩机等生产设备</w:t>
            </w:r>
          </w:p>
        </w:tc>
        <w:tc>
          <w:tcPr>
            <w:tcW w:w="1400" w:type="dxa"/>
            <w:tcBorders>
              <w:top w:val="single" w:color="auto" w:sz="4" w:space="0"/>
              <w:left w:val="single" w:color="auto" w:sz="4" w:space="0"/>
              <w:bottom w:val="single" w:color="auto" w:sz="4" w:space="0"/>
              <w:right w:val="single" w:color="auto" w:sz="4" w:space="0"/>
            </w:tcBorders>
            <w:vAlign w:val="center"/>
          </w:tcPr>
          <w:p w14:paraId="047B6F12">
            <w:pPr>
              <w:jc w:val="center"/>
              <w:rPr>
                <w:b w:val="0"/>
                <w:bCs w:val="0"/>
                <w:u w:val="none"/>
              </w:rPr>
            </w:pPr>
            <w:r>
              <w:rPr>
                <w:rFonts w:hint="eastAsia"/>
                <w:b w:val="0"/>
                <w:bCs w:val="0"/>
                <w:u w:val="none"/>
              </w:rPr>
              <w:t>噪声</w:t>
            </w:r>
          </w:p>
        </w:tc>
        <w:tc>
          <w:tcPr>
            <w:tcW w:w="2357" w:type="dxa"/>
            <w:gridSpan w:val="2"/>
            <w:tcBorders>
              <w:top w:val="single" w:color="auto" w:sz="4" w:space="0"/>
              <w:left w:val="single" w:color="auto" w:sz="4" w:space="0"/>
              <w:bottom w:val="single" w:color="auto" w:sz="4" w:space="0"/>
              <w:right w:val="single" w:color="auto" w:sz="4" w:space="0"/>
            </w:tcBorders>
            <w:vAlign w:val="center"/>
          </w:tcPr>
          <w:p w14:paraId="0E60A769">
            <w:pPr>
              <w:jc w:val="left"/>
              <w:rPr>
                <w:b w:val="0"/>
                <w:bCs w:val="0"/>
                <w:u w:val="none"/>
              </w:rPr>
            </w:pPr>
            <w:r>
              <w:rPr>
                <w:rFonts w:hint="eastAsia" w:ascii="宋体" w:hAnsi="宋体" w:cs="宋体"/>
                <w:b w:val="0"/>
                <w:bCs w:val="0"/>
                <w:kern w:val="0"/>
                <w:u w:val="none"/>
                <w:lang w:bidi="ar"/>
              </w:rPr>
              <w:t>基础减振、厂房隔声、消声等措施</w:t>
            </w:r>
          </w:p>
        </w:tc>
        <w:tc>
          <w:tcPr>
            <w:tcW w:w="2706" w:type="dxa"/>
            <w:tcBorders>
              <w:top w:val="single" w:color="auto" w:sz="4" w:space="0"/>
              <w:left w:val="single" w:color="auto" w:sz="4" w:space="0"/>
              <w:bottom w:val="single" w:color="auto" w:sz="4" w:space="0"/>
              <w:right w:val="single" w:color="auto" w:sz="8" w:space="0"/>
            </w:tcBorders>
            <w:vAlign w:val="center"/>
          </w:tcPr>
          <w:p w14:paraId="2D031E85">
            <w:pPr>
              <w:jc w:val="center"/>
              <w:rPr>
                <w:b w:val="0"/>
                <w:bCs w:val="0"/>
                <w:u w:val="none"/>
              </w:rPr>
            </w:pPr>
            <w:r>
              <w:rPr>
                <w:rFonts w:hint="eastAsia"/>
                <w:b w:val="0"/>
                <w:bCs w:val="0"/>
                <w:u w:val="none"/>
              </w:rPr>
              <w:t>《工业企业厂界环境噪声排放标准》（GB12348-2008）中的3类标准</w:t>
            </w:r>
          </w:p>
        </w:tc>
      </w:tr>
      <w:tr w14:paraId="0CB864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54" w:type="dxa"/>
            <w:tcBorders>
              <w:top w:val="single" w:color="auto" w:sz="4" w:space="0"/>
              <w:left w:val="single" w:color="auto" w:sz="8" w:space="0"/>
              <w:bottom w:val="single" w:color="auto" w:sz="4" w:space="0"/>
              <w:right w:val="single" w:color="auto" w:sz="4" w:space="0"/>
            </w:tcBorders>
            <w:vAlign w:val="center"/>
          </w:tcPr>
          <w:p w14:paraId="55DA5907">
            <w:pPr>
              <w:jc w:val="center"/>
              <w:rPr>
                <w:b w:val="0"/>
                <w:bCs w:val="0"/>
                <w:u w:val="none"/>
              </w:rPr>
            </w:pPr>
            <w:r>
              <w:rPr>
                <w:rFonts w:hint="eastAsia"/>
                <w:b w:val="0"/>
                <w:bCs w:val="0"/>
                <w:u w:val="none"/>
              </w:rPr>
              <w:t>电磁辐射</w:t>
            </w:r>
          </w:p>
        </w:tc>
        <w:tc>
          <w:tcPr>
            <w:tcW w:w="1183" w:type="dxa"/>
            <w:tcBorders>
              <w:top w:val="single" w:color="auto" w:sz="4" w:space="0"/>
              <w:left w:val="single" w:color="auto" w:sz="4" w:space="0"/>
              <w:bottom w:val="single" w:color="auto" w:sz="4" w:space="0"/>
              <w:right w:val="single" w:color="auto" w:sz="4" w:space="0"/>
            </w:tcBorders>
            <w:vAlign w:val="center"/>
          </w:tcPr>
          <w:p w14:paraId="34964353">
            <w:pPr>
              <w:jc w:val="center"/>
              <w:rPr>
                <w:b w:val="0"/>
                <w:bCs w:val="0"/>
                <w:u w:val="none"/>
              </w:rPr>
            </w:pPr>
            <w:r>
              <w:rPr>
                <w:rFonts w:hint="eastAsia"/>
                <w:b w:val="0"/>
                <w:bCs w:val="0"/>
                <w:u w:val="none"/>
              </w:rPr>
              <w:t>/</w:t>
            </w:r>
          </w:p>
        </w:tc>
        <w:tc>
          <w:tcPr>
            <w:tcW w:w="1400" w:type="dxa"/>
            <w:tcBorders>
              <w:top w:val="single" w:color="auto" w:sz="4" w:space="0"/>
              <w:left w:val="single" w:color="auto" w:sz="4" w:space="0"/>
              <w:bottom w:val="single" w:color="auto" w:sz="4" w:space="0"/>
              <w:right w:val="single" w:color="auto" w:sz="4" w:space="0"/>
            </w:tcBorders>
            <w:vAlign w:val="center"/>
          </w:tcPr>
          <w:p w14:paraId="03A1A292">
            <w:pPr>
              <w:jc w:val="center"/>
              <w:rPr>
                <w:b w:val="0"/>
                <w:bCs w:val="0"/>
                <w:u w:val="none"/>
              </w:rPr>
            </w:pPr>
            <w:r>
              <w:rPr>
                <w:rFonts w:hint="eastAsia"/>
                <w:b w:val="0"/>
                <w:bCs w:val="0"/>
                <w:u w:val="none"/>
              </w:rPr>
              <w:t>/</w:t>
            </w:r>
          </w:p>
        </w:tc>
        <w:tc>
          <w:tcPr>
            <w:tcW w:w="2357" w:type="dxa"/>
            <w:gridSpan w:val="2"/>
            <w:tcBorders>
              <w:top w:val="single" w:color="auto" w:sz="4" w:space="0"/>
              <w:left w:val="single" w:color="auto" w:sz="4" w:space="0"/>
              <w:bottom w:val="single" w:color="auto" w:sz="4" w:space="0"/>
              <w:right w:val="single" w:color="auto" w:sz="4" w:space="0"/>
            </w:tcBorders>
            <w:vAlign w:val="center"/>
          </w:tcPr>
          <w:p w14:paraId="6AE65F3A">
            <w:pPr>
              <w:jc w:val="center"/>
              <w:rPr>
                <w:b w:val="0"/>
                <w:bCs w:val="0"/>
                <w:u w:val="none"/>
              </w:rPr>
            </w:pPr>
            <w:r>
              <w:rPr>
                <w:rFonts w:hint="eastAsia"/>
                <w:b w:val="0"/>
                <w:bCs w:val="0"/>
                <w:u w:val="none"/>
              </w:rPr>
              <w:t>/</w:t>
            </w:r>
          </w:p>
        </w:tc>
        <w:tc>
          <w:tcPr>
            <w:tcW w:w="2706" w:type="dxa"/>
            <w:tcBorders>
              <w:top w:val="single" w:color="auto" w:sz="4" w:space="0"/>
              <w:left w:val="single" w:color="auto" w:sz="4" w:space="0"/>
              <w:bottom w:val="single" w:color="auto" w:sz="4" w:space="0"/>
              <w:right w:val="single" w:color="auto" w:sz="8" w:space="0"/>
            </w:tcBorders>
            <w:vAlign w:val="center"/>
          </w:tcPr>
          <w:p w14:paraId="22E02A02">
            <w:pPr>
              <w:jc w:val="center"/>
              <w:rPr>
                <w:b w:val="0"/>
                <w:bCs w:val="0"/>
                <w:u w:val="none"/>
              </w:rPr>
            </w:pPr>
            <w:r>
              <w:rPr>
                <w:rFonts w:hint="eastAsia"/>
                <w:b w:val="0"/>
                <w:bCs w:val="0"/>
                <w:u w:val="none"/>
              </w:rPr>
              <w:t>/</w:t>
            </w:r>
          </w:p>
        </w:tc>
      </w:tr>
      <w:tr w14:paraId="6140B3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54" w:type="dxa"/>
            <w:tcBorders>
              <w:top w:val="single" w:color="auto" w:sz="4" w:space="0"/>
              <w:left w:val="single" w:color="auto" w:sz="8" w:space="0"/>
              <w:bottom w:val="single" w:color="auto" w:sz="4" w:space="0"/>
              <w:right w:val="single" w:color="auto" w:sz="4" w:space="0"/>
            </w:tcBorders>
            <w:vAlign w:val="center"/>
          </w:tcPr>
          <w:p w14:paraId="19065A8F">
            <w:pPr>
              <w:jc w:val="center"/>
              <w:rPr>
                <w:b w:val="0"/>
                <w:bCs w:val="0"/>
                <w:u w:val="none"/>
              </w:rPr>
            </w:pPr>
            <w:r>
              <w:rPr>
                <w:rFonts w:hint="eastAsia"/>
                <w:b w:val="0"/>
                <w:bCs w:val="0"/>
                <w:u w:val="none"/>
              </w:rPr>
              <w:t>固体废物</w:t>
            </w:r>
          </w:p>
        </w:tc>
        <w:tc>
          <w:tcPr>
            <w:tcW w:w="7646" w:type="dxa"/>
            <w:gridSpan w:val="5"/>
            <w:tcBorders>
              <w:top w:val="single" w:color="auto" w:sz="4" w:space="0"/>
              <w:left w:val="single" w:color="auto" w:sz="4" w:space="0"/>
              <w:bottom w:val="single" w:color="auto" w:sz="4" w:space="0"/>
              <w:right w:val="single" w:color="auto" w:sz="8" w:space="0"/>
            </w:tcBorders>
            <w:vAlign w:val="center"/>
          </w:tcPr>
          <w:p w14:paraId="23CCD8F9">
            <w:pPr>
              <w:rPr>
                <w:b w:val="0"/>
                <w:bCs w:val="0"/>
                <w:u w:val="none"/>
              </w:rPr>
            </w:pPr>
            <w:r>
              <w:rPr>
                <w:rFonts w:hint="eastAsia" w:ascii="宋体" w:hAnsi="宋体" w:cs="宋体"/>
                <w:b w:val="0"/>
                <w:bCs w:val="0"/>
                <w:kern w:val="0"/>
                <w:u w:val="none"/>
                <w:lang w:bidi="ar"/>
              </w:rPr>
              <w:t>生活垃圾依托现有垃圾桶收集</w:t>
            </w:r>
            <w:r>
              <w:rPr>
                <w:rFonts w:hint="eastAsia"/>
                <w:b w:val="0"/>
                <w:bCs w:val="0"/>
                <w:u w:val="none"/>
              </w:rPr>
              <w:t xml:space="preserve">后交由环卫部门统一收集后进行集中处理。 </w:t>
            </w:r>
          </w:p>
          <w:p w14:paraId="04AC84B4">
            <w:pPr>
              <w:rPr>
                <w:b w:val="0"/>
                <w:bCs w:val="0"/>
                <w:u w:val="none"/>
              </w:rPr>
            </w:pPr>
            <w:r>
              <w:rPr>
                <w:rFonts w:hint="eastAsia"/>
                <w:b w:val="0"/>
                <w:bCs w:val="0"/>
                <w:u w:val="none"/>
              </w:rPr>
              <w:t xml:space="preserve">一般固废暂存于现有工程一般固废暂存间，定期清运。 </w:t>
            </w:r>
          </w:p>
          <w:p w14:paraId="696BA25D">
            <w:pPr>
              <w:rPr>
                <w:b w:val="0"/>
                <w:bCs w:val="0"/>
                <w:u w:val="none"/>
              </w:rPr>
            </w:pPr>
            <w:r>
              <w:rPr>
                <w:rFonts w:hint="eastAsia"/>
                <w:b w:val="0"/>
                <w:bCs w:val="0"/>
                <w:u w:val="none"/>
              </w:rPr>
              <w:t xml:space="preserve">危险废物依托厂区危废暂存间暂存后委托有资质单位处理。 </w:t>
            </w:r>
          </w:p>
        </w:tc>
      </w:tr>
      <w:tr w14:paraId="10A26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154" w:type="dxa"/>
            <w:tcBorders>
              <w:top w:val="single" w:color="auto" w:sz="4" w:space="0"/>
              <w:left w:val="single" w:color="auto" w:sz="8" w:space="0"/>
              <w:bottom w:val="single" w:color="auto" w:sz="4" w:space="0"/>
              <w:right w:val="single" w:color="auto" w:sz="4" w:space="0"/>
            </w:tcBorders>
            <w:vAlign w:val="center"/>
          </w:tcPr>
          <w:p w14:paraId="0A3C06FF">
            <w:pPr>
              <w:jc w:val="center"/>
              <w:rPr>
                <w:b w:val="0"/>
                <w:bCs w:val="0"/>
                <w:u w:val="none"/>
              </w:rPr>
            </w:pPr>
            <w:r>
              <w:rPr>
                <w:rFonts w:hint="eastAsia"/>
                <w:b w:val="0"/>
                <w:bCs w:val="0"/>
                <w:u w:val="none"/>
              </w:rPr>
              <w:t>土壤及地下水</w:t>
            </w:r>
          </w:p>
          <w:p w14:paraId="3BE513FE">
            <w:pPr>
              <w:jc w:val="center"/>
              <w:rPr>
                <w:b w:val="0"/>
                <w:bCs w:val="0"/>
                <w:u w:val="none"/>
              </w:rPr>
            </w:pPr>
            <w:r>
              <w:rPr>
                <w:rFonts w:hint="eastAsia"/>
                <w:b w:val="0"/>
                <w:bCs w:val="0"/>
                <w:u w:val="none"/>
              </w:rPr>
              <w:t>污染防治措施</w:t>
            </w:r>
          </w:p>
        </w:tc>
        <w:tc>
          <w:tcPr>
            <w:tcW w:w="7646" w:type="dxa"/>
            <w:gridSpan w:val="5"/>
            <w:tcBorders>
              <w:top w:val="single" w:color="auto" w:sz="4" w:space="0"/>
              <w:left w:val="single" w:color="auto" w:sz="4" w:space="0"/>
              <w:bottom w:val="single" w:color="auto" w:sz="4" w:space="0"/>
              <w:right w:val="single" w:color="auto" w:sz="8" w:space="0"/>
            </w:tcBorders>
            <w:vAlign w:val="center"/>
          </w:tcPr>
          <w:p w14:paraId="5E3CC952">
            <w:pPr>
              <w:rPr>
                <w:b w:val="0"/>
                <w:bCs w:val="0"/>
                <w:u w:val="none"/>
              </w:rPr>
            </w:pPr>
            <w:r>
              <w:rPr>
                <w:b w:val="0"/>
                <w:bCs w:val="0"/>
                <w:u w:val="none"/>
              </w:rPr>
              <w:t>重点防渗区：危废暂存间、</w:t>
            </w:r>
            <w:r>
              <w:rPr>
                <w:rFonts w:hint="eastAsia"/>
                <w:b w:val="0"/>
                <w:bCs w:val="0"/>
                <w:u w:val="none"/>
              </w:rPr>
              <w:t>液氨和氨水</w:t>
            </w:r>
            <w:r>
              <w:rPr>
                <w:b w:val="0"/>
                <w:bCs w:val="0"/>
                <w:u w:val="none"/>
              </w:rPr>
              <w:t>储罐区在原有水泥地面+2 mm 厚高密度聚乙烯膜，膜上水泥砂浆敷面，确保渗透系数≤10</w:t>
            </w:r>
            <w:r>
              <w:rPr>
                <w:b w:val="0"/>
                <w:bCs w:val="0"/>
                <w:u w:val="none"/>
                <w:vertAlign w:val="superscript"/>
              </w:rPr>
              <w:t>-10</w:t>
            </w:r>
            <w:r>
              <w:rPr>
                <w:b w:val="0"/>
                <w:bCs w:val="0"/>
                <w:u w:val="none"/>
              </w:rPr>
              <w:t xml:space="preserve">cm/s。 </w:t>
            </w:r>
          </w:p>
          <w:p w14:paraId="5D0424A8">
            <w:pPr>
              <w:rPr>
                <w:b w:val="0"/>
                <w:bCs w:val="0"/>
                <w:u w:val="none"/>
              </w:rPr>
            </w:pPr>
            <w:r>
              <w:rPr>
                <w:b w:val="0"/>
                <w:bCs w:val="0"/>
                <w:u w:val="none"/>
              </w:rPr>
              <w:t>一般防渗区：一般工业固废暂存库等，防渗要求：采用20cm防渗混凝土进行防渗 0.75 m，确保防渗层达到等效黏土防渗层Mb≥1.5m、渗透系数K≤1.0×10</w:t>
            </w:r>
            <w:r>
              <w:rPr>
                <w:b w:val="0"/>
                <w:bCs w:val="0"/>
                <w:u w:val="none"/>
                <w:vertAlign w:val="superscript"/>
              </w:rPr>
              <w:t>-7</w:t>
            </w:r>
            <w:r>
              <w:rPr>
                <w:b w:val="0"/>
                <w:bCs w:val="0"/>
                <w:u w:val="none"/>
              </w:rPr>
              <w:t>cm/s 的要求。</w:t>
            </w:r>
          </w:p>
          <w:p w14:paraId="02FF2105">
            <w:pPr>
              <w:rPr>
                <w:b w:val="0"/>
                <w:bCs w:val="0"/>
                <w:u w:val="none"/>
              </w:rPr>
            </w:pPr>
            <w:r>
              <w:rPr>
                <w:b w:val="0"/>
                <w:bCs w:val="0"/>
                <w:u w:val="none"/>
              </w:rPr>
              <w:t>简单防渗区：除重点防渗区和一般防渗区外的区域，采取一般混凝土地面硬化。</w:t>
            </w:r>
          </w:p>
        </w:tc>
      </w:tr>
      <w:tr w14:paraId="0CC06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54" w:type="dxa"/>
            <w:tcBorders>
              <w:top w:val="single" w:color="auto" w:sz="4" w:space="0"/>
              <w:left w:val="single" w:color="auto" w:sz="8" w:space="0"/>
              <w:bottom w:val="single" w:color="auto" w:sz="4" w:space="0"/>
              <w:right w:val="single" w:color="auto" w:sz="4" w:space="0"/>
            </w:tcBorders>
            <w:vAlign w:val="center"/>
          </w:tcPr>
          <w:p w14:paraId="40E63400">
            <w:pPr>
              <w:jc w:val="center"/>
              <w:rPr>
                <w:b w:val="0"/>
                <w:bCs w:val="0"/>
                <w:u w:val="none"/>
              </w:rPr>
            </w:pPr>
            <w:r>
              <w:rPr>
                <w:rFonts w:hint="eastAsia"/>
                <w:b w:val="0"/>
                <w:bCs w:val="0"/>
                <w:u w:val="none"/>
              </w:rPr>
              <w:t>生态保护措施</w:t>
            </w:r>
          </w:p>
        </w:tc>
        <w:tc>
          <w:tcPr>
            <w:tcW w:w="7646" w:type="dxa"/>
            <w:gridSpan w:val="5"/>
            <w:tcBorders>
              <w:top w:val="single" w:color="auto" w:sz="4" w:space="0"/>
              <w:left w:val="single" w:color="auto" w:sz="4" w:space="0"/>
              <w:bottom w:val="single" w:color="auto" w:sz="4" w:space="0"/>
              <w:right w:val="single" w:color="auto" w:sz="8" w:space="0"/>
            </w:tcBorders>
            <w:vAlign w:val="center"/>
          </w:tcPr>
          <w:p w14:paraId="5A65C196">
            <w:pPr>
              <w:jc w:val="center"/>
              <w:rPr>
                <w:b w:val="0"/>
                <w:bCs w:val="0"/>
                <w:u w:val="none"/>
              </w:rPr>
            </w:pPr>
            <w:r>
              <w:rPr>
                <w:rFonts w:hint="eastAsia"/>
                <w:b w:val="0"/>
                <w:bCs w:val="0"/>
                <w:u w:val="none"/>
              </w:rPr>
              <w:t>无</w:t>
            </w:r>
          </w:p>
        </w:tc>
      </w:tr>
      <w:tr w14:paraId="28C1C9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154" w:type="dxa"/>
            <w:tcBorders>
              <w:top w:val="single" w:color="auto" w:sz="4" w:space="0"/>
              <w:left w:val="single" w:color="auto" w:sz="8" w:space="0"/>
              <w:bottom w:val="single" w:color="auto" w:sz="4" w:space="0"/>
              <w:right w:val="single" w:color="auto" w:sz="4" w:space="0"/>
            </w:tcBorders>
            <w:vAlign w:val="center"/>
          </w:tcPr>
          <w:p w14:paraId="4D080437">
            <w:pPr>
              <w:jc w:val="center"/>
              <w:rPr>
                <w:b w:val="0"/>
                <w:bCs w:val="0"/>
                <w:u w:val="none"/>
              </w:rPr>
            </w:pPr>
            <w:r>
              <w:rPr>
                <w:rFonts w:hint="eastAsia"/>
                <w:b w:val="0"/>
                <w:bCs w:val="0"/>
                <w:u w:val="none"/>
              </w:rPr>
              <w:t>环境风险</w:t>
            </w:r>
          </w:p>
          <w:p w14:paraId="479692F0">
            <w:pPr>
              <w:jc w:val="center"/>
              <w:rPr>
                <w:b w:val="0"/>
                <w:bCs w:val="0"/>
                <w:u w:val="none"/>
              </w:rPr>
            </w:pPr>
            <w:r>
              <w:rPr>
                <w:rFonts w:hint="eastAsia"/>
                <w:b w:val="0"/>
                <w:bCs w:val="0"/>
                <w:u w:val="none"/>
              </w:rPr>
              <w:t>防范措施</w:t>
            </w:r>
          </w:p>
        </w:tc>
        <w:tc>
          <w:tcPr>
            <w:tcW w:w="7646" w:type="dxa"/>
            <w:gridSpan w:val="5"/>
            <w:tcBorders>
              <w:top w:val="single" w:color="auto" w:sz="4" w:space="0"/>
              <w:left w:val="single" w:color="auto" w:sz="4" w:space="0"/>
              <w:bottom w:val="single" w:color="auto" w:sz="4" w:space="0"/>
              <w:right w:val="single" w:color="auto" w:sz="8" w:space="0"/>
            </w:tcBorders>
            <w:vAlign w:val="center"/>
          </w:tcPr>
          <w:p w14:paraId="768FDCAC">
            <w:pPr>
              <w:jc w:val="center"/>
              <w:rPr>
                <w:b/>
                <w:bCs/>
                <w:u w:val="single"/>
              </w:rPr>
            </w:pPr>
            <w:r>
              <w:rPr>
                <w:b/>
                <w:bCs/>
                <w:u w:val="single"/>
              </w:rPr>
              <w:t>本项目氨水及液氨罐区设置围堰、高低液位报警系统及罐区氨水泄漏报警装置；</w:t>
            </w:r>
          </w:p>
          <w:p w14:paraId="0811AA60">
            <w:pPr>
              <w:jc w:val="center"/>
              <w:rPr>
                <w:b w:val="0"/>
                <w:bCs w:val="0"/>
                <w:u w:val="none"/>
              </w:rPr>
            </w:pPr>
            <w:r>
              <w:rPr>
                <w:b/>
                <w:bCs/>
                <w:u w:val="single"/>
              </w:rPr>
              <w:t>厂区内设置1437m</w:t>
            </w:r>
            <w:r>
              <w:rPr>
                <w:b/>
                <w:bCs/>
                <w:u w:val="single"/>
                <w:vertAlign w:val="superscript"/>
              </w:rPr>
              <w:t>3</w:t>
            </w:r>
            <w:r>
              <w:rPr>
                <w:b/>
                <w:bCs/>
                <w:u w:val="single"/>
              </w:rPr>
              <w:t>事故水池一座、1080m</w:t>
            </w:r>
            <w:r>
              <w:rPr>
                <w:b/>
                <w:bCs/>
                <w:u w:val="single"/>
                <w:vertAlign w:val="superscript"/>
              </w:rPr>
              <w:t>3</w:t>
            </w:r>
            <w:r>
              <w:rPr>
                <w:b/>
                <w:bCs/>
                <w:u w:val="single"/>
              </w:rPr>
              <w:t>消防水池一座及800m</w:t>
            </w:r>
            <w:r>
              <w:rPr>
                <w:b/>
                <w:bCs/>
                <w:u w:val="single"/>
                <w:vertAlign w:val="superscript"/>
              </w:rPr>
              <w:t>3</w:t>
            </w:r>
            <w:r>
              <w:rPr>
                <w:b/>
                <w:bCs/>
                <w:u w:val="single"/>
              </w:rPr>
              <w:t>初期雨水池一座。</w:t>
            </w:r>
          </w:p>
        </w:tc>
      </w:tr>
      <w:tr w14:paraId="14409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54" w:type="dxa"/>
            <w:tcBorders>
              <w:top w:val="single" w:color="auto" w:sz="4" w:space="0"/>
              <w:left w:val="single" w:color="auto" w:sz="8" w:space="0"/>
              <w:bottom w:val="single" w:color="auto" w:sz="8" w:space="0"/>
              <w:right w:val="single" w:color="auto" w:sz="4" w:space="0"/>
            </w:tcBorders>
            <w:vAlign w:val="center"/>
          </w:tcPr>
          <w:p w14:paraId="2D6DDF33">
            <w:pPr>
              <w:jc w:val="center"/>
              <w:rPr>
                <w:b w:val="0"/>
                <w:bCs w:val="0"/>
                <w:u w:val="none"/>
              </w:rPr>
            </w:pPr>
            <w:r>
              <w:rPr>
                <w:rFonts w:hint="eastAsia"/>
                <w:b w:val="0"/>
                <w:bCs w:val="0"/>
                <w:u w:val="none"/>
              </w:rPr>
              <w:t>其他环境</w:t>
            </w:r>
          </w:p>
          <w:p w14:paraId="6B187287">
            <w:pPr>
              <w:jc w:val="center"/>
              <w:rPr>
                <w:b w:val="0"/>
                <w:bCs w:val="0"/>
                <w:u w:val="none"/>
              </w:rPr>
            </w:pPr>
            <w:r>
              <w:rPr>
                <w:rFonts w:hint="eastAsia"/>
                <w:b w:val="0"/>
                <w:bCs w:val="0"/>
                <w:u w:val="none"/>
              </w:rPr>
              <w:t>管理要求</w:t>
            </w:r>
          </w:p>
        </w:tc>
        <w:tc>
          <w:tcPr>
            <w:tcW w:w="7646" w:type="dxa"/>
            <w:gridSpan w:val="5"/>
            <w:tcBorders>
              <w:top w:val="single" w:color="auto" w:sz="4" w:space="0"/>
              <w:left w:val="single" w:color="auto" w:sz="4" w:space="0"/>
              <w:bottom w:val="single" w:color="auto" w:sz="8" w:space="0"/>
              <w:right w:val="single" w:color="auto" w:sz="8" w:space="0"/>
            </w:tcBorders>
            <w:vAlign w:val="center"/>
          </w:tcPr>
          <w:p w14:paraId="23EE9E6E">
            <w:pPr>
              <w:jc w:val="center"/>
              <w:rPr>
                <w:b w:val="0"/>
                <w:bCs w:val="0"/>
                <w:u w:val="none"/>
              </w:rPr>
            </w:pPr>
            <w:r>
              <w:rPr>
                <w:rFonts w:hint="eastAsia"/>
                <w:b w:val="0"/>
                <w:bCs w:val="0"/>
                <w:u w:val="none"/>
              </w:rPr>
              <w:t>无</w:t>
            </w:r>
          </w:p>
        </w:tc>
      </w:tr>
    </w:tbl>
    <w:p w14:paraId="0E2D2A4B">
      <w:pPr>
        <w:pStyle w:val="3"/>
        <w:rPr>
          <w:b w:val="0"/>
          <w:bCs w:val="0"/>
          <w:u w:val="none"/>
        </w:rPr>
      </w:pPr>
      <w:r>
        <w:rPr>
          <w:rFonts w:hint="eastAsia"/>
          <w:b w:val="0"/>
          <w:bCs w:val="0"/>
          <w:u w:val="none"/>
        </w:rPr>
        <w:t>结论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4ED90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Borders>
              <w:top w:val="single" w:color="auto" w:sz="8" w:space="0"/>
              <w:left w:val="single" w:color="auto" w:sz="8" w:space="0"/>
              <w:bottom w:val="single" w:color="auto" w:sz="8" w:space="0"/>
              <w:right w:val="single" w:color="auto" w:sz="8" w:space="0"/>
            </w:tcBorders>
          </w:tcPr>
          <w:p w14:paraId="75BC2B60">
            <w:pPr>
              <w:pStyle w:val="5"/>
              <w:rPr>
                <w:rFonts w:hint="default"/>
                <w:b w:val="0"/>
                <w:bCs w:val="0"/>
                <w:u w:val="none"/>
              </w:rPr>
            </w:pPr>
            <w:r>
              <w:rPr>
                <w:rFonts w:hint="default"/>
                <w:b w:val="0"/>
                <w:bCs w:val="0"/>
                <w:u w:val="none"/>
              </w:rPr>
              <w:t>河南平益气体有限公司平顶山尼龙产业园工业气体岛</w:t>
            </w:r>
            <w:r>
              <w:rPr>
                <w:b w:val="0"/>
                <w:bCs w:val="0"/>
                <w:u w:val="none"/>
              </w:rPr>
              <w:t>一期</w:t>
            </w:r>
            <w:r>
              <w:rPr>
                <w:rFonts w:hint="default"/>
                <w:b w:val="0"/>
                <w:bCs w:val="0"/>
                <w:u w:val="none"/>
              </w:rPr>
              <w:t>项目符合当前国家产业政策，项目建设符合平顶山尼龙新材料产业集聚区总体规划，项目</w:t>
            </w:r>
            <w:r>
              <w:rPr>
                <w:b w:val="0"/>
                <w:bCs w:val="0"/>
                <w:u w:val="none"/>
              </w:rPr>
              <w:t>运营</w:t>
            </w:r>
            <w:r>
              <w:rPr>
                <w:rFonts w:hint="default"/>
                <w:b w:val="0"/>
                <w:bCs w:val="0"/>
                <w:u w:val="none"/>
              </w:rPr>
              <w:t>过程中将对环境产生一定的影响，只要企业认真落实本次评价提出的各项环保措施和建议，确保“三同时”制度的落实，污染物均能够实现达标排放，使本项目的建设对周围环境影响降至最低。因此，从环保角度出发，本项目建设可行。</w:t>
            </w:r>
          </w:p>
        </w:tc>
      </w:tr>
    </w:tbl>
    <w:p w14:paraId="59602078">
      <w:pPr>
        <w:rPr>
          <w:b w:val="0"/>
          <w:bCs w:val="0"/>
          <w:u w:val="none"/>
        </w:rPr>
        <w:sectPr>
          <w:pgSz w:w="11906" w:h="16838"/>
          <w:pgMar w:top="1440" w:right="1803" w:bottom="1440" w:left="1803" w:header="851" w:footer="992" w:gutter="0"/>
          <w:cols w:space="0" w:num="1"/>
          <w:docGrid w:type="lines" w:linePitch="332" w:charSpace="0"/>
        </w:sectPr>
      </w:pPr>
    </w:p>
    <w:p w14:paraId="61BF0D57">
      <w:pPr>
        <w:adjustRightInd w:val="0"/>
        <w:snapToGrid w:val="0"/>
        <w:spacing w:line="360" w:lineRule="auto"/>
        <w:jc w:val="left"/>
        <w:outlineLvl w:val="0"/>
        <w:rPr>
          <w:rFonts w:ascii="黑体" w:hAnsi="黑体" w:eastAsia="黑体" w:cs="宋体"/>
          <w:b w:val="0"/>
          <w:bCs w:val="0"/>
          <w:kern w:val="0"/>
          <w:sz w:val="32"/>
          <w:szCs w:val="32"/>
          <w:u w:val="none"/>
        </w:rPr>
      </w:pPr>
      <w:r>
        <w:rPr>
          <w:rFonts w:hint="eastAsia" w:ascii="黑体" w:hAnsi="黑体" w:eastAsia="黑体" w:cs="宋体"/>
          <w:b w:val="0"/>
          <w:bCs w:val="0"/>
          <w:kern w:val="0"/>
          <w:sz w:val="32"/>
          <w:szCs w:val="32"/>
          <w:u w:val="none"/>
        </w:rPr>
        <w:t>附表</w:t>
      </w:r>
    </w:p>
    <w:p w14:paraId="796FB4B8">
      <w:pPr>
        <w:spacing w:line="360" w:lineRule="auto"/>
        <w:jc w:val="center"/>
        <w:rPr>
          <w:rFonts w:hint="eastAsia" w:ascii="方正小标宋_GBK" w:hAnsi="方正小标宋_GBK" w:cs="宋体"/>
          <w:b w:val="0"/>
          <w:bCs w:val="0"/>
          <w:kern w:val="0"/>
          <w:sz w:val="38"/>
          <w:szCs w:val="38"/>
          <w:highlight w:val="none"/>
          <w:u w:val="none"/>
        </w:rPr>
      </w:pPr>
      <w:r>
        <w:rPr>
          <w:rFonts w:hint="eastAsia" w:ascii="方正小标宋_GBK" w:hAnsi="黑体" w:eastAsia="方正小标宋_GBK"/>
          <w:b w:val="0"/>
          <w:bCs w:val="0"/>
          <w:sz w:val="36"/>
          <w:szCs w:val="36"/>
          <w:highlight w:val="none"/>
          <w:u w:val="none"/>
        </w:rPr>
        <w:t>建设项目污染物排放量汇总表</w:t>
      </w:r>
    </w:p>
    <w:tbl>
      <w:tblPr>
        <w:tblStyle w:val="27"/>
        <w:tblW w:w="0" w:type="auto"/>
        <w:tblInd w:w="8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483"/>
        <w:gridCol w:w="1664"/>
        <w:gridCol w:w="1399"/>
      </w:tblGrid>
      <w:tr w14:paraId="7481D0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op w:val="single" w:color="auto" w:sz="8" w:space="0"/>
              <w:left w:val="single" w:color="auto" w:sz="8" w:space="0"/>
              <w:bottom w:val="single" w:color="auto" w:sz="4" w:space="0"/>
              <w:right w:val="single" w:color="auto" w:sz="4" w:space="0"/>
              <w:tl2br w:val="single" w:color="auto" w:sz="4" w:space="0"/>
            </w:tcBorders>
            <w:tcMar>
              <w:top w:w="0" w:type="dxa"/>
              <w:left w:w="28" w:type="dxa"/>
              <w:bottom w:w="0" w:type="dxa"/>
              <w:right w:w="28" w:type="dxa"/>
            </w:tcMar>
            <w:vAlign w:val="center"/>
          </w:tcPr>
          <w:p w14:paraId="4D74E92F">
            <w:pPr>
              <w:widowControl w:val="0"/>
              <w:adjustRightInd w:val="0"/>
              <w:snapToGrid w:val="0"/>
              <w:spacing w:line="256" w:lineRule="auto"/>
              <w:jc w:val="right"/>
              <w:rPr>
                <w:rFonts w:ascii="黑体" w:hAnsi="黑体" w:eastAsia="黑体" w:cs="宋体"/>
                <w:b w:val="0"/>
                <w:bCs w:val="0"/>
                <w:spacing w:val="-6"/>
                <w:kern w:val="21"/>
                <w:highlight w:val="none"/>
                <w:u w:val="none"/>
              </w:rPr>
            </w:pPr>
            <w:r>
              <w:rPr>
                <w:rFonts w:hint="eastAsia" w:ascii="黑体" w:hAnsi="黑体" w:eastAsia="黑体" w:cs="宋体"/>
                <w:b w:val="0"/>
                <w:bCs w:val="0"/>
                <w:spacing w:val="-6"/>
                <w:kern w:val="21"/>
                <w:highlight w:val="none"/>
                <w:u w:val="none"/>
              </w:rPr>
              <w:t>项目</w:t>
            </w:r>
          </w:p>
          <w:p w14:paraId="1922911C">
            <w:pPr>
              <w:widowControl w:val="0"/>
              <w:adjustRightInd w:val="0"/>
              <w:snapToGrid w:val="0"/>
              <w:spacing w:line="256" w:lineRule="auto"/>
              <w:jc w:val="left"/>
              <w:rPr>
                <w:rFonts w:ascii="黑体" w:hAnsi="黑体" w:eastAsia="黑体" w:cs="宋体"/>
                <w:b w:val="0"/>
                <w:bCs w:val="0"/>
                <w:spacing w:val="-6"/>
                <w:kern w:val="21"/>
                <w:highlight w:val="none"/>
                <w:u w:val="none"/>
              </w:rPr>
            </w:pPr>
            <w:r>
              <w:rPr>
                <w:rFonts w:hint="eastAsia" w:ascii="黑体" w:hAnsi="黑体" w:eastAsia="黑体" w:cs="宋体"/>
                <w:b w:val="0"/>
                <w:bCs w:val="0"/>
                <w:spacing w:val="-6"/>
                <w:kern w:val="21"/>
                <w:highlight w:val="none"/>
                <w:u w:val="none"/>
              </w:rPr>
              <w:t>分类</w:t>
            </w:r>
          </w:p>
        </w:tc>
        <w:tc>
          <w:tcPr>
            <w:tcW w:w="1417"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14:paraId="5E259B43">
            <w:pPr>
              <w:widowControl w:val="0"/>
              <w:adjustRightInd w:val="0"/>
              <w:snapToGrid w:val="0"/>
              <w:spacing w:line="256" w:lineRule="auto"/>
              <w:jc w:val="center"/>
              <w:rPr>
                <w:rFonts w:ascii="黑体" w:hAnsi="黑体" w:eastAsia="黑体" w:cs="宋体"/>
                <w:b w:val="0"/>
                <w:bCs w:val="0"/>
                <w:spacing w:val="-6"/>
                <w:kern w:val="21"/>
                <w:highlight w:val="none"/>
                <w:u w:val="none"/>
              </w:rPr>
            </w:pPr>
            <w:r>
              <w:rPr>
                <w:rFonts w:hint="eastAsia" w:ascii="黑体" w:hAnsi="黑体" w:eastAsia="黑体" w:cs="宋体"/>
                <w:b w:val="0"/>
                <w:bCs w:val="0"/>
                <w:spacing w:val="-6"/>
                <w:kern w:val="21"/>
                <w:highlight w:val="none"/>
                <w:u w:val="none"/>
              </w:rPr>
              <w:t>污染物名称</w:t>
            </w:r>
          </w:p>
        </w:tc>
        <w:tc>
          <w:tcPr>
            <w:tcW w:w="1701"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14:paraId="63C24D1A">
            <w:pPr>
              <w:widowControl w:val="0"/>
              <w:adjustRightInd w:val="0"/>
              <w:snapToGrid w:val="0"/>
              <w:spacing w:line="256" w:lineRule="auto"/>
              <w:jc w:val="center"/>
              <w:rPr>
                <w:rFonts w:ascii="黑体" w:hAnsi="黑体" w:eastAsia="黑体"/>
                <w:b w:val="0"/>
                <w:bCs w:val="0"/>
                <w:spacing w:val="-6"/>
                <w:kern w:val="21"/>
                <w:highlight w:val="none"/>
                <w:u w:val="none"/>
              </w:rPr>
            </w:pPr>
            <w:r>
              <w:rPr>
                <w:rFonts w:hint="eastAsia" w:ascii="黑体" w:hAnsi="黑体" w:eastAsia="黑体"/>
                <w:b w:val="0"/>
                <w:bCs w:val="0"/>
                <w:spacing w:val="-6"/>
                <w:kern w:val="21"/>
                <w:highlight w:val="none"/>
                <w:u w:val="none"/>
              </w:rPr>
              <w:t>现有工程</w:t>
            </w:r>
          </w:p>
          <w:p w14:paraId="3014D0A3">
            <w:pPr>
              <w:widowControl w:val="0"/>
              <w:adjustRightInd w:val="0"/>
              <w:snapToGrid w:val="0"/>
              <w:spacing w:line="256" w:lineRule="auto"/>
              <w:jc w:val="center"/>
              <w:rPr>
                <w:rFonts w:ascii="黑体" w:hAnsi="黑体" w:eastAsia="黑体"/>
                <w:b w:val="0"/>
                <w:bCs w:val="0"/>
                <w:spacing w:val="-6"/>
                <w:kern w:val="21"/>
                <w:highlight w:val="none"/>
                <w:u w:val="none"/>
              </w:rPr>
            </w:pPr>
            <w:r>
              <w:rPr>
                <w:rFonts w:hint="eastAsia" w:ascii="黑体" w:hAnsi="黑体" w:eastAsia="黑体"/>
                <w:b w:val="0"/>
                <w:bCs w:val="0"/>
                <w:spacing w:val="-6"/>
                <w:kern w:val="21"/>
                <w:highlight w:val="none"/>
                <w:u w:val="none"/>
              </w:rPr>
              <w:t>排放量（固体废物产生量）①</w:t>
            </w:r>
          </w:p>
        </w:tc>
        <w:tc>
          <w:tcPr>
            <w:tcW w:w="1276"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14:paraId="2994D02A">
            <w:pPr>
              <w:widowControl w:val="0"/>
              <w:adjustRightInd w:val="0"/>
              <w:snapToGrid w:val="0"/>
              <w:spacing w:line="256" w:lineRule="auto"/>
              <w:jc w:val="center"/>
              <w:rPr>
                <w:rFonts w:ascii="黑体" w:hAnsi="黑体" w:eastAsia="黑体"/>
                <w:b w:val="0"/>
                <w:bCs w:val="0"/>
                <w:spacing w:val="-6"/>
                <w:kern w:val="21"/>
                <w:highlight w:val="none"/>
                <w:u w:val="none"/>
              </w:rPr>
            </w:pPr>
            <w:r>
              <w:rPr>
                <w:rFonts w:hint="eastAsia" w:ascii="黑体" w:hAnsi="黑体" w:eastAsia="黑体"/>
                <w:b w:val="0"/>
                <w:bCs w:val="0"/>
                <w:spacing w:val="-6"/>
                <w:kern w:val="21"/>
                <w:highlight w:val="none"/>
                <w:u w:val="none"/>
              </w:rPr>
              <w:t>现有工程</w:t>
            </w:r>
          </w:p>
          <w:p w14:paraId="4D0291A8">
            <w:pPr>
              <w:widowControl w:val="0"/>
              <w:adjustRightInd w:val="0"/>
              <w:snapToGrid w:val="0"/>
              <w:spacing w:line="256" w:lineRule="auto"/>
              <w:jc w:val="center"/>
              <w:rPr>
                <w:rFonts w:ascii="黑体" w:hAnsi="黑体" w:eastAsia="黑体"/>
                <w:b w:val="0"/>
                <w:bCs w:val="0"/>
                <w:spacing w:val="-6"/>
                <w:kern w:val="21"/>
                <w:highlight w:val="none"/>
                <w:u w:val="none"/>
              </w:rPr>
            </w:pPr>
            <w:r>
              <w:rPr>
                <w:rFonts w:hint="eastAsia" w:ascii="黑体" w:hAnsi="黑体" w:eastAsia="黑体"/>
                <w:b w:val="0"/>
                <w:bCs w:val="0"/>
                <w:spacing w:val="-6"/>
                <w:kern w:val="21"/>
                <w:highlight w:val="none"/>
                <w:u w:val="none"/>
              </w:rPr>
              <w:t>许可排放量</w:t>
            </w:r>
          </w:p>
          <w:p w14:paraId="769AAEEC">
            <w:pPr>
              <w:widowControl w:val="0"/>
              <w:adjustRightInd w:val="0"/>
              <w:snapToGrid w:val="0"/>
              <w:spacing w:line="256" w:lineRule="auto"/>
              <w:jc w:val="center"/>
              <w:rPr>
                <w:rFonts w:ascii="黑体" w:hAnsi="黑体" w:eastAsia="黑体"/>
                <w:b w:val="0"/>
                <w:bCs w:val="0"/>
                <w:spacing w:val="-6"/>
                <w:kern w:val="21"/>
                <w:highlight w:val="none"/>
                <w:u w:val="none"/>
              </w:rPr>
            </w:pPr>
            <w:r>
              <w:rPr>
                <w:rFonts w:hint="eastAsia" w:ascii="黑体" w:hAnsi="黑体" w:eastAsia="黑体"/>
                <w:b w:val="0"/>
                <w:bCs w:val="0"/>
                <w:spacing w:val="-6"/>
                <w:kern w:val="21"/>
                <w:highlight w:val="none"/>
                <w:u w:val="none"/>
              </w:rPr>
              <w:t>②</w:t>
            </w:r>
          </w:p>
        </w:tc>
        <w:tc>
          <w:tcPr>
            <w:tcW w:w="1701"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14:paraId="27358C39">
            <w:pPr>
              <w:widowControl w:val="0"/>
              <w:adjustRightInd w:val="0"/>
              <w:snapToGrid w:val="0"/>
              <w:spacing w:line="256" w:lineRule="auto"/>
              <w:jc w:val="center"/>
              <w:rPr>
                <w:rFonts w:ascii="黑体" w:hAnsi="黑体" w:eastAsia="黑体"/>
                <w:b w:val="0"/>
                <w:bCs w:val="0"/>
                <w:spacing w:val="-6"/>
                <w:kern w:val="21"/>
                <w:highlight w:val="none"/>
                <w:u w:val="none"/>
              </w:rPr>
            </w:pPr>
            <w:r>
              <w:rPr>
                <w:rFonts w:hint="eastAsia" w:ascii="黑体" w:hAnsi="黑体" w:eastAsia="黑体"/>
                <w:b w:val="0"/>
                <w:bCs w:val="0"/>
                <w:spacing w:val="-6"/>
                <w:kern w:val="21"/>
                <w:highlight w:val="none"/>
                <w:u w:val="none"/>
              </w:rPr>
              <w:t>在建工程</w:t>
            </w:r>
          </w:p>
          <w:p w14:paraId="4C511D2E">
            <w:pPr>
              <w:widowControl w:val="0"/>
              <w:adjustRightInd w:val="0"/>
              <w:snapToGrid w:val="0"/>
              <w:spacing w:line="256" w:lineRule="auto"/>
              <w:jc w:val="center"/>
              <w:rPr>
                <w:rFonts w:ascii="黑体" w:hAnsi="黑体" w:eastAsia="黑体"/>
                <w:b w:val="0"/>
                <w:bCs w:val="0"/>
                <w:spacing w:val="-6"/>
                <w:kern w:val="21"/>
                <w:highlight w:val="none"/>
                <w:u w:val="none"/>
              </w:rPr>
            </w:pPr>
            <w:r>
              <w:rPr>
                <w:rFonts w:hint="eastAsia" w:ascii="黑体" w:hAnsi="黑体" w:eastAsia="黑体"/>
                <w:b w:val="0"/>
                <w:bCs w:val="0"/>
                <w:spacing w:val="-6"/>
                <w:kern w:val="21"/>
                <w:highlight w:val="none"/>
                <w:u w:val="none"/>
              </w:rPr>
              <w:t>排放量（固体废物产生量）③</w:t>
            </w:r>
          </w:p>
        </w:tc>
        <w:tc>
          <w:tcPr>
            <w:tcW w:w="1559"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14:paraId="5ED94992">
            <w:pPr>
              <w:widowControl w:val="0"/>
              <w:adjustRightInd w:val="0"/>
              <w:snapToGrid w:val="0"/>
              <w:spacing w:line="256" w:lineRule="auto"/>
              <w:jc w:val="center"/>
              <w:rPr>
                <w:rFonts w:ascii="黑体" w:hAnsi="黑体" w:eastAsia="黑体"/>
                <w:b w:val="0"/>
                <w:bCs w:val="0"/>
                <w:spacing w:val="-6"/>
                <w:kern w:val="21"/>
                <w:highlight w:val="none"/>
                <w:u w:val="none"/>
              </w:rPr>
            </w:pPr>
            <w:r>
              <w:rPr>
                <w:rFonts w:hint="eastAsia" w:ascii="黑体" w:hAnsi="黑体" w:eastAsia="黑体"/>
                <w:b w:val="0"/>
                <w:bCs w:val="0"/>
                <w:spacing w:val="-6"/>
                <w:kern w:val="21"/>
                <w:highlight w:val="none"/>
                <w:u w:val="none"/>
              </w:rPr>
              <w:t>本项目</w:t>
            </w:r>
          </w:p>
          <w:p w14:paraId="50E85A67">
            <w:pPr>
              <w:widowControl w:val="0"/>
              <w:adjustRightInd w:val="0"/>
              <w:snapToGrid w:val="0"/>
              <w:spacing w:line="256" w:lineRule="auto"/>
              <w:jc w:val="center"/>
              <w:rPr>
                <w:rFonts w:ascii="黑体" w:hAnsi="黑体" w:eastAsia="黑体"/>
                <w:b w:val="0"/>
                <w:bCs w:val="0"/>
                <w:spacing w:val="-6"/>
                <w:kern w:val="21"/>
                <w:highlight w:val="none"/>
                <w:u w:val="none"/>
              </w:rPr>
            </w:pPr>
            <w:r>
              <w:rPr>
                <w:rFonts w:hint="eastAsia" w:ascii="黑体" w:hAnsi="黑体" w:eastAsia="黑体"/>
                <w:b w:val="0"/>
                <w:bCs w:val="0"/>
                <w:spacing w:val="-6"/>
                <w:kern w:val="21"/>
                <w:highlight w:val="none"/>
                <w:u w:val="none"/>
              </w:rPr>
              <w:t>排放量（固体废物产生量）④</w:t>
            </w:r>
          </w:p>
        </w:tc>
        <w:tc>
          <w:tcPr>
            <w:tcW w:w="1483"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14:paraId="7CE0FEA0">
            <w:pPr>
              <w:widowControl w:val="0"/>
              <w:adjustRightInd w:val="0"/>
              <w:snapToGrid w:val="0"/>
              <w:spacing w:line="256" w:lineRule="auto"/>
              <w:jc w:val="center"/>
              <w:rPr>
                <w:rFonts w:ascii="黑体" w:hAnsi="黑体" w:eastAsia="黑体"/>
                <w:b w:val="0"/>
                <w:bCs w:val="0"/>
                <w:spacing w:val="-16"/>
                <w:kern w:val="21"/>
                <w:highlight w:val="none"/>
                <w:u w:val="none"/>
              </w:rPr>
            </w:pPr>
            <w:r>
              <w:rPr>
                <w:rFonts w:hint="eastAsia" w:ascii="黑体" w:hAnsi="黑体" w:eastAsia="黑体"/>
                <w:b w:val="0"/>
                <w:bCs w:val="0"/>
                <w:spacing w:val="-16"/>
                <w:kern w:val="21"/>
                <w:highlight w:val="none"/>
                <w:u w:val="none"/>
              </w:rPr>
              <w:t>以新带老削减量</w:t>
            </w:r>
          </w:p>
          <w:p w14:paraId="5E953ED4">
            <w:pPr>
              <w:widowControl w:val="0"/>
              <w:adjustRightInd w:val="0"/>
              <w:snapToGrid w:val="0"/>
              <w:spacing w:line="256" w:lineRule="auto"/>
              <w:jc w:val="center"/>
              <w:rPr>
                <w:rFonts w:ascii="黑体" w:hAnsi="黑体" w:eastAsia="黑体"/>
                <w:b w:val="0"/>
                <w:bCs w:val="0"/>
                <w:spacing w:val="-16"/>
                <w:kern w:val="21"/>
                <w:highlight w:val="none"/>
                <w:u w:val="none"/>
              </w:rPr>
            </w:pPr>
            <w:r>
              <w:rPr>
                <w:rFonts w:hint="eastAsia" w:ascii="黑体" w:hAnsi="黑体" w:eastAsia="黑体"/>
                <w:b w:val="0"/>
                <w:bCs w:val="0"/>
                <w:spacing w:val="-16"/>
                <w:kern w:val="21"/>
                <w:highlight w:val="none"/>
                <w:u w:val="none"/>
              </w:rPr>
              <w:t>（新建项目不填）⑤</w:t>
            </w:r>
          </w:p>
        </w:tc>
        <w:tc>
          <w:tcPr>
            <w:tcW w:w="1664" w:type="dxa"/>
            <w:tcBorders>
              <w:top w:val="single" w:color="auto" w:sz="8" w:space="0"/>
              <w:left w:val="single" w:color="auto" w:sz="4" w:space="0"/>
              <w:bottom w:val="single" w:color="auto" w:sz="4" w:space="0"/>
              <w:right w:val="single" w:color="auto" w:sz="4" w:space="0"/>
            </w:tcBorders>
            <w:tcMar>
              <w:top w:w="0" w:type="dxa"/>
              <w:left w:w="28" w:type="dxa"/>
              <w:bottom w:w="0" w:type="dxa"/>
              <w:right w:w="28" w:type="dxa"/>
            </w:tcMar>
            <w:vAlign w:val="center"/>
          </w:tcPr>
          <w:p w14:paraId="1E982ADA">
            <w:pPr>
              <w:widowControl w:val="0"/>
              <w:adjustRightInd w:val="0"/>
              <w:snapToGrid w:val="0"/>
              <w:spacing w:line="256" w:lineRule="auto"/>
              <w:jc w:val="center"/>
              <w:rPr>
                <w:rFonts w:ascii="黑体" w:hAnsi="黑体" w:eastAsia="黑体"/>
                <w:b w:val="0"/>
                <w:bCs w:val="0"/>
                <w:spacing w:val="-16"/>
                <w:kern w:val="21"/>
                <w:highlight w:val="none"/>
                <w:u w:val="none"/>
              </w:rPr>
            </w:pPr>
            <w:r>
              <w:rPr>
                <w:rFonts w:hint="eastAsia" w:ascii="黑体" w:hAnsi="黑体" w:eastAsia="黑体"/>
                <w:b w:val="0"/>
                <w:bCs w:val="0"/>
                <w:spacing w:val="-16"/>
                <w:kern w:val="21"/>
                <w:highlight w:val="none"/>
                <w:u w:val="none"/>
              </w:rPr>
              <w:t>本项目建成后</w:t>
            </w:r>
          </w:p>
          <w:p w14:paraId="4EB0ACE2">
            <w:pPr>
              <w:widowControl w:val="0"/>
              <w:adjustRightInd w:val="0"/>
              <w:snapToGrid w:val="0"/>
              <w:spacing w:line="256" w:lineRule="auto"/>
              <w:jc w:val="center"/>
              <w:rPr>
                <w:rFonts w:ascii="黑体" w:hAnsi="黑体" w:eastAsia="黑体"/>
                <w:b w:val="0"/>
                <w:bCs w:val="0"/>
                <w:spacing w:val="-16"/>
                <w:kern w:val="21"/>
                <w:highlight w:val="none"/>
                <w:u w:val="none"/>
              </w:rPr>
            </w:pPr>
            <w:r>
              <w:rPr>
                <w:rFonts w:hint="eastAsia" w:ascii="黑体" w:hAnsi="黑体" w:eastAsia="黑体"/>
                <w:b w:val="0"/>
                <w:bCs w:val="0"/>
                <w:spacing w:val="-16"/>
                <w:kern w:val="21"/>
                <w:highlight w:val="none"/>
                <w:u w:val="none"/>
              </w:rPr>
              <w:t>全厂排放量（固体废物产生量）⑥</w:t>
            </w:r>
          </w:p>
        </w:tc>
        <w:tc>
          <w:tcPr>
            <w:tcW w:w="1399" w:type="dxa"/>
            <w:tcBorders>
              <w:top w:val="single" w:color="auto" w:sz="8" w:space="0"/>
              <w:left w:val="single" w:color="auto" w:sz="4" w:space="0"/>
              <w:bottom w:val="single" w:color="auto" w:sz="4" w:space="0"/>
              <w:right w:val="single" w:color="auto" w:sz="8" w:space="0"/>
            </w:tcBorders>
            <w:tcMar>
              <w:top w:w="0" w:type="dxa"/>
              <w:left w:w="28" w:type="dxa"/>
              <w:bottom w:w="0" w:type="dxa"/>
              <w:right w:w="28" w:type="dxa"/>
            </w:tcMar>
            <w:vAlign w:val="center"/>
          </w:tcPr>
          <w:p w14:paraId="6AE54313">
            <w:pPr>
              <w:widowControl w:val="0"/>
              <w:adjustRightInd w:val="0"/>
              <w:snapToGrid w:val="0"/>
              <w:spacing w:line="256" w:lineRule="auto"/>
              <w:jc w:val="center"/>
              <w:rPr>
                <w:rFonts w:ascii="黑体" w:hAnsi="黑体" w:eastAsia="黑体"/>
                <w:b w:val="0"/>
                <w:bCs w:val="0"/>
                <w:spacing w:val="-6"/>
                <w:kern w:val="21"/>
                <w:highlight w:val="none"/>
                <w:u w:val="none"/>
              </w:rPr>
            </w:pPr>
            <w:r>
              <w:rPr>
                <w:rFonts w:hint="eastAsia" w:ascii="黑体" w:hAnsi="黑体" w:eastAsia="黑体"/>
                <w:b w:val="0"/>
                <w:bCs w:val="0"/>
                <w:spacing w:val="-6"/>
                <w:kern w:val="21"/>
                <w:highlight w:val="none"/>
                <w:u w:val="none"/>
              </w:rPr>
              <w:t>变化量</w:t>
            </w:r>
          </w:p>
          <w:p w14:paraId="784B1C18">
            <w:pPr>
              <w:widowControl w:val="0"/>
              <w:adjustRightInd w:val="0"/>
              <w:snapToGrid w:val="0"/>
              <w:spacing w:line="256" w:lineRule="auto"/>
              <w:jc w:val="center"/>
              <w:rPr>
                <w:rFonts w:ascii="黑体" w:hAnsi="黑体" w:eastAsia="黑体"/>
                <w:b w:val="0"/>
                <w:bCs w:val="0"/>
                <w:spacing w:val="-6"/>
                <w:kern w:val="21"/>
                <w:highlight w:val="none"/>
                <w:u w:val="none"/>
              </w:rPr>
            </w:pPr>
            <w:r>
              <w:rPr>
                <w:rFonts w:hint="eastAsia" w:ascii="黑体" w:hAnsi="黑体" w:eastAsia="黑体"/>
                <w:b w:val="0"/>
                <w:bCs w:val="0"/>
                <w:spacing w:val="-6"/>
                <w:kern w:val="21"/>
                <w:highlight w:val="none"/>
                <w:u w:val="none"/>
              </w:rPr>
              <w:t>⑦</w:t>
            </w:r>
          </w:p>
        </w:tc>
      </w:tr>
      <w:tr w14:paraId="59D13A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restart"/>
            <w:tcBorders>
              <w:top w:val="single" w:color="auto" w:sz="4" w:space="0"/>
              <w:left w:val="single" w:color="auto" w:sz="8" w:space="0"/>
              <w:right w:val="single" w:color="auto" w:sz="4" w:space="0"/>
            </w:tcBorders>
            <w:vAlign w:val="center"/>
          </w:tcPr>
          <w:p w14:paraId="3315D058">
            <w:pPr>
              <w:widowControl w:val="0"/>
              <w:adjustRightInd w:val="0"/>
              <w:snapToGrid w:val="0"/>
              <w:spacing w:line="256" w:lineRule="auto"/>
              <w:jc w:val="center"/>
              <w:rPr>
                <w:rFonts w:ascii="宋体" w:hAnsi="宋体"/>
                <w:b w:val="0"/>
                <w:bCs w:val="0"/>
                <w:kern w:val="21"/>
                <w:highlight w:val="none"/>
                <w:u w:val="none"/>
              </w:rPr>
            </w:pPr>
            <w:r>
              <w:rPr>
                <w:rFonts w:hint="eastAsia" w:ascii="宋体" w:hAnsi="宋体"/>
                <w:b w:val="0"/>
                <w:bCs w:val="0"/>
                <w:kern w:val="21"/>
                <w:highlight w:val="none"/>
                <w:u w:val="none"/>
              </w:rPr>
              <w:t>废气</w:t>
            </w:r>
          </w:p>
        </w:tc>
        <w:tc>
          <w:tcPr>
            <w:tcW w:w="1417" w:type="dxa"/>
            <w:tcBorders>
              <w:top w:val="single" w:color="auto" w:sz="4" w:space="0"/>
              <w:left w:val="single" w:color="auto" w:sz="4" w:space="0"/>
              <w:bottom w:val="single" w:color="auto" w:sz="4" w:space="0"/>
              <w:right w:val="single" w:color="auto" w:sz="4" w:space="0"/>
            </w:tcBorders>
            <w:vAlign w:val="center"/>
          </w:tcPr>
          <w:p w14:paraId="66E67DEF">
            <w:pPr>
              <w:pStyle w:val="45"/>
              <w:rPr>
                <w:rFonts w:hint="default"/>
                <w:b w:val="0"/>
                <w:bCs w:val="0"/>
                <w:kern w:val="21"/>
                <w:sz w:val="21"/>
                <w:highlight w:val="none"/>
                <w:u w:val="none"/>
              </w:rPr>
            </w:pPr>
            <w:r>
              <w:rPr>
                <w:b w:val="0"/>
                <w:bCs w:val="0"/>
                <w:sz w:val="21"/>
                <w:highlight w:val="none"/>
                <w:u w:val="none"/>
              </w:rPr>
              <w:t>VOCs（甲醇）</w:t>
            </w:r>
          </w:p>
        </w:tc>
        <w:tc>
          <w:tcPr>
            <w:tcW w:w="1701" w:type="dxa"/>
            <w:tcBorders>
              <w:top w:val="single" w:color="auto" w:sz="4" w:space="0"/>
              <w:left w:val="single" w:color="auto" w:sz="4" w:space="0"/>
              <w:bottom w:val="single" w:color="auto" w:sz="4" w:space="0"/>
              <w:right w:val="single" w:color="auto" w:sz="4" w:space="0"/>
            </w:tcBorders>
            <w:vAlign w:val="center"/>
          </w:tcPr>
          <w:p w14:paraId="337A1BFB">
            <w:pPr>
              <w:widowControl w:val="0"/>
              <w:adjustRightInd w:val="0"/>
              <w:snapToGrid w:val="0"/>
              <w:spacing w:line="256" w:lineRule="auto"/>
              <w:jc w:val="center"/>
              <w:rPr>
                <w:b w:val="0"/>
                <w:bCs w:val="0"/>
                <w:kern w:val="21"/>
                <w:highlight w:val="none"/>
                <w:u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E904412">
            <w:pPr>
              <w:widowControl w:val="0"/>
              <w:adjustRightInd w:val="0"/>
              <w:snapToGrid w:val="0"/>
              <w:spacing w:line="256" w:lineRule="auto"/>
              <w:jc w:val="center"/>
              <w:rPr>
                <w:b w:val="0"/>
                <w:bCs w:val="0"/>
                <w:kern w:val="21"/>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F906937">
            <w:pPr>
              <w:widowControl w:val="0"/>
              <w:adjustRightInd w:val="0"/>
              <w:snapToGrid w:val="0"/>
              <w:spacing w:line="256" w:lineRule="auto"/>
              <w:jc w:val="center"/>
              <w:rPr>
                <w:b w:val="0"/>
                <w:bCs w:val="0"/>
                <w:kern w:val="21"/>
                <w:highlight w:val="none"/>
                <w:u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5221346D">
            <w:pPr>
              <w:widowControl w:val="0"/>
              <w:adjustRightInd w:val="0"/>
              <w:snapToGrid w:val="0"/>
              <w:spacing w:line="256" w:lineRule="auto"/>
              <w:jc w:val="center"/>
              <w:rPr>
                <w:b w:val="0"/>
                <w:bCs w:val="0"/>
                <w:kern w:val="21"/>
                <w:highlight w:val="none"/>
                <w:u w:val="none"/>
              </w:rPr>
            </w:pPr>
            <w:r>
              <w:rPr>
                <w:rFonts w:hint="eastAsia"/>
                <w:b w:val="0"/>
                <w:bCs w:val="0"/>
                <w:highlight w:val="none"/>
                <w:u w:val="none"/>
              </w:rPr>
              <w:t>0.36</w:t>
            </w:r>
            <w:r>
              <w:rPr>
                <w:b w:val="0"/>
                <w:bCs w:val="0"/>
                <w:highlight w:val="none"/>
                <w:u w:val="none"/>
              </w:rPr>
              <w:t>t/a</w:t>
            </w:r>
          </w:p>
        </w:tc>
        <w:tc>
          <w:tcPr>
            <w:tcW w:w="1483" w:type="dxa"/>
            <w:tcBorders>
              <w:top w:val="single" w:color="auto" w:sz="4" w:space="0"/>
              <w:left w:val="single" w:color="auto" w:sz="4" w:space="0"/>
              <w:bottom w:val="single" w:color="auto" w:sz="4" w:space="0"/>
              <w:right w:val="single" w:color="auto" w:sz="4" w:space="0"/>
            </w:tcBorders>
            <w:vAlign w:val="center"/>
          </w:tcPr>
          <w:p w14:paraId="5EE52472">
            <w:pPr>
              <w:widowControl w:val="0"/>
              <w:adjustRightInd w:val="0"/>
              <w:snapToGrid w:val="0"/>
              <w:spacing w:line="256" w:lineRule="auto"/>
              <w:jc w:val="center"/>
              <w:rPr>
                <w:b w:val="0"/>
                <w:bCs w:val="0"/>
                <w:kern w:val="21"/>
                <w:highlight w:val="none"/>
                <w:u w:val="none"/>
              </w:rPr>
            </w:pPr>
          </w:p>
        </w:tc>
        <w:tc>
          <w:tcPr>
            <w:tcW w:w="1664" w:type="dxa"/>
            <w:tcBorders>
              <w:top w:val="single" w:color="auto" w:sz="4" w:space="0"/>
              <w:left w:val="single" w:color="auto" w:sz="4" w:space="0"/>
              <w:bottom w:val="single" w:color="auto" w:sz="4" w:space="0"/>
              <w:right w:val="single" w:color="auto" w:sz="4" w:space="0"/>
            </w:tcBorders>
            <w:vAlign w:val="center"/>
          </w:tcPr>
          <w:p w14:paraId="17B40401">
            <w:pPr>
              <w:widowControl w:val="0"/>
              <w:adjustRightInd w:val="0"/>
              <w:snapToGrid w:val="0"/>
              <w:spacing w:line="256" w:lineRule="auto"/>
              <w:jc w:val="center"/>
              <w:rPr>
                <w:b w:val="0"/>
                <w:bCs w:val="0"/>
                <w:kern w:val="21"/>
                <w:highlight w:val="none"/>
                <w:u w:val="none"/>
              </w:rPr>
            </w:pPr>
            <w:r>
              <w:rPr>
                <w:rFonts w:hint="eastAsia"/>
                <w:b w:val="0"/>
                <w:bCs w:val="0"/>
                <w:highlight w:val="none"/>
                <w:u w:val="none"/>
              </w:rPr>
              <w:t>0.36</w:t>
            </w:r>
            <w:r>
              <w:rPr>
                <w:b w:val="0"/>
                <w:bCs w:val="0"/>
                <w:highlight w:val="none"/>
                <w:u w:val="none"/>
              </w:rPr>
              <w:t>t/a</w:t>
            </w:r>
          </w:p>
        </w:tc>
        <w:tc>
          <w:tcPr>
            <w:tcW w:w="1399" w:type="dxa"/>
            <w:tcBorders>
              <w:top w:val="single" w:color="auto" w:sz="4" w:space="0"/>
              <w:left w:val="single" w:color="auto" w:sz="4" w:space="0"/>
              <w:bottom w:val="single" w:color="auto" w:sz="4" w:space="0"/>
              <w:right w:val="single" w:color="auto" w:sz="8" w:space="0"/>
            </w:tcBorders>
            <w:vAlign w:val="center"/>
          </w:tcPr>
          <w:p w14:paraId="700A64FD">
            <w:pPr>
              <w:widowControl w:val="0"/>
              <w:adjustRightInd w:val="0"/>
              <w:snapToGrid w:val="0"/>
              <w:spacing w:line="256" w:lineRule="auto"/>
              <w:jc w:val="center"/>
              <w:rPr>
                <w:b w:val="0"/>
                <w:bCs w:val="0"/>
                <w:kern w:val="21"/>
                <w:highlight w:val="none"/>
                <w:u w:val="none"/>
              </w:rPr>
            </w:pPr>
            <w:r>
              <w:rPr>
                <w:rFonts w:hint="eastAsia"/>
                <w:b w:val="0"/>
                <w:bCs w:val="0"/>
                <w:highlight w:val="none"/>
                <w:u w:val="none"/>
              </w:rPr>
              <w:t>+0.36</w:t>
            </w:r>
            <w:r>
              <w:rPr>
                <w:b w:val="0"/>
                <w:bCs w:val="0"/>
                <w:highlight w:val="none"/>
                <w:u w:val="none"/>
              </w:rPr>
              <w:t>t/a</w:t>
            </w:r>
          </w:p>
        </w:tc>
      </w:tr>
      <w:tr w14:paraId="42F235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tcBorders>
              <w:left w:val="single" w:color="auto" w:sz="8" w:space="0"/>
              <w:right w:val="single" w:color="auto" w:sz="4" w:space="0"/>
            </w:tcBorders>
            <w:vAlign w:val="center"/>
          </w:tcPr>
          <w:p w14:paraId="4ACA35F9">
            <w:pPr>
              <w:spacing w:beforeAutospacing="1" w:afterAutospacing="1"/>
              <w:jc w:val="left"/>
              <w:rPr>
                <w:rFonts w:ascii="宋体" w:hAnsi="宋体"/>
                <w:b w:val="0"/>
                <w:bCs w:val="0"/>
                <w:kern w:val="21"/>
                <w:highlight w:val="none"/>
                <w:u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A856753">
            <w:pPr>
              <w:pStyle w:val="45"/>
              <w:rPr>
                <w:rFonts w:hint="default"/>
                <w:b w:val="0"/>
                <w:bCs w:val="0"/>
                <w:kern w:val="21"/>
                <w:sz w:val="21"/>
                <w:highlight w:val="none"/>
                <w:u w:val="none"/>
              </w:rPr>
            </w:pPr>
            <w:r>
              <w:rPr>
                <w:b w:val="0"/>
                <w:bCs w:val="0"/>
                <w:sz w:val="21"/>
                <w:highlight w:val="none"/>
                <w:u w:val="none"/>
              </w:rPr>
              <w:t>硫化氢</w:t>
            </w:r>
          </w:p>
        </w:tc>
        <w:tc>
          <w:tcPr>
            <w:tcW w:w="1701" w:type="dxa"/>
            <w:tcBorders>
              <w:top w:val="single" w:color="auto" w:sz="4" w:space="0"/>
              <w:left w:val="single" w:color="auto" w:sz="4" w:space="0"/>
              <w:bottom w:val="single" w:color="auto" w:sz="4" w:space="0"/>
              <w:right w:val="single" w:color="auto" w:sz="4" w:space="0"/>
            </w:tcBorders>
            <w:vAlign w:val="center"/>
          </w:tcPr>
          <w:p w14:paraId="7AD9BB22">
            <w:pPr>
              <w:widowControl w:val="0"/>
              <w:adjustRightInd w:val="0"/>
              <w:snapToGrid w:val="0"/>
              <w:spacing w:line="256" w:lineRule="auto"/>
              <w:jc w:val="center"/>
              <w:rPr>
                <w:b w:val="0"/>
                <w:bCs w:val="0"/>
                <w:kern w:val="21"/>
                <w:highlight w:val="none"/>
                <w:u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DECFB58">
            <w:pPr>
              <w:widowControl w:val="0"/>
              <w:adjustRightInd w:val="0"/>
              <w:snapToGrid w:val="0"/>
              <w:spacing w:line="256" w:lineRule="auto"/>
              <w:jc w:val="center"/>
              <w:rPr>
                <w:b w:val="0"/>
                <w:bCs w:val="0"/>
                <w:kern w:val="21"/>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7731956">
            <w:pPr>
              <w:widowControl w:val="0"/>
              <w:adjustRightInd w:val="0"/>
              <w:snapToGrid w:val="0"/>
              <w:spacing w:line="256" w:lineRule="auto"/>
              <w:jc w:val="center"/>
              <w:rPr>
                <w:b w:val="0"/>
                <w:bCs w:val="0"/>
                <w:kern w:val="21"/>
                <w:highlight w:val="none"/>
                <w:u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59FE52F">
            <w:pPr>
              <w:widowControl w:val="0"/>
              <w:adjustRightInd w:val="0"/>
              <w:snapToGrid w:val="0"/>
              <w:spacing w:line="256" w:lineRule="auto"/>
              <w:jc w:val="center"/>
              <w:rPr>
                <w:b w:val="0"/>
                <w:bCs w:val="0"/>
                <w:kern w:val="21"/>
                <w:highlight w:val="none"/>
                <w:u w:val="none"/>
              </w:rPr>
            </w:pPr>
            <w:r>
              <w:rPr>
                <w:rFonts w:hint="eastAsia"/>
                <w:b w:val="0"/>
                <w:bCs w:val="0"/>
                <w:highlight w:val="none"/>
                <w:u w:val="none"/>
              </w:rPr>
              <w:t>0.19</w:t>
            </w:r>
            <w:r>
              <w:rPr>
                <w:b w:val="0"/>
                <w:bCs w:val="0"/>
                <w:highlight w:val="none"/>
                <w:u w:val="none"/>
              </w:rPr>
              <w:t>t/a</w:t>
            </w:r>
          </w:p>
        </w:tc>
        <w:tc>
          <w:tcPr>
            <w:tcW w:w="1483" w:type="dxa"/>
            <w:tcBorders>
              <w:top w:val="single" w:color="auto" w:sz="4" w:space="0"/>
              <w:left w:val="single" w:color="auto" w:sz="4" w:space="0"/>
              <w:bottom w:val="single" w:color="auto" w:sz="4" w:space="0"/>
              <w:right w:val="single" w:color="auto" w:sz="4" w:space="0"/>
            </w:tcBorders>
            <w:vAlign w:val="center"/>
          </w:tcPr>
          <w:p w14:paraId="12284053">
            <w:pPr>
              <w:widowControl w:val="0"/>
              <w:adjustRightInd w:val="0"/>
              <w:snapToGrid w:val="0"/>
              <w:spacing w:line="256" w:lineRule="auto"/>
              <w:jc w:val="center"/>
              <w:rPr>
                <w:b w:val="0"/>
                <w:bCs w:val="0"/>
                <w:kern w:val="21"/>
                <w:highlight w:val="none"/>
                <w:u w:val="none"/>
              </w:rPr>
            </w:pPr>
          </w:p>
        </w:tc>
        <w:tc>
          <w:tcPr>
            <w:tcW w:w="1664" w:type="dxa"/>
            <w:tcBorders>
              <w:top w:val="single" w:color="auto" w:sz="4" w:space="0"/>
              <w:left w:val="single" w:color="auto" w:sz="4" w:space="0"/>
              <w:bottom w:val="single" w:color="auto" w:sz="4" w:space="0"/>
              <w:right w:val="single" w:color="auto" w:sz="4" w:space="0"/>
            </w:tcBorders>
            <w:vAlign w:val="center"/>
          </w:tcPr>
          <w:p w14:paraId="2D387A8F">
            <w:pPr>
              <w:widowControl w:val="0"/>
              <w:adjustRightInd w:val="0"/>
              <w:snapToGrid w:val="0"/>
              <w:spacing w:line="256" w:lineRule="auto"/>
              <w:jc w:val="center"/>
              <w:rPr>
                <w:b w:val="0"/>
                <w:bCs w:val="0"/>
                <w:kern w:val="21"/>
                <w:highlight w:val="none"/>
                <w:u w:val="none"/>
              </w:rPr>
            </w:pPr>
            <w:r>
              <w:rPr>
                <w:rFonts w:hint="eastAsia"/>
                <w:b w:val="0"/>
                <w:bCs w:val="0"/>
                <w:highlight w:val="none"/>
                <w:u w:val="none"/>
              </w:rPr>
              <w:t>0.19</w:t>
            </w:r>
            <w:r>
              <w:rPr>
                <w:b w:val="0"/>
                <w:bCs w:val="0"/>
                <w:highlight w:val="none"/>
                <w:u w:val="none"/>
              </w:rPr>
              <w:t>t/a</w:t>
            </w:r>
          </w:p>
        </w:tc>
        <w:tc>
          <w:tcPr>
            <w:tcW w:w="1399" w:type="dxa"/>
            <w:tcBorders>
              <w:top w:val="single" w:color="auto" w:sz="4" w:space="0"/>
              <w:left w:val="single" w:color="auto" w:sz="4" w:space="0"/>
              <w:bottom w:val="single" w:color="auto" w:sz="4" w:space="0"/>
              <w:right w:val="single" w:color="auto" w:sz="8" w:space="0"/>
            </w:tcBorders>
            <w:vAlign w:val="center"/>
          </w:tcPr>
          <w:p w14:paraId="6AC28196">
            <w:pPr>
              <w:widowControl w:val="0"/>
              <w:adjustRightInd w:val="0"/>
              <w:snapToGrid w:val="0"/>
              <w:spacing w:line="256" w:lineRule="auto"/>
              <w:jc w:val="center"/>
              <w:rPr>
                <w:b w:val="0"/>
                <w:bCs w:val="0"/>
                <w:kern w:val="21"/>
                <w:highlight w:val="none"/>
                <w:u w:val="none"/>
              </w:rPr>
            </w:pPr>
            <w:r>
              <w:rPr>
                <w:rFonts w:hint="eastAsia"/>
                <w:b w:val="0"/>
                <w:bCs w:val="0"/>
                <w:highlight w:val="none"/>
                <w:u w:val="none"/>
              </w:rPr>
              <w:t>+0.19</w:t>
            </w:r>
            <w:r>
              <w:rPr>
                <w:b w:val="0"/>
                <w:bCs w:val="0"/>
                <w:highlight w:val="none"/>
                <w:u w:val="none"/>
              </w:rPr>
              <w:t>t/a</w:t>
            </w:r>
          </w:p>
        </w:tc>
      </w:tr>
      <w:tr w14:paraId="7450F1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tcBorders>
              <w:left w:val="single" w:color="auto" w:sz="8" w:space="0"/>
              <w:bottom w:val="single" w:color="auto" w:sz="4" w:space="0"/>
              <w:right w:val="single" w:color="auto" w:sz="4" w:space="0"/>
            </w:tcBorders>
            <w:vAlign w:val="center"/>
          </w:tcPr>
          <w:p w14:paraId="6107D3CA">
            <w:pPr>
              <w:widowControl w:val="0"/>
              <w:adjustRightInd w:val="0"/>
              <w:snapToGrid w:val="0"/>
              <w:spacing w:line="256" w:lineRule="auto"/>
              <w:jc w:val="center"/>
              <w:rPr>
                <w:rFonts w:ascii="宋体" w:hAnsi="宋体"/>
                <w:b w:val="0"/>
                <w:bCs w:val="0"/>
                <w:kern w:val="21"/>
                <w:highlight w:val="none"/>
                <w:u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454DB0E">
            <w:pPr>
              <w:widowControl w:val="0"/>
              <w:adjustRightInd w:val="0"/>
              <w:snapToGrid w:val="0"/>
              <w:spacing w:line="256" w:lineRule="auto"/>
              <w:jc w:val="center"/>
              <w:rPr>
                <w:b w:val="0"/>
                <w:bCs w:val="0"/>
                <w:kern w:val="21"/>
                <w:highlight w:val="none"/>
                <w:u w:val="none"/>
              </w:rPr>
            </w:pPr>
            <w:r>
              <w:rPr>
                <w:b w:val="0"/>
                <w:bCs w:val="0"/>
                <w:highlight w:val="none"/>
                <w:u w:val="none"/>
              </w:rPr>
              <w:t>NH</w:t>
            </w:r>
            <w:r>
              <w:rPr>
                <w:b w:val="0"/>
                <w:bCs w:val="0"/>
                <w:highlight w:val="none"/>
                <w:u w:val="none"/>
                <w:vertAlign w:val="subscript"/>
              </w:rPr>
              <w:t>3</w:t>
            </w:r>
          </w:p>
        </w:tc>
        <w:tc>
          <w:tcPr>
            <w:tcW w:w="1701" w:type="dxa"/>
            <w:tcBorders>
              <w:top w:val="single" w:color="auto" w:sz="4" w:space="0"/>
              <w:left w:val="single" w:color="auto" w:sz="4" w:space="0"/>
              <w:bottom w:val="single" w:color="auto" w:sz="4" w:space="0"/>
              <w:right w:val="single" w:color="auto" w:sz="4" w:space="0"/>
            </w:tcBorders>
            <w:vAlign w:val="center"/>
          </w:tcPr>
          <w:p w14:paraId="4664666D">
            <w:pPr>
              <w:widowControl w:val="0"/>
              <w:adjustRightInd w:val="0"/>
              <w:snapToGrid w:val="0"/>
              <w:spacing w:line="256" w:lineRule="auto"/>
              <w:jc w:val="center"/>
              <w:rPr>
                <w:b w:val="0"/>
                <w:bCs w:val="0"/>
                <w:kern w:val="21"/>
                <w:highlight w:val="none"/>
                <w:u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4BA423C">
            <w:pPr>
              <w:widowControl w:val="0"/>
              <w:adjustRightInd w:val="0"/>
              <w:snapToGrid w:val="0"/>
              <w:spacing w:line="256" w:lineRule="auto"/>
              <w:jc w:val="center"/>
              <w:rPr>
                <w:b w:val="0"/>
                <w:bCs w:val="0"/>
                <w:kern w:val="21"/>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88BBB15">
            <w:pPr>
              <w:widowControl w:val="0"/>
              <w:adjustRightInd w:val="0"/>
              <w:snapToGrid w:val="0"/>
              <w:spacing w:line="256" w:lineRule="auto"/>
              <w:jc w:val="center"/>
              <w:rPr>
                <w:b w:val="0"/>
                <w:bCs w:val="0"/>
                <w:kern w:val="21"/>
                <w:highlight w:val="none"/>
                <w:u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394F2D1">
            <w:pPr>
              <w:widowControl w:val="0"/>
              <w:adjustRightInd w:val="0"/>
              <w:snapToGrid w:val="0"/>
              <w:spacing w:line="256" w:lineRule="auto"/>
              <w:jc w:val="center"/>
              <w:rPr>
                <w:b w:val="0"/>
                <w:bCs w:val="0"/>
                <w:kern w:val="21"/>
                <w:highlight w:val="none"/>
                <w:u w:val="none"/>
              </w:rPr>
            </w:pPr>
            <w:r>
              <w:rPr>
                <w:rFonts w:hint="eastAsia"/>
                <w:b w:val="0"/>
                <w:bCs w:val="0"/>
                <w:highlight w:val="none"/>
                <w:u w:val="none"/>
                <w:lang w:val="en-US" w:eastAsia="zh-CN"/>
              </w:rPr>
              <w:t>1.677</w:t>
            </w:r>
            <w:r>
              <w:rPr>
                <w:b w:val="0"/>
                <w:bCs w:val="0"/>
                <w:highlight w:val="none"/>
                <w:u w:val="none"/>
              </w:rPr>
              <w:t>t/a</w:t>
            </w:r>
          </w:p>
        </w:tc>
        <w:tc>
          <w:tcPr>
            <w:tcW w:w="1483" w:type="dxa"/>
            <w:tcBorders>
              <w:top w:val="single" w:color="auto" w:sz="4" w:space="0"/>
              <w:left w:val="single" w:color="auto" w:sz="4" w:space="0"/>
              <w:bottom w:val="single" w:color="auto" w:sz="4" w:space="0"/>
              <w:right w:val="single" w:color="auto" w:sz="4" w:space="0"/>
            </w:tcBorders>
            <w:vAlign w:val="center"/>
          </w:tcPr>
          <w:p w14:paraId="7433FBC3">
            <w:pPr>
              <w:widowControl w:val="0"/>
              <w:adjustRightInd w:val="0"/>
              <w:snapToGrid w:val="0"/>
              <w:spacing w:line="256" w:lineRule="auto"/>
              <w:jc w:val="center"/>
              <w:rPr>
                <w:b w:val="0"/>
                <w:bCs w:val="0"/>
                <w:kern w:val="21"/>
                <w:highlight w:val="none"/>
                <w:u w:val="none"/>
              </w:rPr>
            </w:pPr>
          </w:p>
        </w:tc>
        <w:tc>
          <w:tcPr>
            <w:tcW w:w="1664" w:type="dxa"/>
            <w:tcBorders>
              <w:top w:val="single" w:color="auto" w:sz="4" w:space="0"/>
              <w:left w:val="single" w:color="auto" w:sz="4" w:space="0"/>
              <w:bottom w:val="single" w:color="auto" w:sz="4" w:space="0"/>
              <w:right w:val="single" w:color="auto" w:sz="4" w:space="0"/>
            </w:tcBorders>
            <w:vAlign w:val="center"/>
          </w:tcPr>
          <w:p w14:paraId="094E5EC1">
            <w:pPr>
              <w:widowControl w:val="0"/>
              <w:adjustRightInd w:val="0"/>
              <w:snapToGrid w:val="0"/>
              <w:spacing w:line="256" w:lineRule="auto"/>
              <w:jc w:val="center"/>
              <w:rPr>
                <w:b w:val="0"/>
                <w:bCs w:val="0"/>
                <w:kern w:val="21"/>
                <w:highlight w:val="none"/>
                <w:u w:val="none"/>
              </w:rPr>
            </w:pPr>
            <w:r>
              <w:rPr>
                <w:rFonts w:hint="eastAsia"/>
                <w:b w:val="0"/>
                <w:bCs w:val="0"/>
                <w:highlight w:val="none"/>
                <w:u w:val="none"/>
                <w:lang w:val="en-US" w:eastAsia="zh-CN"/>
              </w:rPr>
              <w:t>1.677</w:t>
            </w:r>
            <w:r>
              <w:rPr>
                <w:b w:val="0"/>
                <w:bCs w:val="0"/>
                <w:highlight w:val="none"/>
                <w:u w:val="none"/>
              </w:rPr>
              <w:t>t/a</w:t>
            </w:r>
          </w:p>
        </w:tc>
        <w:tc>
          <w:tcPr>
            <w:tcW w:w="1399" w:type="dxa"/>
            <w:tcBorders>
              <w:top w:val="single" w:color="auto" w:sz="4" w:space="0"/>
              <w:left w:val="single" w:color="auto" w:sz="4" w:space="0"/>
              <w:bottom w:val="single" w:color="auto" w:sz="4" w:space="0"/>
              <w:right w:val="single" w:color="auto" w:sz="8" w:space="0"/>
            </w:tcBorders>
            <w:vAlign w:val="center"/>
          </w:tcPr>
          <w:p w14:paraId="1E95CFC8">
            <w:pPr>
              <w:widowControl w:val="0"/>
              <w:adjustRightInd w:val="0"/>
              <w:snapToGrid w:val="0"/>
              <w:spacing w:line="256" w:lineRule="auto"/>
              <w:jc w:val="center"/>
              <w:rPr>
                <w:b w:val="0"/>
                <w:bCs w:val="0"/>
                <w:kern w:val="21"/>
                <w:highlight w:val="none"/>
                <w:u w:val="none"/>
              </w:rPr>
            </w:pPr>
            <w:r>
              <w:rPr>
                <w:rFonts w:hint="eastAsia"/>
                <w:b w:val="0"/>
                <w:bCs w:val="0"/>
                <w:highlight w:val="none"/>
                <w:u w:val="none"/>
              </w:rPr>
              <w:t>+</w:t>
            </w:r>
            <w:r>
              <w:rPr>
                <w:rFonts w:hint="eastAsia"/>
                <w:b w:val="0"/>
                <w:bCs w:val="0"/>
                <w:highlight w:val="none"/>
                <w:u w:val="none"/>
                <w:lang w:val="en-US" w:eastAsia="zh-CN"/>
              </w:rPr>
              <w:t>1.677</w:t>
            </w:r>
            <w:r>
              <w:rPr>
                <w:b w:val="0"/>
                <w:bCs w:val="0"/>
                <w:highlight w:val="none"/>
                <w:u w:val="none"/>
              </w:rPr>
              <w:t>t/a</w:t>
            </w:r>
          </w:p>
        </w:tc>
      </w:tr>
      <w:tr w14:paraId="27814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restart"/>
            <w:tcBorders>
              <w:top w:val="single" w:color="auto" w:sz="4" w:space="0"/>
              <w:left w:val="single" w:color="auto" w:sz="8" w:space="0"/>
              <w:bottom w:val="single" w:color="auto" w:sz="4" w:space="0"/>
              <w:right w:val="single" w:color="auto" w:sz="4" w:space="0"/>
            </w:tcBorders>
            <w:vAlign w:val="center"/>
          </w:tcPr>
          <w:p w14:paraId="605E6C90">
            <w:pPr>
              <w:widowControl w:val="0"/>
              <w:adjustRightInd w:val="0"/>
              <w:snapToGrid w:val="0"/>
              <w:spacing w:line="256" w:lineRule="auto"/>
              <w:jc w:val="center"/>
              <w:rPr>
                <w:rFonts w:ascii="宋体" w:hAnsi="宋体"/>
                <w:b w:val="0"/>
                <w:bCs w:val="0"/>
                <w:kern w:val="21"/>
                <w:highlight w:val="none"/>
                <w:u w:val="none"/>
              </w:rPr>
            </w:pPr>
            <w:r>
              <w:rPr>
                <w:rFonts w:hint="eastAsia" w:ascii="宋体" w:hAnsi="宋体"/>
                <w:b w:val="0"/>
                <w:bCs w:val="0"/>
                <w:kern w:val="21"/>
                <w:highlight w:val="none"/>
                <w:u w:val="none"/>
              </w:rPr>
              <w:t>废水</w:t>
            </w:r>
          </w:p>
        </w:tc>
        <w:tc>
          <w:tcPr>
            <w:tcW w:w="1417" w:type="dxa"/>
            <w:tcBorders>
              <w:top w:val="single" w:color="auto" w:sz="4" w:space="0"/>
              <w:left w:val="single" w:color="auto" w:sz="4" w:space="0"/>
              <w:bottom w:val="single" w:color="auto" w:sz="4" w:space="0"/>
              <w:right w:val="single" w:color="auto" w:sz="4" w:space="0"/>
            </w:tcBorders>
            <w:vAlign w:val="center"/>
          </w:tcPr>
          <w:p w14:paraId="2177AB34">
            <w:pPr>
              <w:widowControl w:val="0"/>
              <w:adjustRightInd w:val="0"/>
              <w:snapToGrid w:val="0"/>
              <w:spacing w:line="256" w:lineRule="auto"/>
              <w:jc w:val="center"/>
              <w:rPr>
                <w:b w:val="0"/>
                <w:bCs w:val="0"/>
                <w:kern w:val="21"/>
                <w:highlight w:val="none"/>
                <w:u w:val="none"/>
              </w:rPr>
            </w:pPr>
            <w:r>
              <w:rPr>
                <w:b w:val="0"/>
                <w:bCs w:val="0"/>
                <w:highlight w:val="none"/>
                <w:u w:val="none"/>
              </w:rPr>
              <w:t>COD</w:t>
            </w:r>
          </w:p>
        </w:tc>
        <w:tc>
          <w:tcPr>
            <w:tcW w:w="1701" w:type="dxa"/>
            <w:tcBorders>
              <w:top w:val="single" w:color="auto" w:sz="4" w:space="0"/>
              <w:left w:val="single" w:color="auto" w:sz="4" w:space="0"/>
              <w:bottom w:val="single" w:color="auto" w:sz="4" w:space="0"/>
              <w:right w:val="single" w:color="auto" w:sz="4" w:space="0"/>
            </w:tcBorders>
            <w:vAlign w:val="center"/>
          </w:tcPr>
          <w:p w14:paraId="06EFAA08">
            <w:pPr>
              <w:widowControl w:val="0"/>
              <w:adjustRightInd w:val="0"/>
              <w:snapToGrid w:val="0"/>
              <w:spacing w:line="256" w:lineRule="auto"/>
              <w:jc w:val="center"/>
              <w:rPr>
                <w:b w:val="0"/>
                <w:bCs w:val="0"/>
                <w:kern w:val="21"/>
                <w:highlight w:val="none"/>
                <w:u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35ABAF7">
            <w:pPr>
              <w:widowControl w:val="0"/>
              <w:adjustRightInd w:val="0"/>
              <w:snapToGrid w:val="0"/>
              <w:spacing w:line="256" w:lineRule="auto"/>
              <w:jc w:val="center"/>
              <w:rPr>
                <w:b w:val="0"/>
                <w:bCs w:val="0"/>
                <w:kern w:val="21"/>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AC36934">
            <w:pPr>
              <w:widowControl w:val="0"/>
              <w:adjustRightInd w:val="0"/>
              <w:snapToGrid w:val="0"/>
              <w:spacing w:line="256" w:lineRule="auto"/>
              <w:jc w:val="center"/>
              <w:rPr>
                <w:b w:val="0"/>
                <w:bCs w:val="0"/>
                <w:kern w:val="21"/>
                <w:highlight w:val="none"/>
                <w:u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5A7B0B3">
            <w:pPr>
              <w:widowControl w:val="0"/>
              <w:adjustRightInd w:val="0"/>
              <w:snapToGrid w:val="0"/>
              <w:spacing w:line="256" w:lineRule="auto"/>
              <w:jc w:val="center"/>
              <w:rPr>
                <w:b w:val="0"/>
                <w:bCs w:val="0"/>
                <w:kern w:val="21"/>
                <w:highlight w:val="none"/>
                <w:u w:val="none"/>
              </w:rPr>
            </w:pPr>
            <w:r>
              <w:rPr>
                <w:rFonts w:hint="eastAsia"/>
                <w:b w:val="0"/>
                <w:bCs w:val="0"/>
                <w:kern w:val="21"/>
                <w:highlight w:val="none"/>
                <w:u w:val="none"/>
              </w:rPr>
              <w:t>0.1524</w:t>
            </w:r>
            <w:r>
              <w:rPr>
                <w:b w:val="0"/>
                <w:bCs w:val="0"/>
                <w:highlight w:val="none"/>
                <w:u w:val="none"/>
              </w:rPr>
              <w:t>t/a</w:t>
            </w:r>
          </w:p>
        </w:tc>
        <w:tc>
          <w:tcPr>
            <w:tcW w:w="1483" w:type="dxa"/>
            <w:tcBorders>
              <w:top w:val="single" w:color="auto" w:sz="4" w:space="0"/>
              <w:left w:val="single" w:color="auto" w:sz="4" w:space="0"/>
              <w:bottom w:val="single" w:color="auto" w:sz="4" w:space="0"/>
              <w:right w:val="single" w:color="auto" w:sz="4" w:space="0"/>
            </w:tcBorders>
            <w:vAlign w:val="center"/>
          </w:tcPr>
          <w:p w14:paraId="3D32C7CD">
            <w:pPr>
              <w:widowControl w:val="0"/>
              <w:adjustRightInd w:val="0"/>
              <w:snapToGrid w:val="0"/>
              <w:spacing w:line="256" w:lineRule="auto"/>
              <w:jc w:val="center"/>
              <w:rPr>
                <w:b w:val="0"/>
                <w:bCs w:val="0"/>
                <w:kern w:val="21"/>
                <w:highlight w:val="none"/>
                <w:u w:val="none"/>
              </w:rPr>
            </w:pPr>
          </w:p>
        </w:tc>
        <w:tc>
          <w:tcPr>
            <w:tcW w:w="1664" w:type="dxa"/>
            <w:tcBorders>
              <w:top w:val="single" w:color="auto" w:sz="4" w:space="0"/>
              <w:left w:val="single" w:color="auto" w:sz="4" w:space="0"/>
              <w:bottom w:val="single" w:color="auto" w:sz="4" w:space="0"/>
              <w:right w:val="single" w:color="auto" w:sz="4" w:space="0"/>
            </w:tcBorders>
            <w:vAlign w:val="center"/>
          </w:tcPr>
          <w:p w14:paraId="6027D837">
            <w:pPr>
              <w:widowControl w:val="0"/>
              <w:adjustRightInd w:val="0"/>
              <w:snapToGrid w:val="0"/>
              <w:spacing w:line="256" w:lineRule="auto"/>
              <w:jc w:val="center"/>
              <w:rPr>
                <w:b w:val="0"/>
                <w:bCs w:val="0"/>
                <w:kern w:val="21"/>
                <w:highlight w:val="none"/>
                <w:u w:val="none"/>
              </w:rPr>
            </w:pPr>
            <w:r>
              <w:rPr>
                <w:rFonts w:hint="eastAsia"/>
                <w:b w:val="0"/>
                <w:bCs w:val="0"/>
                <w:kern w:val="21"/>
                <w:highlight w:val="none"/>
                <w:u w:val="none"/>
              </w:rPr>
              <w:t>0.1524</w:t>
            </w:r>
            <w:r>
              <w:rPr>
                <w:b w:val="0"/>
                <w:bCs w:val="0"/>
                <w:highlight w:val="none"/>
                <w:u w:val="none"/>
              </w:rPr>
              <w:t>t/a</w:t>
            </w:r>
          </w:p>
        </w:tc>
        <w:tc>
          <w:tcPr>
            <w:tcW w:w="1399" w:type="dxa"/>
            <w:tcBorders>
              <w:top w:val="single" w:color="auto" w:sz="4" w:space="0"/>
              <w:left w:val="single" w:color="auto" w:sz="4" w:space="0"/>
              <w:bottom w:val="single" w:color="auto" w:sz="4" w:space="0"/>
              <w:right w:val="single" w:color="auto" w:sz="8" w:space="0"/>
            </w:tcBorders>
            <w:vAlign w:val="center"/>
          </w:tcPr>
          <w:p w14:paraId="739EA087">
            <w:pPr>
              <w:widowControl w:val="0"/>
              <w:adjustRightInd w:val="0"/>
              <w:snapToGrid w:val="0"/>
              <w:spacing w:line="256" w:lineRule="auto"/>
              <w:jc w:val="center"/>
              <w:rPr>
                <w:b w:val="0"/>
                <w:bCs w:val="0"/>
                <w:kern w:val="21"/>
                <w:highlight w:val="none"/>
                <w:u w:val="none"/>
              </w:rPr>
            </w:pPr>
            <w:r>
              <w:rPr>
                <w:rFonts w:hint="eastAsia"/>
                <w:b w:val="0"/>
                <w:bCs w:val="0"/>
                <w:kern w:val="21"/>
                <w:highlight w:val="none"/>
                <w:u w:val="none"/>
              </w:rPr>
              <w:t>+0.1524</w:t>
            </w:r>
            <w:r>
              <w:rPr>
                <w:b w:val="0"/>
                <w:bCs w:val="0"/>
                <w:highlight w:val="none"/>
                <w:u w:val="none"/>
              </w:rPr>
              <w:t>t/a</w:t>
            </w:r>
          </w:p>
        </w:tc>
      </w:tr>
      <w:tr w14:paraId="4C974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tcBorders>
              <w:top w:val="single" w:color="auto" w:sz="4" w:space="0"/>
              <w:left w:val="single" w:color="auto" w:sz="8" w:space="0"/>
              <w:bottom w:val="single" w:color="auto" w:sz="4" w:space="0"/>
              <w:right w:val="single" w:color="auto" w:sz="4" w:space="0"/>
            </w:tcBorders>
            <w:vAlign w:val="center"/>
          </w:tcPr>
          <w:p w14:paraId="2485C074">
            <w:pPr>
              <w:spacing w:beforeAutospacing="1" w:afterAutospacing="1"/>
              <w:jc w:val="left"/>
              <w:rPr>
                <w:rFonts w:ascii="宋体" w:hAnsi="宋体"/>
                <w:b w:val="0"/>
                <w:bCs w:val="0"/>
                <w:kern w:val="21"/>
                <w:highlight w:val="none"/>
                <w:u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A34D7CA">
            <w:pPr>
              <w:widowControl w:val="0"/>
              <w:adjustRightInd w:val="0"/>
              <w:snapToGrid w:val="0"/>
              <w:spacing w:line="256" w:lineRule="auto"/>
              <w:jc w:val="center"/>
              <w:rPr>
                <w:b w:val="0"/>
                <w:bCs w:val="0"/>
                <w:kern w:val="21"/>
                <w:highlight w:val="none"/>
                <w:u w:val="none"/>
              </w:rPr>
            </w:pPr>
            <w:r>
              <w:rPr>
                <w:b w:val="0"/>
                <w:bCs w:val="0"/>
                <w:highlight w:val="none"/>
                <w:u w:val="none"/>
              </w:rPr>
              <w:t>氨氮</w:t>
            </w:r>
          </w:p>
        </w:tc>
        <w:tc>
          <w:tcPr>
            <w:tcW w:w="1701" w:type="dxa"/>
            <w:tcBorders>
              <w:top w:val="single" w:color="auto" w:sz="4" w:space="0"/>
              <w:left w:val="single" w:color="auto" w:sz="4" w:space="0"/>
              <w:bottom w:val="single" w:color="auto" w:sz="4" w:space="0"/>
              <w:right w:val="single" w:color="auto" w:sz="4" w:space="0"/>
            </w:tcBorders>
            <w:vAlign w:val="center"/>
          </w:tcPr>
          <w:p w14:paraId="18473C53">
            <w:pPr>
              <w:widowControl w:val="0"/>
              <w:adjustRightInd w:val="0"/>
              <w:snapToGrid w:val="0"/>
              <w:spacing w:line="256" w:lineRule="auto"/>
              <w:jc w:val="center"/>
              <w:rPr>
                <w:b w:val="0"/>
                <w:bCs w:val="0"/>
                <w:kern w:val="21"/>
                <w:highlight w:val="none"/>
                <w:u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FE1EAC1">
            <w:pPr>
              <w:widowControl w:val="0"/>
              <w:adjustRightInd w:val="0"/>
              <w:snapToGrid w:val="0"/>
              <w:spacing w:line="256" w:lineRule="auto"/>
              <w:jc w:val="center"/>
              <w:rPr>
                <w:b w:val="0"/>
                <w:bCs w:val="0"/>
                <w:kern w:val="21"/>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8F7ED92">
            <w:pPr>
              <w:widowControl w:val="0"/>
              <w:adjustRightInd w:val="0"/>
              <w:snapToGrid w:val="0"/>
              <w:spacing w:line="256" w:lineRule="auto"/>
              <w:jc w:val="center"/>
              <w:rPr>
                <w:b w:val="0"/>
                <w:bCs w:val="0"/>
                <w:kern w:val="21"/>
                <w:highlight w:val="none"/>
                <w:u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A61AC76">
            <w:pPr>
              <w:widowControl w:val="0"/>
              <w:adjustRightInd w:val="0"/>
              <w:snapToGrid w:val="0"/>
              <w:spacing w:line="256" w:lineRule="auto"/>
              <w:jc w:val="center"/>
              <w:rPr>
                <w:b w:val="0"/>
                <w:bCs w:val="0"/>
                <w:kern w:val="21"/>
                <w:highlight w:val="none"/>
                <w:u w:val="none"/>
              </w:rPr>
            </w:pPr>
            <w:r>
              <w:rPr>
                <w:rFonts w:hint="eastAsia"/>
                <w:b w:val="0"/>
                <w:bCs w:val="0"/>
                <w:highlight w:val="none"/>
                <w:u w:val="none"/>
              </w:rPr>
              <w:t>0.0076</w:t>
            </w:r>
            <w:r>
              <w:rPr>
                <w:b w:val="0"/>
                <w:bCs w:val="0"/>
                <w:highlight w:val="none"/>
                <w:u w:val="none"/>
              </w:rPr>
              <w:t>t/a</w:t>
            </w:r>
          </w:p>
        </w:tc>
        <w:tc>
          <w:tcPr>
            <w:tcW w:w="1483" w:type="dxa"/>
            <w:tcBorders>
              <w:top w:val="single" w:color="auto" w:sz="4" w:space="0"/>
              <w:left w:val="single" w:color="auto" w:sz="4" w:space="0"/>
              <w:bottom w:val="single" w:color="auto" w:sz="4" w:space="0"/>
              <w:right w:val="single" w:color="auto" w:sz="4" w:space="0"/>
            </w:tcBorders>
            <w:vAlign w:val="center"/>
          </w:tcPr>
          <w:p w14:paraId="10223470">
            <w:pPr>
              <w:widowControl w:val="0"/>
              <w:adjustRightInd w:val="0"/>
              <w:snapToGrid w:val="0"/>
              <w:spacing w:line="256" w:lineRule="auto"/>
              <w:jc w:val="center"/>
              <w:rPr>
                <w:b w:val="0"/>
                <w:bCs w:val="0"/>
                <w:kern w:val="21"/>
                <w:highlight w:val="none"/>
                <w:u w:val="none"/>
              </w:rPr>
            </w:pPr>
          </w:p>
        </w:tc>
        <w:tc>
          <w:tcPr>
            <w:tcW w:w="1664" w:type="dxa"/>
            <w:tcBorders>
              <w:top w:val="single" w:color="auto" w:sz="4" w:space="0"/>
              <w:left w:val="single" w:color="auto" w:sz="4" w:space="0"/>
              <w:bottom w:val="single" w:color="auto" w:sz="4" w:space="0"/>
              <w:right w:val="single" w:color="auto" w:sz="4" w:space="0"/>
            </w:tcBorders>
            <w:vAlign w:val="center"/>
          </w:tcPr>
          <w:p w14:paraId="0B42730C">
            <w:pPr>
              <w:widowControl w:val="0"/>
              <w:adjustRightInd w:val="0"/>
              <w:snapToGrid w:val="0"/>
              <w:spacing w:line="256" w:lineRule="auto"/>
              <w:jc w:val="center"/>
              <w:rPr>
                <w:b w:val="0"/>
                <w:bCs w:val="0"/>
                <w:kern w:val="21"/>
                <w:highlight w:val="none"/>
                <w:u w:val="none"/>
              </w:rPr>
            </w:pPr>
            <w:r>
              <w:rPr>
                <w:rFonts w:hint="eastAsia"/>
                <w:b w:val="0"/>
                <w:bCs w:val="0"/>
                <w:highlight w:val="none"/>
                <w:u w:val="none"/>
              </w:rPr>
              <w:t>0.0076</w:t>
            </w:r>
            <w:r>
              <w:rPr>
                <w:b w:val="0"/>
                <w:bCs w:val="0"/>
                <w:highlight w:val="none"/>
                <w:u w:val="none"/>
              </w:rPr>
              <w:t>t/a</w:t>
            </w:r>
          </w:p>
        </w:tc>
        <w:tc>
          <w:tcPr>
            <w:tcW w:w="1399" w:type="dxa"/>
            <w:tcBorders>
              <w:top w:val="single" w:color="auto" w:sz="4" w:space="0"/>
              <w:left w:val="single" w:color="auto" w:sz="4" w:space="0"/>
              <w:bottom w:val="single" w:color="auto" w:sz="4" w:space="0"/>
              <w:right w:val="single" w:color="auto" w:sz="8" w:space="0"/>
            </w:tcBorders>
            <w:vAlign w:val="center"/>
          </w:tcPr>
          <w:p w14:paraId="0F445C58">
            <w:pPr>
              <w:widowControl w:val="0"/>
              <w:adjustRightInd w:val="0"/>
              <w:snapToGrid w:val="0"/>
              <w:spacing w:line="256" w:lineRule="auto"/>
              <w:jc w:val="center"/>
              <w:rPr>
                <w:b w:val="0"/>
                <w:bCs w:val="0"/>
                <w:kern w:val="21"/>
                <w:highlight w:val="none"/>
                <w:u w:val="none"/>
              </w:rPr>
            </w:pPr>
            <w:r>
              <w:rPr>
                <w:rFonts w:hint="eastAsia"/>
                <w:b w:val="0"/>
                <w:bCs w:val="0"/>
                <w:highlight w:val="none"/>
                <w:u w:val="none"/>
              </w:rPr>
              <w:t>+0.0076</w:t>
            </w:r>
            <w:r>
              <w:rPr>
                <w:b w:val="0"/>
                <w:bCs w:val="0"/>
                <w:highlight w:val="none"/>
                <w:u w:val="none"/>
              </w:rPr>
              <w:t>t/a</w:t>
            </w:r>
          </w:p>
        </w:tc>
      </w:tr>
      <w:tr w14:paraId="275F78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restart"/>
            <w:tcBorders>
              <w:top w:val="single" w:color="auto" w:sz="4" w:space="0"/>
              <w:left w:val="single" w:color="auto" w:sz="8" w:space="0"/>
              <w:bottom w:val="single" w:color="auto" w:sz="4" w:space="0"/>
              <w:right w:val="single" w:color="auto" w:sz="4" w:space="0"/>
            </w:tcBorders>
            <w:vAlign w:val="center"/>
          </w:tcPr>
          <w:p w14:paraId="6356DF84">
            <w:pPr>
              <w:widowControl w:val="0"/>
              <w:adjustRightInd w:val="0"/>
              <w:snapToGrid w:val="0"/>
              <w:spacing w:line="256" w:lineRule="auto"/>
              <w:jc w:val="center"/>
              <w:rPr>
                <w:rFonts w:ascii="宋体" w:hAnsi="宋体"/>
                <w:b w:val="0"/>
                <w:bCs w:val="0"/>
                <w:kern w:val="21"/>
                <w:highlight w:val="none"/>
                <w:u w:val="none"/>
              </w:rPr>
            </w:pPr>
            <w:r>
              <w:rPr>
                <w:rFonts w:hint="eastAsia" w:ascii="宋体" w:hAnsi="宋体"/>
                <w:b w:val="0"/>
                <w:bCs w:val="0"/>
                <w:kern w:val="21"/>
                <w:highlight w:val="none"/>
                <w:u w:val="none"/>
              </w:rPr>
              <w:t>一般工业</w:t>
            </w:r>
          </w:p>
          <w:p w14:paraId="16C9B7FA">
            <w:pPr>
              <w:widowControl w:val="0"/>
              <w:adjustRightInd w:val="0"/>
              <w:snapToGrid w:val="0"/>
              <w:spacing w:line="256" w:lineRule="auto"/>
              <w:jc w:val="center"/>
              <w:rPr>
                <w:rFonts w:ascii="宋体" w:hAnsi="宋体"/>
                <w:b w:val="0"/>
                <w:bCs w:val="0"/>
                <w:kern w:val="21"/>
                <w:highlight w:val="none"/>
                <w:u w:val="none"/>
              </w:rPr>
            </w:pPr>
            <w:r>
              <w:rPr>
                <w:rFonts w:hint="eastAsia" w:ascii="宋体" w:hAnsi="宋体"/>
                <w:b w:val="0"/>
                <w:bCs w:val="0"/>
                <w:kern w:val="21"/>
                <w:highlight w:val="none"/>
                <w:u w:val="none"/>
              </w:rPr>
              <w:t>固体废物</w:t>
            </w:r>
          </w:p>
        </w:tc>
        <w:tc>
          <w:tcPr>
            <w:tcW w:w="1417" w:type="dxa"/>
            <w:tcBorders>
              <w:top w:val="single" w:color="auto" w:sz="4" w:space="0"/>
              <w:left w:val="single" w:color="auto" w:sz="4" w:space="0"/>
              <w:bottom w:val="single" w:color="auto" w:sz="4" w:space="0"/>
              <w:right w:val="single" w:color="auto" w:sz="4" w:space="0"/>
            </w:tcBorders>
            <w:vAlign w:val="center"/>
          </w:tcPr>
          <w:p w14:paraId="53A3B04F">
            <w:pPr>
              <w:pStyle w:val="45"/>
              <w:rPr>
                <w:rFonts w:hint="default"/>
                <w:b w:val="0"/>
                <w:bCs w:val="0"/>
                <w:kern w:val="21"/>
                <w:sz w:val="21"/>
                <w:highlight w:val="none"/>
                <w:u w:val="none"/>
              </w:rPr>
            </w:pPr>
            <w:r>
              <w:rPr>
                <w:rFonts w:hint="default"/>
                <w:b w:val="0"/>
                <w:bCs w:val="0"/>
                <w:sz w:val="21"/>
                <w:highlight w:val="none"/>
                <w:u w:val="none"/>
              </w:rPr>
              <w:t>一般废包装</w:t>
            </w:r>
          </w:p>
        </w:tc>
        <w:tc>
          <w:tcPr>
            <w:tcW w:w="1701" w:type="dxa"/>
            <w:tcBorders>
              <w:top w:val="single" w:color="auto" w:sz="4" w:space="0"/>
              <w:left w:val="single" w:color="auto" w:sz="4" w:space="0"/>
              <w:bottom w:val="single" w:color="auto" w:sz="4" w:space="0"/>
              <w:right w:val="single" w:color="auto" w:sz="4" w:space="0"/>
            </w:tcBorders>
            <w:vAlign w:val="center"/>
          </w:tcPr>
          <w:p w14:paraId="49AFB345">
            <w:pPr>
              <w:widowControl w:val="0"/>
              <w:adjustRightInd w:val="0"/>
              <w:snapToGrid w:val="0"/>
              <w:spacing w:line="256" w:lineRule="auto"/>
              <w:jc w:val="center"/>
              <w:rPr>
                <w:b w:val="0"/>
                <w:bCs w:val="0"/>
                <w:kern w:val="21"/>
                <w:highlight w:val="none"/>
                <w:u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47D3F78">
            <w:pPr>
              <w:widowControl w:val="0"/>
              <w:adjustRightInd w:val="0"/>
              <w:snapToGrid w:val="0"/>
              <w:spacing w:line="256" w:lineRule="auto"/>
              <w:jc w:val="center"/>
              <w:rPr>
                <w:b w:val="0"/>
                <w:bCs w:val="0"/>
                <w:kern w:val="21"/>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3F8E3E5">
            <w:pPr>
              <w:widowControl w:val="0"/>
              <w:adjustRightInd w:val="0"/>
              <w:snapToGrid w:val="0"/>
              <w:spacing w:line="256" w:lineRule="auto"/>
              <w:jc w:val="center"/>
              <w:rPr>
                <w:b w:val="0"/>
                <w:bCs w:val="0"/>
                <w:kern w:val="21"/>
                <w:highlight w:val="none"/>
                <w:u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E4B810F">
            <w:pPr>
              <w:pStyle w:val="45"/>
              <w:rPr>
                <w:rFonts w:hint="default"/>
                <w:b w:val="0"/>
                <w:bCs w:val="0"/>
                <w:kern w:val="21"/>
                <w:sz w:val="21"/>
                <w:highlight w:val="none"/>
                <w:u w:val="none"/>
              </w:rPr>
            </w:pPr>
            <w:r>
              <w:rPr>
                <w:rFonts w:hint="default"/>
                <w:b w:val="0"/>
                <w:bCs w:val="0"/>
                <w:sz w:val="21"/>
                <w:highlight w:val="none"/>
                <w:u w:val="none"/>
              </w:rPr>
              <w:t>0.16t/a</w:t>
            </w:r>
          </w:p>
        </w:tc>
        <w:tc>
          <w:tcPr>
            <w:tcW w:w="1483" w:type="dxa"/>
            <w:tcBorders>
              <w:top w:val="single" w:color="auto" w:sz="4" w:space="0"/>
              <w:left w:val="single" w:color="auto" w:sz="4" w:space="0"/>
              <w:bottom w:val="single" w:color="auto" w:sz="4" w:space="0"/>
              <w:right w:val="single" w:color="auto" w:sz="4" w:space="0"/>
            </w:tcBorders>
            <w:vAlign w:val="center"/>
          </w:tcPr>
          <w:p w14:paraId="31A3177C">
            <w:pPr>
              <w:widowControl w:val="0"/>
              <w:adjustRightInd w:val="0"/>
              <w:snapToGrid w:val="0"/>
              <w:spacing w:line="256" w:lineRule="auto"/>
              <w:jc w:val="center"/>
              <w:rPr>
                <w:b w:val="0"/>
                <w:bCs w:val="0"/>
                <w:kern w:val="21"/>
                <w:highlight w:val="none"/>
                <w:u w:val="none"/>
              </w:rPr>
            </w:pPr>
          </w:p>
        </w:tc>
        <w:tc>
          <w:tcPr>
            <w:tcW w:w="1664" w:type="dxa"/>
            <w:tcBorders>
              <w:top w:val="single" w:color="auto" w:sz="4" w:space="0"/>
              <w:left w:val="single" w:color="auto" w:sz="4" w:space="0"/>
              <w:bottom w:val="single" w:color="auto" w:sz="4" w:space="0"/>
              <w:right w:val="single" w:color="auto" w:sz="4" w:space="0"/>
            </w:tcBorders>
            <w:vAlign w:val="center"/>
          </w:tcPr>
          <w:p w14:paraId="58C8AD69">
            <w:pPr>
              <w:pStyle w:val="45"/>
              <w:rPr>
                <w:rFonts w:hint="default"/>
                <w:b w:val="0"/>
                <w:bCs w:val="0"/>
                <w:kern w:val="21"/>
                <w:sz w:val="21"/>
                <w:highlight w:val="none"/>
                <w:u w:val="none"/>
              </w:rPr>
            </w:pPr>
            <w:r>
              <w:rPr>
                <w:rFonts w:hint="default"/>
                <w:b w:val="0"/>
                <w:bCs w:val="0"/>
                <w:sz w:val="21"/>
                <w:highlight w:val="none"/>
                <w:u w:val="none"/>
              </w:rPr>
              <w:t>0.16t/a</w:t>
            </w:r>
          </w:p>
        </w:tc>
        <w:tc>
          <w:tcPr>
            <w:tcW w:w="1399" w:type="dxa"/>
            <w:tcBorders>
              <w:top w:val="single" w:color="auto" w:sz="4" w:space="0"/>
              <w:left w:val="single" w:color="auto" w:sz="4" w:space="0"/>
              <w:bottom w:val="single" w:color="auto" w:sz="4" w:space="0"/>
              <w:right w:val="single" w:color="auto" w:sz="8" w:space="0"/>
            </w:tcBorders>
            <w:vAlign w:val="center"/>
          </w:tcPr>
          <w:p w14:paraId="25B18C48">
            <w:pPr>
              <w:pStyle w:val="45"/>
              <w:rPr>
                <w:rFonts w:hint="default"/>
                <w:b w:val="0"/>
                <w:bCs w:val="0"/>
                <w:kern w:val="21"/>
                <w:sz w:val="21"/>
                <w:highlight w:val="none"/>
                <w:u w:val="none"/>
              </w:rPr>
            </w:pPr>
            <w:r>
              <w:rPr>
                <w:rFonts w:hint="default"/>
                <w:b w:val="0"/>
                <w:bCs w:val="0"/>
                <w:sz w:val="21"/>
                <w:highlight w:val="none"/>
                <w:u w:val="none"/>
              </w:rPr>
              <w:t>+0.16t/a</w:t>
            </w:r>
          </w:p>
        </w:tc>
      </w:tr>
      <w:tr w14:paraId="735A15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tcBorders>
              <w:top w:val="single" w:color="auto" w:sz="4" w:space="0"/>
              <w:left w:val="single" w:color="auto" w:sz="8" w:space="0"/>
              <w:bottom w:val="single" w:color="auto" w:sz="4" w:space="0"/>
              <w:right w:val="single" w:color="auto" w:sz="4" w:space="0"/>
            </w:tcBorders>
            <w:vAlign w:val="center"/>
          </w:tcPr>
          <w:p w14:paraId="14A477FC">
            <w:pPr>
              <w:spacing w:beforeAutospacing="1" w:afterAutospacing="1"/>
              <w:jc w:val="left"/>
              <w:rPr>
                <w:rFonts w:ascii="宋体" w:hAnsi="宋体"/>
                <w:b w:val="0"/>
                <w:bCs w:val="0"/>
                <w:kern w:val="21"/>
                <w:highlight w:val="none"/>
                <w:u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49BC5CF">
            <w:pPr>
              <w:pStyle w:val="45"/>
              <w:rPr>
                <w:rFonts w:hint="default"/>
                <w:b w:val="0"/>
                <w:bCs w:val="0"/>
                <w:kern w:val="21"/>
                <w:sz w:val="21"/>
                <w:highlight w:val="none"/>
                <w:u w:val="none"/>
              </w:rPr>
            </w:pPr>
            <w:r>
              <w:rPr>
                <w:rFonts w:hint="default"/>
                <w:b w:val="0"/>
                <w:bCs w:val="0"/>
                <w:sz w:val="21"/>
                <w:highlight w:val="none"/>
                <w:u w:val="none"/>
              </w:rPr>
              <w:t>废脱硫剂</w:t>
            </w:r>
          </w:p>
        </w:tc>
        <w:tc>
          <w:tcPr>
            <w:tcW w:w="1701" w:type="dxa"/>
            <w:tcBorders>
              <w:top w:val="single" w:color="auto" w:sz="4" w:space="0"/>
              <w:left w:val="single" w:color="auto" w:sz="4" w:space="0"/>
              <w:bottom w:val="single" w:color="auto" w:sz="4" w:space="0"/>
              <w:right w:val="single" w:color="auto" w:sz="4" w:space="0"/>
            </w:tcBorders>
            <w:vAlign w:val="center"/>
          </w:tcPr>
          <w:p w14:paraId="67003FB5">
            <w:pPr>
              <w:widowControl w:val="0"/>
              <w:adjustRightInd w:val="0"/>
              <w:snapToGrid w:val="0"/>
              <w:spacing w:line="256" w:lineRule="auto"/>
              <w:jc w:val="center"/>
              <w:rPr>
                <w:b w:val="0"/>
                <w:bCs w:val="0"/>
                <w:kern w:val="21"/>
                <w:highlight w:val="none"/>
                <w:u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F98F4B9">
            <w:pPr>
              <w:widowControl w:val="0"/>
              <w:adjustRightInd w:val="0"/>
              <w:snapToGrid w:val="0"/>
              <w:spacing w:line="256" w:lineRule="auto"/>
              <w:jc w:val="center"/>
              <w:rPr>
                <w:b w:val="0"/>
                <w:bCs w:val="0"/>
                <w:kern w:val="21"/>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9F11B3F">
            <w:pPr>
              <w:widowControl w:val="0"/>
              <w:adjustRightInd w:val="0"/>
              <w:snapToGrid w:val="0"/>
              <w:spacing w:line="256" w:lineRule="auto"/>
              <w:jc w:val="center"/>
              <w:rPr>
                <w:b w:val="0"/>
                <w:bCs w:val="0"/>
                <w:kern w:val="21"/>
                <w:highlight w:val="none"/>
                <w:u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1AF2903">
            <w:pPr>
              <w:pStyle w:val="45"/>
              <w:rPr>
                <w:rFonts w:hint="default"/>
                <w:b w:val="0"/>
                <w:bCs w:val="0"/>
                <w:kern w:val="21"/>
                <w:sz w:val="21"/>
                <w:highlight w:val="none"/>
                <w:u w:val="none"/>
              </w:rPr>
            </w:pPr>
            <w:r>
              <w:rPr>
                <w:b w:val="0"/>
                <w:bCs w:val="0"/>
                <w:sz w:val="21"/>
                <w:highlight w:val="none"/>
                <w:u w:val="none"/>
              </w:rPr>
              <w:t>9.78</w:t>
            </w:r>
            <w:r>
              <w:rPr>
                <w:rFonts w:hint="default"/>
                <w:b w:val="0"/>
                <w:bCs w:val="0"/>
                <w:sz w:val="21"/>
                <w:highlight w:val="none"/>
                <w:u w:val="none"/>
              </w:rPr>
              <w:t>t/a</w:t>
            </w:r>
          </w:p>
        </w:tc>
        <w:tc>
          <w:tcPr>
            <w:tcW w:w="1483" w:type="dxa"/>
            <w:tcBorders>
              <w:top w:val="single" w:color="auto" w:sz="4" w:space="0"/>
              <w:left w:val="single" w:color="auto" w:sz="4" w:space="0"/>
              <w:bottom w:val="single" w:color="auto" w:sz="4" w:space="0"/>
              <w:right w:val="single" w:color="auto" w:sz="4" w:space="0"/>
            </w:tcBorders>
            <w:vAlign w:val="center"/>
          </w:tcPr>
          <w:p w14:paraId="27C52BF0">
            <w:pPr>
              <w:widowControl w:val="0"/>
              <w:adjustRightInd w:val="0"/>
              <w:snapToGrid w:val="0"/>
              <w:spacing w:line="256" w:lineRule="auto"/>
              <w:jc w:val="center"/>
              <w:rPr>
                <w:b w:val="0"/>
                <w:bCs w:val="0"/>
                <w:kern w:val="21"/>
                <w:highlight w:val="none"/>
                <w:u w:val="none"/>
              </w:rPr>
            </w:pPr>
          </w:p>
        </w:tc>
        <w:tc>
          <w:tcPr>
            <w:tcW w:w="1664" w:type="dxa"/>
            <w:tcBorders>
              <w:top w:val="single" w:color="auto" w:sz="4" w:space="0"/>
              <w:left w:val="single" w:color="auto" w:sz="4" w:space="0"/>
              <w:bottom w:val="single" w:color="auto" w:sz="4" w:space="0"/>
              <w:right w:val="single" w:color="auto" w:sz="4" w:space="0"/>
            </w:tcBorders>
            <w:vAlign w:val="center"/>
          </w:tcPr>
          <w:p w14:paraId="5233537A">
            <w:pPr>
              <w:pStyle w:val="45"/>
              <w:rPr>
                <w:rFonts w:hint="default"/>
                <w:b w:val="0"/>
                <w:bCs w:val="0"/>
                <w:kern w:val="21"/>
                <w:sz w:val="21"/>
                <w:highlight w:val="none"/>
                <w:u w:val="none"/>
              </w:rPr>
            </w:pPr>
            <w:r>
              <w:rPr>
                <w:b w:val="0"/>
                <w:bCs w:val="0"/>
                <w:sz w:val="21"/>
                <w:highlight w:val="none"/>
                <w:u w:val="none"/>
              </w:rPr>
              <w:t>9.78</w:t>
            </w:r>
            <w:r>
              <w:rPr>
                <w:rFonts w:hint="default"/>
                <w:b w:val="0"/>
                <w:bCs w:val="0"/>
                <w:sz w:val="21"/>
                <w:highlight w:val="none"/>
                <w:u w:val="none"/>
              </w:rPr>
              <w:t>t/a</w:t>
            </w:r>
          </w:p>
        </w:tc>
        <w:tc>
          <w:tcPr>
            <w:tcW w:w="1399" w:type="dxa"/>
            <w:tcBorders>
              <w:top w:val="single" w:color="auto" w:sz="4" w:space="0"/>
              <w:left w:val="single" w:color="auto" w:sz="4" w:space="0"/>
              <w:bottom w:val="single" w:color="auto" w:sz="4" w:space="0"/>
              <w:right w:val="single" w:color="auto" w:sz="8" w:space="0"/>
            </w:tcBorders>
            <w:vAlign w:val="center"/>
          </w:tcPr>
          <w:p w14:paraId="16165F7E">
            <w:pPr>
              <w:pStyle w:val="45"/>
              <w:rPr>
                <w:rFonts w:hint="default"/>
                <w:b w:val="0"/>
                <w:bCs w:val="0"/>
                <w:kern w:val="21"/>
                <w:sz w:val="21"/>
                <w:highlight w:val="none"/>
                <w:u w:val="none"/>
              </w:rPr>
            </w:pPr>
            <w:r>
              <w:rPr>
                <w:rFonts w:hint="default"/>
                <w:b w:val="0"/>
                <w:bCs w:val="0"/>
                <w:sz w:val="21"/>
                <w:highlight w:val="none"/>
                <w:u w:val="none"/>
              </w:rPr>
              <w:t>+</w:t>
            </w:r>
            <w:r>
              <w:rPr>
                <w:b w:val="0"/>
                <w:bCs w:val="0"/>
                <w:sz w:val="21"/>
                <w:highlight w:val="none"/>
                <w:u w:val="none"/>
              </w:rPr>
              <w:t>9.78</w:t>
            </w:r>
            <w:r>
              <w:rPr>
                <w:rFonts w:hint="default"/>
                <w:b w:val="0"/>
                <w:bCs w:val="0"/>
                <w:sz w:val="21"/>
                <w:highlight w:val="none"/>
                <w:u w:val="none"/>
              </w:rPr>
              <w:t>t/a</w:t>
            </w:r>
          </w:p>
        </w:tc>
      </w:tr>
      <w:tr w14:paraId="5A58E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tcBorders>
              <w:top w:val="single" w:color="auto" w:sz="4" w:space="0"/>
              <w:left w:val="single" w:color="auto" w:sz="8" w:space="0"/>
              <w:bottom w:val="single" w:color="auto" w:sz="4" w:space="0"/>
              <w:right w:val="single" w:color="auto" w:sz="4" w:space="0"/>
            </w:tcBorders>
            <w:vAlign w:val="center"/>
          </w:tcPr>
          <w:p w14:paraId="61E5867B">
            <w:pPr>
              <w:spacing w:beforeAutospacing="1" w:afterAutospacing="1"/>
              <w:jc w:val="left"/>
              <w:rPr>
                <w:rFonts w:ascii="宋体" w:hAnsi="宋体"/>
                <w:b w:val="0"/>
                <w:bCs w:val="0"/>
                <w:kern w:val="21"/>
                <w:highlight w:val="none"/>
                <w:u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D650DE7">
            <w:pPr>
              <w:pStyle w:val="45"/>
              <w:rPr>
                <w:rFonts w:hint="default"/>
                <w:b w:val="0"/>
                <w:bCs w:val="0"/>
                <w:kern w:val="21"/>
                <w:sz w:val="21"/>
                <w:highlight w:val="none"/>
                <w:u w:val="none"/>
              </w:rPr>
            </w:pPr>
            <w:r>
              <w:rPr>
                <w:rFonts w:hint="default"/>
                <w:b w:val="0"/>
                <w:bCs w:val="0"/>
                <w:sz w:val="21"/>
                <w:highlight w:val="none"/>
                <w:u w:val="none"/>
              </w:rPr>
              <w:t>废分子筛</w:t>
            </w:r>
          </w:p>
        </w:tc>
        <w:tc>
          <w:tcPr>
            <w:tcW w:w="1701" w:type="dxa"/>
            <w:tcBorders>
              <w:top w:val="single" w:color="auto" w:sz="4" w:space="0"/>
              <w:left w:val="single" w:color="auto" w:sz="4" w:space="0"/>
              <w:bottom w:val="single" w:color="auto" w:sz="4" w:space="0"/>
              <w:right w:val="single" w:color="auto" w:sz="4" w:space="0"/>
            </w:tcBorders>
            <w:vAlign w:val="center"/>
          </w:tcPr>
          <w:p w14:paraId="68D31C00">
            <w:pPr>
              <w:widowControl w:val="0"/>
              <w:adjustRightInd w:val="0"/>
              <w:snapToGrid w:val="0"/>
              <w:spacing w:line="256" w:lineRule="auto"/>
              <w:jc w:val="center"/>
              <w:rPr>
                <w:b w:val="0"/>
                <w:bCs w:val="0"/>
                <w:kern w:val="21"/>
                <w:highlight w:val="none"/>
                <w:u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5E617FA">
            <w:pPr>
              <w:widowControl w:val="0"/>
              <w:adjustRightInd w:val="0"/>
              <w:snapToGrid w:val="0"/>
              <w:spacing w:line="256" w:lineRule="auto"/>
              <w:jc w:val="center"/>
              <w:rPr>
                <w:b w:val="0"/>
                <w:bCs w:val="0"/>
                <w:kern w:val="21"/>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7327B7A">
            <w:pPr>
              <w:widowControl w:val="0"/>
              <w:adjustRightInd w:val="0"/>
              <w:snapToGrid w:val="0"/>
              <w:spacing w:line="256" w:lineRule="auto"/>
              <w:jc w:val="center"/>
              <w:rPr>
                <w:b w:val="0"/>
                <w:bCs w:val="0"/>
                <w:kern w:val="21"/>
                <w:highlight w:val="none"/>
                <w:u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16B7F73A">
            <w:pPr>
              <w:pStyle w:val="45"/>
              <w:rPr>
                <w:rFonts w:hint="default"/>
                <w:b w:val="0"/>
                <w:bCs w:val="0"/>
                <w:kern w:val="21"/>
                <w:sz w:val="21"/>
                <w:highlight w:val="none"/>
                <w:u w:val="none"/>
              </w:rPr>
            </w:pPr>
            <w:r>
              <w:rPr>
                <w:rFonts w:hint="default"/>
                <w:b w:val="0"/>
                <w:bCs w:val="0"/>
                <w:sz w:val="21"/>
                <w:highlight w:val="none"/>
                <w:u w:val="none"/>
              </w:rPr>
              <w:t>1</w:t>
            </w:r>
            <w:r>
              <w:rPr>
                <w:b w:val="0"/>
                <w:bCs w:val="0"/>
                <w:sz w:val="21"/>
                <w:highlight w:val="none"/>
                <w:u w:val="none"/>
              </w:rPr>
              <w:t>0</w:t>
            </w:r>
            <w:r>
              <w:rPr>
                <w:rFonts w:hint="default"/>
                <w:b w:val="0"/>
                <w:bCs w:val="0"/>
                <w:sz w:val="21"/>
                <w:highlight w:val="none"/>
                <w:u w:val="none"/>
              </w:rPr>
              <w:t>t/5a</w:t>
            </w:r>
          </w:p>
        </w:tc>
        <w:tc>
          <w:tcPr>
            <w:tcW w:w="1483" w:type="dxa"/>
            <w:tcBorders>
              <w:top w:val="single" w:color="auto" w:sz="4" w:space="0"/>
              <w:left w:val="single" w:color="auto" w:sz="4" w:space="0"/>
              <w:bottom w:val="single" w:color="auto" w:sz="4" w:space="0"/>
              <w:right w:val="single" w:color="auto" w:sz="4" w:space="0"/>
            </w:tcBorders>
            <w:vAlign w:val="center"/>
          </w:tcPr>
          <w:p w14:paraId="2A9421DF">
            <w:pPr>
              <w:widowControl w:val="0"/>
              <w:adjustRightInd w:val="0"/>
              <w:snapToGrid w:val="0"/>
              <w:spacing w:line="256" w:lineRule="auto"/>
              <w:jc w:val="center"/>
              <w:rPr>
                <w:b w:val="0"/>
                <w:bCs w:val="0"/>
                <w:kern w:val="21"/>
                <w:highlight w:val="none"/>
                <w:u w:val="none"/>
              </w:rPr>
            </w:pPr>
          </w:p>
        </w:tc>
        <w:tc>
          <w:tcPr>
            <w:tcW w:w="1664" w:type="dxa"/>
            <w:tcBorders>
              <w:top w:val="single" w:color="auto" w:sz="4" w:space="0"/>
              <w:left w:val="single" w:color="auto" w:sz="4" w:space="0"/>
              <w:bottom w:val="single" w:color="auto" w:sz="4" w:space="0"/>
              <w:right w:val="single" w:color="auto" w:sz="4" w:space="0"/>
            </w:tcBorders>
            <w:vAlign w:val="center"/>
          </w:tcPr>
          <w:p w14:paraId="0FE42B86">
            <w:pPr>
              <w:pStyle w:val="45"/>
              <w:rPr>
                <w:rFonts w:hint="default"/>
                <w:b w:val="0"/>
                <w:bCs w:val="0"/>
                <w:kern w:val="21"/>
                <w:sz w:val="21"/>
                <w:highlight w:val="none"/>
                <w:u w:val="none"/>
              </w:rPr>
            </w:pPr>
            <w:r>
              <w:rPr>
                <w:rFonts w:hint="default"/>
                <w:b w:val="0"/>
                <w:bCs w:val="0"/>
                <w:sz w:val="21"/>
                <w:highlight w:val="none"/>
                <w:u w:val="none"/>
              </w:rPr>
              <w:t>1</w:t>
            </w:r>
            <w:r>
              <w:rPr>
                <w:b w:val="0"/>
                <w:bCs w:val="0"/>
                <w:sz w:val="21"/>
                <w:highlight w:val="none"/>
                <w:u w:val="none"/>
              </w:rPr>
              <w:t>0</w:t>
            </w:r>
            <w:r>
              <w:rPr>
                <w:rFonts w:hint="default"/>
                <w:b w:val="0"/>
                <w:bCs w:val="0"/>
                <w:sz w:val="21"/>
                <w:highlight w:val="none"/>
                <w:u w:val="none"/>
              </w:rPr>
              <w:t>t/5a</w:t>
            </w:r>
          </w:p>
        </w:tc>
        <w:tc>
          <w:tcPr>
            <w:tcW w:w="1399" w:type="dxa"/>
            <w:tcBorders>
              <w:top w:val="single" w:color="auto" w:sz="4" w:space="0"/>
              <w:left w:val="single" w:color="auto" w:sz="4" w:space="0"/>
              <w:bottom w:val="single" w:color="auto" w:sz="4" w:space="0"/>
              <w:right w:val="single" w:color="auto" w:sz="8" w:space="0"/>
            </w:tcBorders>
            <w:vAlign w:val="center"/>
          </w:tcPr>
          <w:p w14:paraId="3F668068">
            <w:pPr>
              <w:pStyle w:val="45"/>
              <w:rPr>
                <w:rFonts w:hint="default"/>
                <w:b w:val="0"/>
                <w:bCs w:val="0"/>
                <w:kern w:val="21"/>
                <w:sz w:val="21"/>
                <w:highlight w:val="none"/>
                <w:u w:val="none"/>
              </w:rPr>
            </w:pPr>
            <w:r>
              <w:rPr>
                <w:rFonts w:hint="default"/>
                <w:b w:val="0"/>
                <w:bCs w:val="0"/>
                <w:sz w:val="21"/>
                <w:highlight w:val="none"/>
                <w:u w:val="none"/>
              </w:rPr>
              <w:t>+1</w:t>
            </w:r>
            <w:r>
              <w:rPr>
                <w:b w:val="0"/>
                <w:bCs w:val="0"/>
                <w:sz w:val="21"/>
                <w:highlight w:val="none"/>
                <w:u w:val="none"/>
              </w:rPr>
              <w:t>0</w:t>
            </w:r>
            <w:r>
              <w:rPr>
                <w:rFonts w:hint="default"/>
                <w:b w:val="0"/>
                <w:bCs w:val="0"/>
                <w:sz w:val="21"/>
                <w:highlight w:val="none"/>
                <w:u w:val="none"/>
              </w:rPr>
              <w:t>t/5a</w:t>
            </w:r>
          </w:p>
        </w:tc>
      </w:tr>
      <w:tr w14:paraId="45FC5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restart"/>
            <w:tcBorders>
              <w:top w:val="single" w:color="auto" w:sz="4" w:space="0"/>
              <w:left w:val="single" w:color="auto" w:sz="8" w:space="0"/>
              <w:right w:val="single" w:color="auto" w:sz="4" w:space="0"/>
            </w:tcBorders>
            <w:vAlign w:val="center"/>
          </w:tcPr>
          <w:p w14:paraId="20ED7870">
            <w:pPr>
              <w:widowControl w:val="0"/>
              <w:adjustRightInd w:val="0"/>
              <w:snapToGrid w:val="0"/>
              <w:spacing w:line="256" w:lineRule="auto"/>
              <w:jc w:val="center"/>
              <w:rPr>
                <w:rFonts w:ascii="宋体" w:hAnsi="宋体"/>
                <w:b w:val="0"/>
                <w:bCs w:val="0"/>
                <w:kern w:val="21"/>
                <w:highlight w:val="none"/>
                <w:u w:val="none"/>
              </w:rPr>
            </w:pPr>
            <w:r>
              <w:rPr>
                <w:rFonts w:hint="eastAsia" w:ascii="宋体" w:hAnsi="宋体"/>
                <w:b w:val="0"/>
                <w:bCs w:val="0"/>
                <w:kern w:val="21"/>
                <w:highlight w:val="none"/>
                <w:u w:val="none"/>
              </w:rPr>
              <w:t>危险废物</w:t>
            </w:r>
          </w:p>
        </w:tc>
        <w:tc>
          <w:tcPr>
            <w:tcW w:w="1417" w:type="dxa"/>
            <w:tcBorders>
              <w:top w:val="single" w:color="auto" w:sz="4" w:space="0"/>
              <w:left w:val="single" w:color="auto" w:sz="4" w:space="0"/>
              <w:bottom w:val="single" w:color="auto" w:sz="4" w:space="0"/>
              <w:right w:val="single" w:color="auto" w:sz="4" w:space="0"/>
            </w:tcBorders>
            <w:vAlign w:val="center"/>
          </w:tcPr>
          <w:p w14:paraId="513213B7">
            <w:pPr>
              <w:pStyle w:val="45"/>
              <w:rPr>
                <w:rFonts w:hint="default"/>
                <w:b w:val="0"/>
                <w:bCs w:val="0"/>
                <w:kern w:val="21"/>
                <w:sz w:val="21"/>
                <w:highlight w:val="none"/>
                <w:u w:val="none"/>
              </w:rPr>
            </w:pPr>
            <w:r>
              <w:rPr>
                <w:rFonts w:hint="default"/>
                <w:b w:val="0"/>
                <w:bCs w:val="0"/>
                <w:sz w:val="21"/>
                <w:highlight w:val="none"/>
                <w:u w:val="none"/>
              </w:rPr>
              <w:t>废润滑油</w:t>
            </w:r>
          </w:p>
        </w:tc>
        <w:tc>
          <w:tcPr>
            <w:tcW w:w="1701" w:type="dxa"/>
            <w:tcBorders>
              <w:top w:val="single" w:color="auto" w:sz="4" w:space="0"/>
              <w:left w:val="single" w:color="auto" w:sz="4" w:space="0"/>
              <w:bottom w:val="single" w:color="auto" w:sz="4" w:space="0"/>
              <w:right w:val="single" w:color="auto" w:sz="4" w:space="0"/>
            </w:tcBorders>
            <w:vAlign w:val="center"/>
          </w:tcPr>
          <w:p w14:paraId="092B21B6">
            <w:pPr>
              <w:widowControl w:val="0"/>
              <w:adjustRightInd w:val="0"/>
              <w:snapToGrid w:val="0"/>
              <w:spacing w:line="256" w:lineRule="auto"/>
              <w:jc w:val="center"/>
              <w:rPr>
                <w:b w:val="0"/>
                <w:bCs w:val="0"/>
                <w:kern w:val="21"/>
                <w:highlight w:val="none"/>
                <w:u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6B8E881">
            <w:pPr>
              <w:widowControl w:val="0"/>
              <w:adjustRightInd w:val="0"/>
              <w:snapToGrid w:val="0"/>
              <w:spacing w:line="256" w:lineRule="auto"/>
              <w:jc w:val="center"/>
              <w:rPr>
                <w:b w:val="0"/>
                <w:bCs w:val="0"/>
                <w:kern w:val="21"/>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EBC8F35">
            <w:pPr>
              <w:widowControl w:val="0"/>
              <w:adjustRightInd w:val="0"/>
              <w:snapToGrid w:val="0"/>
              <w:spacing w:line="256" w:lineRule="auto"/>
              <w:jc w:val="center"/>
              <w:rPr>
                <w:b w:val="0"/>
                <w:bCs w:val="0"/>
                <w:kern w:val="21"/>
                <w:highlight w:val="none"/>
                <w:u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2CE9EC5">
            <w:pPr>
              <w:pStyle w:val="45"/>
              <w:rPr>
                <w:rFonts w:hint="default"/>
                <w:b w:val="0"/>
                <w:bCs w:val="0"/>
                <w:kern w:val="21"/>
                <w:sz w:val="21"/>
                <w:highlight w:val="none"/>
                <w:u w:val="none"/>
              </w:rPr>
            </w:pPr>
            <w:r>
              <w:rPr>
                <w:b w:val="0"/>
                <w:bCs w:val="0"/>
                <w:sz w:val="21"/>
                <w:highlight w:val="none"/>
                <w:u w:val="none"/>
              </w:rPr>
              <w:t>0.1</w:t>
            </w:r>
            <w:r>
              <w:rPr>
                <w:rFonts w:hint="default"/>
                <w:b w:val="0"/>
                <w:bCs w:val="0"/>
                <w:sz w:val="21"/>
                <w:highlight w:val="none"/>
                <w:u w:val="none"/>
              </w:rPr>
              <w:t>t/a</w:t>
            </w:r>
          </w:p>
        </w:tc>
        <w:tc>
          <w:tcPr>
            <w:tcW w:w="1483" w:type="dxa"/>
            <w:tcBorders>
              <w:top w:val="single" w:color="auto" w:sz="4" w:space="0"/>
              <w:left w:val="single" w:color="auto" w:sz="4" w:space="0"/>
              <w:bottom w:val="single" w:color="auto" w:sz="4" w:space="0"/>
              <w:right w:val="single" w:color="auto" w:sz="4" w:space="0"/>
            </w:tcBorders>
            <w:vAlign w:val="center"/>
          </w:tcPr>
          <w:p w14:paraId="7BADE672">
            <w:pPr>
              <w:widowControl w:val="0"/>
              <w:adjustRightInd w:val="0"/>
              <w:snapToGrid w:val="0"/>
              <w:spacing w:line="256" w:lineRule="auto"/>
              <w:jc w:val="center"/>
              <w:rPr>
                <w:b w:val="0"/>
                <w:bCs w:val="0"/>
                <w:kern w:val="21"/>
                <w:highlight w:val="none"/>
                <w:u w:val="none"/>
              </w:rPr>
            </w:pPr>
          </w:p>
        </w:tc>
        <w:tc>
          <w:tcPr>
            <w:tcW w:w="1664" w:type="dxa"/>
            <w:tcBorders>
              <w:top w:val="single" w:color="auto" w:sz="4" w:space="0"/>
              <w:left w:val="single" w:color="auto" w:sz="4" w:space="0"/>
              <w:bottom w:val="single" w:color="auto" w:sz="4" w:space="0"/>
              <w:right w:val="single" w:color="auto" w:sz="4" w:space="0"/>
            </w:tcBorders>
            <w:vAlign w:val="center"/>
          </w:tcPr>
          <w:p w14:paraId="596E9F6B">
            <w:pPr>
              <w:pStyle w:val="45"/>
              <w:rPr>
                <w:rFonts w:hint="default"/>
                <w:b w:val="0"/>
                <w:bCs w:val="0"/>
                <w:kern w:val="21"/>
                <w:sz w:val="21"/>
                <w:highlight w:val="none"/>
                <w:u w:val="none"/>
              </w:rPr>
            </w:pPr>
            <w:r>
              <w:rPr>
                <w:b w:val="0"/>
                <w:bCs w:val="0"/>
                <w:sz w:val="21"/>
                <w:highlight w:val="none"/>
                <w:u w:val="none"/>
              </w:rPr>
              <w:t>0.1</w:t>
            </w:r>
            <w:r>
              <w:rPr>
                <w:rFonts w:hint="default"/>
                <w:b w:val="0"/>
                <w:bCs w:val="0"/>
                <w:sz w:val="21"/>
                <w:highlight w:val="none"/>
                <w:u w:val="none"/>
              </w:rPr>
              <w:t>t/a</w:t>
            </w:r>
          </w:p>
        </w:tc>
        <w:tc>
          <w:tcPr>
            <w:tcW w:w="1399" w:type="dxa"/>
            <w:tcBorders>
              <w:top w:val="single" w:color="auto" w:sz="4" w:space="0"/>
              <w:left w:val="single" w:color="auto" w:sz="4" w:space="0"/>
              <w:bottom w:val="single" w:color="auto" w:sz="4" w:space="0"/>
              <w:right w:val="single" w:color="auto" w:sz="8" w:space="0"/>
            </w:tcBorders>
            <w:vAlign w:val="center"/>
          </w:tcPr>
          <w:p w14:paraId="03E6BD64">
            <w:pPr>
              <w:pStyle w:val="45"/>
              <w:rPr>
                <w:rFonts w:hint="default"/>
                <w:b w:val="0"/>
                <w:bCs w:val="0"/>
                <w:kern w:val="21"/>
                <w:sz w:val="21"/>
                <w:highlight w:val="none"/>
                <w:u w:val="none"/>
              </w:rPr>
            </w:pPr>
            <w:r>
              <w:rPr>
                <w:rFonts w:hint="default"/>
                <w:b w:val="0"/>
                <w:bCs w:val="0"/>
                <w:sz w:val="21"/>
                <w:highlight w:val="none"/>
                <w:u w:val="none"/>
              </w:rPr>
              <w:t>+</w:t>
            </w:r>
            <w:r>
              <w:rPr>
                <w:b w:val="0"/>
                <w:bCs w:val="0"/>
                <w:sz w:val="21"/>
                <w:highlight w:val="none"/>
                <w:u w:val="none"/>
              </w:rPr>
              <w:t>0.</w:t>
            </w:r>
            <w:bookmarkStart w:id="1" w:name="_GoBack"/>
            <w:bookmarkEnd w:id="1"/>
            <w:r>
              <w:rPr>
                <w:b w:val="0"/>
                <w:bCs w:val="0"/>
                <w:sz w:val="21"/>
                <w:highlight w:val="none"/>
                <w:u w:val="none"/>
              </w:rPr>
              <w:t>1</w:t>
            </w:r>
            <w:r>
              <w:rPr>
                <w:rFonts w:hint="default"/>
                <w:b w:val="0"/>
                <w:bCs w:val="0"/>
                <w:sz w:val="21"/>
                <w:highlight w:val="none"/>
                <w:u w:val="none"/>
              </w:rPr>
              <w:t>t/a</w:t>
            </w:r>
          </w:p>
        </w:tc>
      </w:tr>
      <w:tr w14:paraId="4E5FD4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88" w:type="dxa"/>
            <w:vMerge w:val="continue"/>
            <w:tcBorders>
              <w:left w:val="single" w:color="auto" w:sz="8" w:space="0"/>
              <w:right w:val="single" w:color="auto" w:sz="4" w:space="0"/>
            </w:tcBorders>
            <w:vAlign w:val="center"/>
          </w:tcPr>
          <w:p w14:paraId="7DF8BC38">
            <w:pPr>
              <w:spacing w:beforeAutospacing="1" w:afterAutospacing="1"/>
              <w:jc w:val="left"/>
              <w:rPr>
                <w:rFonts w:ascii="宋体" w:hAnsi="宋体"/>
                <w:b w:val="0"/>
                <w:bCs w:val="0"/>
                <w:kern w:val="21"/>
                <w:highlight w:val="none"/>
                <w:u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4A59A83B">
            <w:pPr>
              <w:pStyle w:val="45"/>
              <w:rPr>
                <w:rFonts w:hint="default"/>
                <w:b w:val="0"/>
                <w:bCs w:val="0"/>
                <w:kern w:val="21"/>
                <w:sz w:val="21"/>
                <w:highlight w:val="none"/>
                <w:u w:val="none"/>
              </w:rPr>
            </w:pPr>
            <w:r>
              <w:rPr>
                <w:rFonts w:hint="default"/>
                <w:b w:val="0"/>
                <w:bCs w:val="0"/>
                <w:sz w:val="21"/>
                <w:highlight w:val="none"/>
                <w:u w:val="none"/>
              </w:rPr>
              <w:t>废油桶</w:t>
            </w:r>
          </w:p>
        </w:tc>
        <w:tc>
          <w:tcPr>
            <w:tcW w:w="1701" w:type="dxa"/>
            <w:tcBorders>
              <w:top w:val="single" w:color="auto" w:sz="4" w:space="0"/>
              <w:left w:val="single" w:color="auto" w:sz="4" w:space="0"/>
              <w:bottom w:val="single" w:color="auto" w:sz="4" w:space="0"/>
              <w:right w:val="single" w:color="auto" w:sz="4" w:space="0"/>
            </w:tcBorders>
            <w:vAlign w:val="center"/>
          </w:tcPr>
          <w:p w14:paraId="6C97AAE2">
            <w:pPr>
              <w:widowControl w:val="0"/>
              <w:adjustRightInd w:val="0"/>
              <w:snapToGrid w:val="0"/>
              <w:spacing w:line="256" w:lineRule="auto"/>
              <w:jc w:val="center"/>
              <w:rPr>
                <w:b w:val="0"/>
                <w:bCs w:val="0"/>
                <w:kern w:val="21"/>
                <w:highlight w:val="none"/>
                <w:u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1839CEF">
            <w:pPr>
              <w:widowControl w:val="0"/>
              <w:adjustRightInd w:val="0"/>
              <w:snapToGrid w:val="0"/>
              <w:spacing w:line="256" w:lineRule="auto"/>
              <w:jc w:val="center"/>
              <w:rPr>
                <w:b w:val="0"/>
                <w:bCs w:val="0"/>
                <w:kern w:val="21"/>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012847FB">
            <w:pPr>
              <w:widowControl w:val="0"/>
              <w:adjustRightInd w:val="0"/>
              <w:snapToGrid w:val="0"/>
              <w:spacing w:line="256" w:lineRule="auto"/>
              <w:jc w:val="center"/>
              <w:rPr>
                <w:b w:val="0"/>
                <w:bCs w:val="0"/>
                <w:kern w:val="21"/>
                <w:highlight w:val="none"/>
                <w:u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15E22C8">
            <w:pPr>
              <w:pStyle w:val="45"/>
              <w:rPr>
                <w:rFonts w:hint="default"/>
                <w:b w:val="0"/>
                <w:bCs w:val="0"/>
                <w:kern w:val="21"/>
                <w:sz w:val="21"/>
                <w:highlight w:val="none"/>
                <w:u w:val="none"/>
              </w:rPr>
            </w:pPr>
            <w:r>
              <w:rPr>
                <w:rFonts w:hint="default"/>
                <w:b w:val="0"/>
                <w:bCs w:val="0"/>
                <w:sz w:val="21"/>
                <w:highlight w:val="none"/>
                <w:u w:val="none"/>
              </w:rPr>
              <w:t>0.016t/a</w:t>
            </w:r>
          </w:p>
        </w:tc>
        <w:tc>
          <w:tcPr>
            <w:tcW w:w="1483" w:type="dxa"/>
            <w:tcBorders>
              <w:top w:val="single" w:color="auto" w:sz="4" w:space="0"/>
              <w:left w:val="single" w:color="auto" w:sz="4" w:space="0"/>
              <w:bottom w:val="single" w:color="auto" w:sz="4" w:space="0"/>
              <w:right w:val="single" w:color="auto" w:sz="4" w:space="0"/>
            </w:tcBorders>
            <w:vAlign w:val="center"/>
          </w:tcPr>
          <w:p w14:paraId="136907C9">
            <w:pPr>
              <w:widowControl w:val="0"/>
              <w:adjustRightInd w:val="0"/>
              <w:snapToGrid w:val="0"/>
              <w:spacing w:line="256" w:lineRule="auto"/>
              <w:jc w:val="center"/>
              <w:rPr>
                <w:b w:val="0"/>
                <w:bCs w:val="0"/>
                <w:kern w:val="21"/>
                <w:highlight w:val="none"/>
                <w:u w:val="none"/>
              </w:rPr>
            </w:pPr>
          </w:p>
        </w:tc>
        <w:tc>
          <w:tcPr>
            <w:tcW w:w="1664" w:type="dxa"/>
            <w:tcBorders>
              <w:top w:val="single" w:color="auto" w:sz="4" w:space="0"/>
              <w:left w:val="single" w:color="auto" w:sz="4" w:space="0"/>
              <w:bottom w:val="single" w:color="auto" w:sz="4" w:space="0"/>
              <w:right w:val="single" w:color="auto" w:sz="4" w:space="0"/>
            </w:tcBorders>
            <w:vAlign w:val="center"/>
          </w:tcPr>
          <w:p w14:paraId="3F5C60AE">
            <w:pPr>
              <w:pStyle w:val="45"/>
              <w:rPr>
                <w:rFonts w:hint="default"/>
                <w:b w:val="0"/>
                <w:bCs w:val="0"/>
                <w:kern w:val="21"/>
                <w:sz w:val="21"/>
                <w:highlight w:val="none"/>
                <w:u w:val="none"/>
              </w:rPr>
            </w:pPr>
            <w:r>
              <w:rPr>
                <w:rFonts w:hint="default"/>
                <w:b w:val="0"/>
                <w:bCs w:val="0"/>
                <w:sz w:val="21"/>
                <w:highlight w:val="none"/>
                <w:u w:val="none"/>
              </w:rPr>
              <w:t>0.016t/a</w:t>
            </w:r>
          </w:p>
        </w:tc>
        <w:tc>
          <w:tcPr>
            <w:tcW w:w="1399" w:type="dxa"/>
            <w:tcBorders>
              <w:top w:val="single" w:color="auto" w:sz="4" w:space="0"/>
              <w:left w:val="single" w:color="auto" w:sz="4" w:space="0"/>
              <w:bottom w:val="single" w:color="auto" w:sz="4" w:space="0"/>
              <w:right w:val="single" w:color="auto" w:sz="8" w:space="0"/>
            </w:tcBorders>
            <w:vAlign w:val="center"/>
          </w:tcPr>
          <w:p w14:paraId="55F5B64F">
            <w:pPr>
              <w:pStyle w:val="45"/>
              <w:rPr>
                <w:rFonts w:hint="default"/>
                <w:b w:val="0"/>
                <w:bCs w:val="0"/>
                <w:kern w:val="21"/>
                <w:sz w:val="21"/>
                <w:highlight w:val="none"/>
                <w:u w:val="none"/>
              </w:rPr>
            </w:pPr>
            <w:r>
              <w:rPr>
                <w:rFonts w:hint="default"/>
                <w:b w:val="0"/>
                <w:bCs w:val="0"/>
                <w:sz w:val="21"/>
                <w:highlight w:val="none"/>
                <w:u w:val="none"/>
              </w:rPr>
              <w:t>+0.016t/a</w:t>
            </w:r>
          </w:p>
        </w:tc>
      </w:tr>
    </w:tbl>
    <w:p w14:paraId="4D6C2B54">
      <w:pPr>
        <w:widowControl w:val="0"/>
        <w:adjustRightInd w:val="0"/>
        <w:snapToGrid w:val="0"/>
        <w:spacing w:before="265" w:beforeLines="80" w:after="33" w:afterLines="10" w:line="256" w:lineRule="auto"/>
        <w:ind w:firstLine="480"/>
        <w:jc w:val="left"/>
        <w:rPr>
          <w:b w:val="0"/>
          <w:bCs w:val="0"/>
          <w:highlight w:val="none"/>
          <w:u w:val="none"/>
        </w:rPr>
      </w:pPr>
      <w:r>
        <w:rPr>
          <w:rFonts w:hint="eastAsia" w:ascii="宋体" w:hAnsi="宋体" w:cs="宋体"/>
          <w:b w:val="0"/>
          <w:bCs w:val="0"/>
          <w:kern w:val="21"/>
          <w:highlight w:val="none"/>
          <w:u w:val="none"/>
        </w:rPr>
        <w:t>注：</w:t>
      </w:r>
      <w:r>
        <w:rPr>
          <w:rFonts w:hint="eastAsia" w:ascii="宋体" w:hAnsi="宋体" w:cs="宋体"/>
          <w:b w:val="0"/>
          <w:bCs w:val="0"/>
          <w:kern w:val="0"/>
          <w:highlight w:val="none"/>
          <w:u w:val="none"/>
        </w:rPr>
        <w:t>⑥</w:t>
      </w:r>
      <w:r>
        <w:rPr>
          <w:rFonts w:hint="eastAsia" w:ascii="宋体" w:hAnsi="宋体" w:cs="宋体"/>
          <w:b w:val="0"/>
          <w:bCs w:val="0"/>
          <w:spacing w:val="-16"/>
          <w:kern w:val="21"/>
          <w:highlight w:val="none"/>
          <w:u w:val="none"/>
        </w:rPr>
        <w:t>=</w:t>
      </w:r>
      <w:r>
        <w:rPr>
          <w:rFonts w:hint="eastAsia" w:ascii="宋体" w:hAnsi="宋体" w:cs="宋体"/>
          <w:b w:val="0"/>
          <w:bCs w:val="0"/>
          <w:kern w:val="0"/>
          <w:highlight w:val="none"/>
          <w:u w:val="none"/>
        </w:rPr>
        <w:t>①</w:t>
      </w:r>
      <w:r>
        <w:rPr>
          <w:rFonts w:hint="eastAsia" w:ascii="宋体" w:hAnsi="宋体" w:cs="宋体"/>
          <w:b w:val="0"/>
          <w:bCs w:val="0"/>
          <w:spacing w:val="-6"/>
          <w:kern w:val="21"/>
          <w:highlight w:val="none"/>
          <w:u w:val="none"/>
        </w:rPr>
        <w:t>+</w:t>
      </w:r>
      <w:r>
        <w:rPr>
          <w:rFonts w:hint="eastAsia" w:ascii="宋体" w:hAnsi="宋体" w:cs="宋体"/>
          <w:b w:val="0"/>
          <w:bCs w:val="0"/>
          <w:kern w:val="0"/>
          <w:highlight w:val="none"/>
          <w:u w:val="none"/>
        </w:rPr>
        <w:t>③</w:t>
      </w:r>
      <w:r>
        <w:rPr>
          <w:rFonts w:hint="eastAsia" w:ascii="宋体" w:hAnsi="宋体" w:cs="宋体"/>
          <w:b w:val="0"/>
          <w:bCs w:val="0"/>
          <w:spacing w:val="-6"/>
          <w:kern w:val="21"/>
          <w:highlight w:val="none"/>
          <w:u w:val="none"/>
        </w:rPr>
        <w:t>+</w:t>
      </w:r>
      <w:r>
        <w:rPr>
          <w:rFonts w:hint="eastAsia" w:ascii="宋体" w:hAnsi="宋体" w:cs="宋体"/>
          <w:b w:val="0"/>
          <w:bCs w:val="0"/>
          <w:kern w:val="0"/>
          <w:highlight w:val="none"/>
          <w:u w:val="none"/>
        </w:rPr>
        <w:t>④</w:t>
      </w:r>
      <w:r>
        <w:rPr>
          <w:rFonts w:hint="eastAsia" w:ascii="宋体" w:hAnsi="宋体" w:cs="宋体"/>
          <w:b w:val="0"/>
          <w:bCs w:val="0"/>
          <w:spacing w:val="-6"/>
          <w:kern w:val="21"/>
          <w:highlight w:val="none"/>
          <w:u w:val="none"/>
        </w:rPr>
        <w:t>-</w:t>
      </w:r>
      <w:r>
        <w:rPr>
          <w:rFonts w:hint="eastAsia" w:ascii="宋体" w:hAnsi="宋体" w:cs="宋体"/>
          <w:b w:val="0"/>
          <w:bCs w:val="0"/>
          <w:kern w:val="0"/>
          <w:highlight w:val="none"/>
          <w:u w:val="none"/>
        </w:rPr>
        <w:t>⑤</w:t>
      </w:r>
      <w:r>
        <w:rPr>
          <w:rFonts w:hint="eastAsia" w:ascii="宋体" w:hAnsi="宋体" w:cs="宋体"/>
          <w:b w:val="0"/>
          <w:bCs w:val="0"/>
          <w:spacing w:val="-16"/>
          <w:kern w:val="21"/>
          <w:highlight w:val="none"/>
          <w:u w:val="none"/>
        </w:rPr>
        <w:t>；</w:t>
      </w:r>
      <w:r>
        <w:rPr>
          <w:rFonts w:hint="eastAsia" w:ascii="宋体" w:hAnsi="宋体" w:cs="宋体"/>
          <w:b w:val="0"/>
          <w:bCs w:val="0"/>
          <w:kern w:val="0"/>
          <w:highlight w:val="none"/>
          <w:u w:val="none"/>
        </w:rPr>
        <w:t>⑦</w:t>
      </w:r>
      <w:r>
        <w:rPr>
          <w:rFonts w:hint="eastAsia" w:ascii="宋体" w:hAnsi="宋体" w:cs="宋体"/>
          <w:b w:val="0"/>
          <w:bCs w:val="0"/>
          <w:spacing w:val="-6"/>
          <w:kern w:val="21"/>
          <w:highlight w:val="none"/>
          <w:u w:val="none"/>
        </w:rPr>
        <w:t>=</w:t>
      </w:r>
      <w:r>
        <w:rPr>
          <w:rFonts w:hint="eastAsia" w:ascii="宋体" w:hAnsi="宋体" w:cs="宋体"/>
          <w:b w:val="0"/>
          <w:bCs w:val="0"/>
          <w:kern w:val="0"/>
          <w:highlight w:val="none"/>
          <w:u w:val="none"/>
        </w:rPr>
        <w:t>⑥</w:t>
      </w:r>
      <w:r>
        <w:rPr>
          <w:rFonts w:hint="eastAsia" w:ascii="宋体" w:hAnsi="宋体" w:cs="宋体"/>
          <w:b w:val="0"/>
          <w:bCs w:val="0"/>
          <w:spacing w:val="-16"/>
          <w:kern w:val="21"/>
          <w:highlight w:val="none"/>
          <w:u w:val="none"/>
        </w:rPr>
        <w:t>-</w:t>
      </w:r>
      <w:r>
        <w:rPr>
          <w:rFonts w:hint="eastAsia" w:ascii="宋体" w:hAnsi="宋体" w:cs="宋体"/>
          <w:b w:val="0"/>
          <w:bCs w:val="0"/>
          <w:kern w:val="0"/>
          <w:highlight w:val="none"/>
          <w:u w:val="none"/>
        </w:rPr>
        <w:t>①</w:t>
      </w:r>
    </w:p>
    <w:sectPr>
      <w:pgSz w:w="16838" w:h="11906" w:orient="landscape"/>
      <w:pgMar w:top="1803" w:right="1440" w:bottom="1803" w:left="1440"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TimesNewRomanPSMT">
    <w:altName w:val="SJQY"/>
    <w:panose1 w:val="00000000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JQY">
    <w:panose1 w:val="02010600030101010101"/>
    <w:charset w:val="86"/>
    <w:family w:val="auto"/>
    <w:pitch w:val="default"/>
    <w:sig w:usb0="00000003" w:usb1="080E0000" w:usb2="00000000"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1738155"/>
    </w:sdtPr>
    <w:sdtContent>
      <w:p w14:paraId="2152811E">
        <w:pPr>
          <w:pStyle w:val="18"/>
          <w:ind w:firstLine="360"/>
          <w:jc w:val="center"/>
        </w:pPr>
        <w:r>
          <w:fldChar w:fldCharType="begin"/>
        </w:r>
        <w:r>
          <w:instrText xml:space="preserve">PAGE   \* MERGEFORMAT</w:instrText>
        </w:r>
        <w:r>
          <w:fldChar w:fldCharType="separate"/>
        </w:r>
        <w:r>
          <w:rPr>
            <w:lang w:val="zh-CN"/>
          </w:rPr>
          <w:t>15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7612880"/>
    </w:sdtPr>
    <w:sdtContent>
      <w:p w14:paraId="50A23DD9">
        <w:pPr>
          <w:pStyle w:val="18"/>
          <w:ind w:firstLine="360"/>
          <w:jc w:val="center"/>
        </w:pPr>
        <w:r>
          <w:fldChar w:fldCharType="begin"/>
        </w:r>
        <w:r>
          <w:instrText xml:space="preserve">PAGE   \* MERGEFORMAT</w:instrText>
        </w:r>
        <w:r>
          <w:fldChar w:fldCharType="separate"/>
        </w:r>
        <w:r>
          <w:rPr>
            <w:lang w:val="zh-CN"/>
          </w:rPr>
          <w:t>33</w:t>
        </w:r>
        <w:r>
          <w:fldChar w:fldCharType="end"/>
        </w:r>
      </w:p>
    </w:sdtContent>
  </w:sdt>
  <w:p w14:paraId="7B2B851F">
    <w:pPr>
      <w:pStyle w:val="1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3C50F">
    <w:pPr>
      <w:pStyle w:val="1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4A9CB"/>
    <w:multiLevelType w:val="multilevel"/>
    <w:tmpl w:val="0F04A9CB"/>
    <w:lvl w:ilvl="0" w:tentative="0">
      <w:start w:val="1"/>
      <w:numFmt w:val="decimal"/>
      <w:lvlText w:val="表%1"/>
      <w:lvlJc w:val="center"/>
      <w:pPr>
        <w:ind w:left="420" w:firstLine="210"/>
      </w:pPr>
      <w:rPr>
        <w:rFonts w:hint="default" w:ascii="Times New Roman" w:hAnsi="Times New Roman" w:eastAsia="黑体"/>
        <w:b w:val="0"/>
        <w:i w:val="0"/>
        <w:color w:val="000000"/>
        <w:sz w:val="21"/>
        <w:szCs w:val="21"/>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329C96"/>
    <w:multiLevelType w:val="multilevel"/>
    <w:tmpl w:val="5C329C96"/>
    <w:lvl w:ilvl="0" w:tentative="0">
      <w:start w:val="1"/>
      <w:numFmt w:val="chineseCounting"/>
      <w:pStyle w:val="3"/>
      <w:suff w:val="nothing"/>
      <w:lvlText w:val="%1、"/>
      <w:lvlJc w:val="left"/>
      <w:pPr>
        <w:tabs>
          <w:tab w:val="left" w:pos="0"/>
        </w:tabs>
        <w:ind w:left="0" w:firstLine="0"/>
      </w:pPr>
      <w:rPr>
        <w:rFonts w:hint="eastAsia" w:ascii="Times New Roman" w:hAnsi="Times New Roman" w:eastAsia="宋体"/>
        <w:b/>
        <w:i w:val="0"/>
        <w:caps w:val="0"/>
        <w:strike w:val="0"/>
        <w:dstrike w:val="0"/>
        <w:vanish w:val="0"/>
        <w:sz w:val="30"/>
        <w:szCs w:val="30"/>
        <w:vertAlign w:val="baseline"/>
      </w:rPr>
    </w:lvl>
    <w:lvl w:ilvl="1" w:tentative="0">
      <w:start w:val="1"/>
      <w:numFmt w:val="decimal"/>
      <w:pStyle w:val="4"/>
      <w:suff w:val="nothing"/>
      <w:lvlText w:val="%2、"/>
      <w:lvlJc w:val="left"/>
      <w:pPr>
        <w:tabs>
          <w:tab w:val="left" w:pos="0"/>
        </w:tabs>
        <w:ind w:left="0" w:firstLine="0"/>
      </w:pPr>
      <w:rPr>
        <w:rFonts w:hint="eastAsia"/>
      </w:rPr>
    </w:lvl>
    <w:lvl w:ilvl="2" w:tentative="0">
      <w:start w:val="1"/>
      <w:numFmt w:val="decimal"/>
      <w:pStyle w:val="6"/>
      <w:suff w:val="nothing"/>
      <w:lvlText w:val="%2.%3 "/>
      <w:lvlJc w:val="left"/>
      <w:pPr>
        <w:tabs>
          <w:tab w:val="left" w:pos="0"/>
        </w:tabs>
        <w:ind w:left="0" w:firstLine="0"/>
      </w:pPr>
      <w:rPr>
        <w:rFonts w:hint="eastAsia" w:ascii="Times New Roman" w:hAnsi="Times New Roman" w:cs="Times New Roman"/>
        <w:sz w:val="21"/>
        <w:szCs w:val="21"/>
      </w:rPr>
    </w:lvl>
    <w:lvl w:ilvl="3" w:tentative="0">
      <w:start w:val="1"/>
      <w:numFmt w:val="decimal"/>
      <w:pStyle w:val="7"/>
      <w:suff w:val="nothing"/>
      <w:lvlText w:val="%2.%3.%4 "/>
      <w:lvlJc w:val="left"/>
      <w:pPr>
        <w:tabs>
          <w:tab w:val="left" w:pos="420"/>
        </w:tabs>
        <w:ind w:left="0" w:firstLine="0"/>
      </w:pPr>
      <w:rPr>
        <w:rFonts w:hint="eastAsia"/>
        <w:sz w:val="21"/>
        <w:szCs w:val="21"/>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
    <w:nsid w:val="5C32E9F3"/>
    <w:multiLevelType w:val="singleLevel"/>
    <w:tmpl w:val="5C32E9F3"/>
    <w:lvl w:ilvl="0" w:tentative="0">
      <w:start w:val="1"/>
      <w:numFmt w:val="decimal"/>
      <w:suff w:val="nothing"/>
      <w:lvlText w:val="（%1）"/>
      <w:lvlJc w:val="left"/>
    </w:lvl>
  </w:abstractNum>
  <w:abstractNum w:abstractNumId="3">
    <w:nsid w:val="75175D95"/>
    <w:multiLevelType w:val="singleLevel"/>
    <w:tmpl w:val="75175D95"/>
    <w:lvl w:ilvl="0" w:tentative="0">
      <w:start w:val="4"/>
      <w:numFmt w:val="decimal"/>
      <w:suff w:val="nothing"/>
      <w:lvlText w:val="（%1）"/>
      <w:lvlJc w:val="left"/>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nforcement="0"/>
  <w:defaultTabStop w:val="420"/>
  <w:drawingGridHorizontalSpacing w:val="120"/>
  <w:drawingGridVerticalSpacing w:val="16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2ZTQwZDkyNzVjNWNhY2MyNmQzN2E2OTAxOTQ2NTcifQ=="/>
    <w:docVar w:name="KSO_WPS_MARK_KEY" w:val="77a72674-c80f-47b5-ae27-bb82dd9ab499"/>
  </w:docVars>
  <w:rsids>
    <w:rsidRoot w:val="00172A27"/>
    <w:rsid w:val="00007E86"/>
    <w:rsid w:val="00026DBC"/>
    <w:rsid w:val="0003143F"/>
    <w:rsid w:val="00033B14"/>
    <w:rsid w:val="00034A51"/>
    <w:rsid w:val="00050B75"/>
    <w:rsid w:val="00056AD2"/>
    <w:rsid w:val="000727E7"/>
    <w:rsid w:val="00075722"/>
    <w:rsid w:val="000758D9"/>
    <w:rsid w:val="00083C2D"/>
    <w:rsid w:val="000876F0"/>
    <w:rsid w:val="00090A81"/>
    <w:rsid w:val="000A690F"/>
    <w:rsid w:val="000C6FE0"/>
    <w:rsid w:val="000D09F2"/>
    <w:rsid w:val="000F44C7"/>
    <w:rsid w:val="00145467"/>
    <w:rsid w:val="0017021B"/>
    <w:rsid w:val="00172A27"/>
    <w:rsid w:val="00180594"/>
    <w:rsid w:val="001963E2"/>
    <w:rsid w:val="001A6246"/>
    <w:rsid w:val="001C7F88"/>
    <w:rsid w:val="001E5D64"/>
    <w:rsid w:val="002017DA"/>
    <w:rsid w:val="0021493B"/>
    <w:rsid w:val="00216C2E"/>
    <w:rsid w:val="00217088"/>
    <w:rsid w:val="00233237"/>
    <w:rsid w:val="00257744"/>
    <w:rsid w:val="00272CA1"/>
    <w:rsid w:val="0029514A"/>
    <w:rsid w:val="002C441B"/>
    <w:rsid w:val="002D0605"/>
    <w:rsid w:val="002F7720"/>
    <w:rsid w:val="00301599"/>
    <w:rsid w:val="00324ADC"/>
    <w:rsid w:val="00345F7A"/>
    <w:rsid w:val="003502E4"/>
    <w:rsid w:val="0035131D"/>
    <w:rsid w:val="0035500E"/>
    <w:rsid w:val="00386AAF"/>
    <w:rsid w:val="0039036A"/>
    <w:rsid w:val="003C4D39"/>
    <w:rsid w:val="003D036B"/>
    <w:rsid w:val="003D1A48"/>
    <w:rsid w:val="003D7B47"/>
    <w:rsid w:val="003F2918"/>
    <w:rsid w:val="003F5157"/>
    <w:rsid w:val="003F705F"/>
    <w:rsid w:val="004010D6"/>
    <w:rsid w:val="00414682"/>
    <w:rsid w:val="0044296B"/>
    <w:rsid w:val="004657FA"/>
    <w:rsid w:val="004822BF"/>
    <w:rsid w:val="00492A57"/>
    <w:rsid w:val="004953DE"/>
    <w:rsid w:val="004A1195"/>
    <w:rsid w:val="004D5851"/>
    <w:rsid w:val="004E0A9B"/>
    <w:rsid w:val="004E75FD"/>
    <w:rsid w:val="004F1563"/>
    <w:rsid w:val="004F6AE6"/>
    <w:rsid w:val="00516699"/>
    <w:rsid w:val="00523A28"/>
    <w:rsid w:val="00531870"/>
    <w:rsid w:val="005461C4"/>
    <w:rsid w:val="00556721"/>
    <w:rsid w:val="005577CE"/>
    <w:rsid w:val="00560980"/>
    <w:rsid w:val="00567C43"/>
    <w:rsid w:val="00577DFA"/>
    <w:rsid w:val="005904D9"/>
    <w:rsid w:val="00597926"/>
    <w:rsid w:val="005A4D4A"/>
    <w:rsid w:val="005B05FE"/>
    <w:rsid w:val="005C2BFF"/>
    <w:rsid w:val="005D0841"/>
    <w:rsid w:val="005F5781"/>
    <w:rsid w:val="0061141C"/>
    <w:rsid w:val="00652136"/>
    <w:rsid w:val="00682982"/>
    <w:rsid w:val="006B69E8"/>
    <w:rsid w:val="006B7445"/>
    <w:rsid w:val="006D31EA"/>
    <w:rsid w:val="006F37B5"/>
    <w:rsid w:val="007006CC"/>
    <w:rsid w:val="007070F0"/>
    <w:rsid w:val="00711100"/>
    <w:rsid w:val="007174A7"/>
    <w:rsid w:val="00724DC4"/>
    <w:rsid w:val="00754282"/>
    <w:rsid w:val="0076253F"/>
    <w:rsid w:val="00793FA8"/>
    <w:rsid w:val="007A0158"/>
    <w:rsid w:val="007B2BCF"/>
    <w:rsid w:val="007B328A"/>
    <w:rsid w:val="007E695D"/>
    <w:rsid w:val="00804DFC"/>
    <w:rsid w:val="00810F2E"/>
    <w:rsid w:val="00814056"/>
    <w:rsid w:val="008710E6"/>
    <w:rsid w:val="008712CE"/>
    <w:rsid w:val="00872563"/>
    <w:rsid w:val="00892EBB"/>
    <w:rsid w:val="00893482"/>
    <w:rsid w:val="008974D8"/>
    <w:rsid w:val="00897CF9"/>
    <w:rsid w:val="008B1732"/>
    <w:rsid w:val="008E52A8"/>
    <w:rsid w:val="00920EFA"/>
    <w:rsid w:val="009252C7"/>
    <w:rsid w:val="00951FE2"/>
    <w:rsid w:val="009768C7"/>
    <w:rsid w:val="00981AD3"/>
    <w:rsid w:val="009825C4"/>
    <w:rsid w:val="009B1617"/>
    <w:rsid w:val="009C75EF"/>
    <w:rsid w:val="009D1988"/>
    <w:rsid w:val="009F15FA"/>
    <w:rsid w:val="00A101F6"/>
    <w:rsid w:val="00A336ED"/>
    <w:rsid w:val="00A92AE0"/>
    <w:rsid w:val="00AE21F2"/>
    <w:rsid w:val="00AE6E01"/>
    <w:rsid w:val="00AF3BDD"/>
    <w:rsid w:val="00B06A04"/>
    <w:rsid w:val="00B308C4"/>
    <w:rsid w:val="00B4514B"/>
    <w:rsid w:val="00B54DE6"/>
    <w:rsid w:val="00B83E4D"/>
    <w:rsid w:val="00B970AC"/>
    <w:rsid w:val="00BA3ADE"/>
    <w:rsid w:val="00BC3AAB"/>
    <w:rsid w:val="00BD00CF"/>
    <w:rsid w:val="00BE6351"/>
    <w:rsid w:val="00C162BC"/>
    <w:rsid w:val="00C16448"/>
    <w:rsid w:val="00C2794D"/>
    <w:rsid w:val="00C76D80"/>
    <w:rsid w:val="00C84C62"/>
    <w:rsid w:val="00C91527"/>
    <w:rsid w:val="00C94618"/>
    <w:rsid w:val="00C97BB6"/>
    <w:rsid w:val="00CD433D"/>
    <w:rsid w:val="00D1408E"/>
    <w:rsid w:val="00D236BA"/>
    <w:rsid w:val="00D457D5"/>
    <w:rsid w:val="00D54CB0"/>
    <w:rsid w:val="00D803A3"/>
    <w:rsid w:val="00D97F58"/>
    <w:rsid w:val="00E042D6"/>
    <w:rsid w:val="00E32771"/>
    <w:rsid w:val="00E371CF"/>
    <w:rsid w:val="00E41E3A"/>
    <w:rsid w:val="00E66153"/>
    <w:rsid w:val="00E86481"/>
    <w:rsid w:val="00EA6114"/>
    <w:rsid w:val="00EE07F7"/>
    <w:rsid w:val="00F0240B"/>
    <w:rsid w:val="00F0406A"/>
    <w:rsid w:val="00F043D0"/>
    <w:rsid w:val="00F70C42"/>
    <w:rsid w:val="00F77180"/>
    <w:rsid w:val="00F8749B"/>
    <w:rsid w:val="00FE1AFA"/>
    <w:rsid w:val="0112159D"/>
    <w:rsid w:val="01853449"/>
    <w:rsid w:val="01C71945"/>
    <w:rsid w:val="02441AD4"/>
    <w:rsid w:val="02A87B33"/>
    <w:rsid w:val="02E13BB7"/>
    <w:rsid w:val="038235E3"/>
    <w:rsid w:val="04762624"/>
    <w:rsid w:val="059930DC"/>
    <w:rsid w:val="06684E8E"/>
    <w:rsid w:val="06D3561E"/>
    <w:rsid w:val="0781151E"/>
    <w:rsid w:val="07921BE6"/>
    <w:rsid w:val="07CA1040"/>
    <w:rsid w:val="08270580"/>
    <w:rsid w:val="08BE79E6"/>
    <w:rsid w:val="08C133A1"/>
    <w:rsid w:val="0A202D39"/>
    <w:rsid w:val="0A260937"/>
    <w:rsid w:val="0B002AAE"/>
    <w:rsid w:val="0BA37CB5"/>
    <w:rsid w:val="0BB377CC"/>
    <w:rsid w:val="0BDF0E7F"/>
    <w:rsid w:val="0C515496"/>
    <w:rsid w:val="0D0B3D64"/>
    <w:rsid w:val="0DBC0BBA"/>
    <w:rsid w:val="0E5114A4"/>
    <w:rsid w:val="0EFB1BB6"/>
    <w:rsid w:val="0F3C7DAF"/>
    <w:rsid w:val="0F7C3D8C"/>
    <w:rsid w:val="0FAA639E"/>
    <w:rsid w:val="0FB66A6C"/>
    <w:rsid w:val="10E10857"/>
    <w:rsid w:val="10F2181D"/>
    <w:rsid w:val="11317C83"/>
    <w:rsid w:val="11632389"/>
    <w:rsid w:val="11835E36"/>
    <w:rsid w:val="12192A7F"/>
    <w:rsid w:val="1245482F"/>
    <w:rsid w:val="132E0024"/>
    <w:rsid w:val="13750189"/>
    <w:rsid w:val="13A3042F"/>
    <w:rsid w:val="144D3518"/>
    <w:rsid w:val="14B300D7"/>
    <w:rsid w:val="15520056"/>
    <w:rsid w:val="156C1AB3"/>
    <w:rsid w:val="159C11FE"/>
    <w:rsid w:val="16225C7A"/>
    <w:rsid w:val="164F35CD"/>
    <w:rsid w:val="16BA70B1"/>
    <w:rsid w:val="16DC22CD"/>
    <w:rsid w:val="176B0A5D"/>
    <w:rsid w:val="18123F2E"/>
    <w:rsid w:val="18A16CFD"/>
    <w:rsid w:val="198F7852"/>
    <w:rsid w:val="1990114D"/>
    <w:rsid w:val="19F45B80"/>
    <w:rsid w:val="1A1C5953"/>
    <w:rsid w:val="1A2B77F4"/>
    <w:rsid w:val="1A372AFB"/>
    <w:rsid w:val="1A911621"/>
    <w:rsid w:val="1CB63323"/>
    <w:rsid w:val="1E162569"/>
    <w:rsid w:val="1E6D7CAF"/>
    <w:rsid w:val="1EC41FC5"/>
    <w:rsid w:val="200C3540"/>
    <w:rsid w:val="201C198C"/>
    <w:rsid w:val="20322F5E"/>
    <w:rsid w:val="20384A18"/>
    <w:rsid w:val="20E06E5E"/>
    <w:rsid w:val="211801D7"/>
    <w:rsid w:val="212F026A"/>
    <w:rsid w:val="21C51DFB"/>
    <w:rsid w:val="21D27357"/>
    <w:rsid w:val="228F009A"/>
    <w:rsid w:val="229736FB"/>
    <w:rsid w:val="23161D35"/>
    <w:rsid w:val="23727CD2"/>
    <w:rsid w:val="23775858"/>
    <w:rsid w:val="23812232"/>
    <w:rsid w:val="23C640E9"/>
    <w:rsid w:val="23DC1F52"/>
    <w:rsid w:val="23EB1DA2"/>
    <w:rsid w:val="24A07B63"/>
    <w:rsid w:val="25906497"/>
    <w:rsid w:val="25F7301A"/>
    <w:rsid w:val="26170C2C"/>
    <w:rsid w:val="261F3F85"/>
    <w:rsid w:val="26312402"/>
    <w:rsid w:val="276C4FA7"/>
    <w:rsid w:val="27C04AC9"/>
    <w:rsid w:val="27C22144"/>
    <w:rsid w:val="27E42766"/>
    <w:rsid w:val="28473AEC"/>
    <w:rsid w:val="28B41242"/>
    <w:rsid w:val="28BA1A75"/>
    <w:rsid w:val="293D1021"/>
    <w:rsid w:val="2A73489F"/>
    <w:rsid w:val="2BFC19BA"/>
    <w:rsid w:val="2D12214D"/>
    <w:rsid w:val="2D183BC6"/>
    <w:rsid w:val="2D271E2B"/>
    <w:rsid w:val="2E4B194B"/>
    <w:rsid w:val="2ECC027F"/>
    <w:rsid w:val="2F122B8F"/>
    <w:rsid w:val="2FA11332"/>
    <w:rsid w:val="301B0C76"/>
    <w:rsid w:val="303074BA"/>
    <w:rsid w:val="310F47D5"/>
    <w:rsid w:val="32326DEE"/>
    <w:rsid w:val="323E5792"/>
    <w:rsid w:val="32DB1233"/>
    <w:rsid w:val="33046EA7"/>
    <w:rsid w:val="33385CE9"/>
    <w:rsid w:val="34215506"/>
    <w:rsid w:val="343112BB"/>
    <w:rsid w:val="344057F2"/>
    <w:rsid w:val="350D4529"/>
    <w:rsid w:val="36274EBB"/>
    <w:rsid w:val="373C4996"/>
    <w:rsid w:val="37CE6E6C"/>
    <w:rsid w:val="38390ED6"/>
    <w:rsid w:val="385B7BB3"/>
    <w:rsid w:val="385E32A8"/>
    <w:rsid w:val="38664D9A"/>
    <w:rsid w:val="394948BD"/>
    <w:rsid w:val="396855CA"/>
    <w:rsid w:val="39A079F0"/>
    <w:rsid w:val="3A4F0F00"/>
    <w:rsid w:val="3A6874F0"/>
    <w:rsid w:val="3BD34AE4"/>
    <w:rsid w:val="3C4D57AA"/>
    <w:rsid w:val="3C97266F"/>
    <w:rsid w:val="3DD60F75"/>
    <w:rsid w:val="3DF53AF1"/>
    <w:rsid w:val="3EF23B8C"/>
    <w:rsid w:val="3F6658BE"/>
    <w:rsid w:val="3FCB338F"/>
    <w:rsid w:val="40104C12"/>
    <w:rsid w:val="402D6F51"/>
    <w:rsid w:val="4086299E"/>
    <w:rsid w:val="41136E8C"/>
    <w:rsid w:val="417C29FF"/>
    <w:rsid w:val="41AE6491"/>
    <w:rsid w:val="43266723"/>
    <w:rsid w:val="444A252C"/>
    <w:rsid w:val="44E63BDF"/>
    <w:rsid w:val="45BD231A"/>
    <w:rsid w:val="46C93D6D"/>
    <w:rsid w:val="46FD74E5"/>
    <w:rsid w:val="481416AD"/>
    <w:rsid w:val="485255F8"/>
    <w:rsid w:val="48FF7EB9"/>
    <w:rsid w:val="490E3814"/>
    <w:rsid w:val="4965605B"/>
    <w:rsid w:val="49B93C25"/>
    <w:rsid w:val="49F40CAE"/>
    <w:rsid w:val="4B50680B"/>
    <w:rsid w:val="4B7324F9"/>
    <w:rsid w:val="4C2C4B82"/>
    <w:rsid w:val="4C8E5578"/>
    <w:rsid w:val="4CC96874"/>
    <w:rsid w:val="4D6E4D26"/>
    <w:rsid w:val="4DC66910"/>
    <w:rsid w:val="4DF01223"/>
    <w:rsid w:val="4EFF657E"/>
    <w:rsid w:val="4FF754A7"/>
    <w:rsid w:val="500B2C17"/>
    <w:rsid w:val="50396DDE"/>
    <w:rsid w:val="510E446D"/>
    <w:rsid w:val="52207F33"/>
    <w:rsid w:val="52CB226A"/>
    <w:rsid w:val="53AD0615"/>
    <w:rsid w:val="53BF6585"/>
    <w:rsid w:val="54146703"/>
    <w:rsid w:val="54646E83"/>
    <w:rsid w:val="547A0454"/>
    <w:rsid w:val="55D41DE6"/>
    <w:rsid w:val="55DD4EA1"/>
    <w:rsid w:val="55FC04AF"/>
    <w:rsid w:val="56625644"/>
    <w:rsid w:val="56CC1CC4"/>
    <w:rsid w:val="56E16569"/>
    <w:rsid w:val="56FE20D2"/>
    <w:rsid w:val="5714338E"/>
    <w:rsid w:val="573D5A44"/>
    <w:rsid w:val="574E7FFF"/>
    <w:rsid w:val="577D21A7"/>
    <w:rsid w:val="578862EC"/>
    <w:rsid w:val="57AA3514"/>
    <w:rsid w:val="58992B9C"/>
    <w:rsid w:val="591E754A"/>
    <w:rsid w:val="59290CF4"/>
    <w:rsid w:val="5ACE5404"/>
    <w:rsid w:val="5AE97247"/>
    <w:rsid w:val="5B0B2487"/>
    <w:rsid w:val="5B254D67"/>
    <w:rsid w:val="5C2E5D82"/>
    <w:rsid w:val="5C8029E7"/>
    <w:rsid w:val="5D390004"/>
    <w:rsid w:val="5D4D7CAD"/>
    <w:rsid w:val="5DFE4C17"/>
    <w:rsid w:val="5E097BC5"/>
    <w:rsid w:val="5E6D6445"/>
    <w:rsid w:val="5FFF5CB2"/>
    <w:rsid w:val="602B7F15"/>
    <w:rsid w:val="60331D42"/>
    <w:rsid w:val="6052563D"/>
    <w:rsid w:val="60A87C3C"/>
    <w:rsid w:val="60B742C4"/>
    <w:rsid w:val="60E035E4"/>
    <w:rsid w:val="612C0D28"/>
    <w:rsid w:val="61A938F5"/>
    <w:rsid w:val="61AD2F36"/>
    <w:rsid w:val="640B2E77"/>
    <w:rsid w:val="64384266"/>
    <w:rsid w:val="648457D0"/>
    <w:rsid w:val="64F2675F"/>
    <w:rsid w:val="655B1BDC"/>
    <w:rsid w:val="65CD190C"/>
    <w:rsid w:val="665D7317"/>
    <w:rsid w:val="66C371CC"/>
    <w:rsid w:val="66E005EB"/>
    <w:rsid w:val="67003C13"/>
    <w:rsid w:val="672C3830"/>
    <w:rsid w:val="675005D4"/>
    <w:rsid w:val="67C63C85"/>
    <w:rsid w:val="67E8230A"/>
    <w:rsid w:val="67EC306F"/>
    <w:rsid w:val="681E34E7"/>
    <w:rsid w:val="68E468A2"/>
    <w:rsid w:val="69BB585C"/>
    <w:rsid w:val="6A104775"/>
    <w:rsid w:val="6AB63C99"/>
    <w:rsid w:val="6B20545A"/>
    <w:rsid w:val="6C144FE2"/>
    <w:rsid w:val="6CDE55CC"/>
    <w:rsid w:val="6D5625CB"/>
    <w:rsid w:val="6D6311D2"/>
    <w:rsid w:val="6D940381"/>
    <w:rsid w:val="6E96475F"/>
    <w:rsid w:val="6FC94CE2"/>
    <w:rsid w:val="704240C4"/>
    <w:rsid w:val="70557007"/>
    <w:rsid w:val="70A97C9F"/>
    <w:rsid w:val="711710AD"/>
    <w:rsid w:val="715921F8"/>
    <w:rsid w:val="71C875E6"/>
    <w:rsid w:val="71D33875"/>
    <w:rsid w:val="72A06584"/>
    <w:rsid w:val="72B701B4"/>
    <w:rsid w:val="73782E1C"/>
    <w:rsid w:val="73C053F4"/>
    <w:rsid w:val="745F6056"/>
    <w:rsid w:val="74EF4649"/>
    <w:rsid w:val="74F811F5"/>
    <w:rsid w:val="751A3BDC"/>
    <w:rsid w:val="75383CE8"/>
    <w:rsid w:val="755C79D6"/>
    <w:rsid w:val="75C30E64"/>
    <w:rsid w:val="75D17C3C"/>
    <w:rsid w:val="76432944"/>
    <w:rsid w:val="76464414"/>
    <w:rsid w:val="77005B29"/>
    <w:rsid w:val="778A1B14"/>
    <w:rsid w:val="77F3337C"/>
    <w:rsid w:val="789D19A4"/>
    <w:rsid w:val="7A1050D6"/>
    <w:rsid w:val="7A5D7ADF"/>
    <w:rsid w:val="7ADE2C3C"/>
    <w:rsid w:val="7B2F6465"/>
    <w:rsid w:val="7B4C6B02"/>
    <w:rsid w:val="7BEB5610"/>
    <w:rsid w:val="7C1F25F2"/>
    <w:rsid w:val="7CC83EA5"/>
    <w:rsid w:val="7D3C25DC"/>
    <w:rsid w:val="7D7F0BF7"/>
    <w:rsid w:val="7DA710D8"/>
    <w:rsid w:val="7E247247"/>
    <w:rsid w:val="7ED82942"/>
    <w:rsid w:val="7EDB755B"/>
    <w:rsid w:val="7F0F696A"/>
    <w:rsid w:val="7FBF303C"/>
    <w:rsid w:val="7FF37189"/>
    <w:rsid w:val="7FF9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nhideWhenUsed="0" w:uiPriority="99" w:semiHidden="0"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6"/>
    <w:autoRedefine/>
    <w:qFormat/>
    <w:uiPriority w:val="9"/>
    <w:pPr>
      <w:keepNext/>
      <w:keepLines/>
      <w:numPr>
        <w:ilvl w:val="0"/>
        <w:numId w:val="1"/>
      </w:numPr>
      <w:tabs>
        <w:tab w:val="left" w:pos="420"/>
        <w:tab w:val="clear" w:pos="0"/>
      </w:tabs>
      <w:jc w:val="center"/>
      <w:outlineLvl w:val="0"/>
    </w:pPr>
    <w:rPr>
      <w:rFonts w:eastAsia="黑体"/>
      <w:kern w:val="44"/>
      <w:sz w:val="30"/>
      <w:szCs w:val="30"/>
    </w:rPr>
  </w:style>
  <w:style w:type="paragraph" w:styleId="4">
    <w:name w:val="heading 2"/>
    <w:basedOn w:val="1"/>
    <w:next w:val="5"/>
    <w:link w:val="37"/>
    <w:autoRedefine/>
    <w:unhideWhenUsed/>
    <w:qFormat/>
    <w:uiPriority w:val="9"/>
    <w:pPr>
      <w:widowControl w:val="0"/>
      <w:numPr>
        <w:ilvl w:val="1"/>
        <w:numId w:val="1"/>
      </w:numPr>
      <w:tabs>
        <w:tab w:val="left" w:pos="420"/>
        <w:tab w:val="clear" w:pos="0"/>
      </w:tabs>
      <w:spacing w:line="360" w:lineRule="auto"/>
      <w:outlineLvl w:val="1"/>
    </w:pPr>
    <w:rPr>
      <w:rFonts w:cstheme="majorBidi"/>
      <w:b/>
      <w:bCs/>
      <w:szCs w:val="32"/>
    </w:rPr>
  </w:style>
  <w:style w:type="paragraph" w:styleId="6">
    <w:name w:val="heading 3"/>
    <w:basedOn w:val="1"/>
    <w:next w:val="5"/>
    <w:link w:val="38"/>
    <w:autoRedefine/>
    <w:unhideWhenUsed/>
    <w:qFormat/>
    <w:uiPriority w:val="9"/>
    <w:pPr>
      <w:widowControl w:val="0"/>
      <w:numPr>
        <w:ilvl w:val="2"/>
        <w:numId w:val="1"/>
      </w:numPr>
      <w:tabs>
        <w:tab w:val="left" w:pos="420"/>
      </w:tabs>
      <w:spacing w:line="360" w:lineRule="auto"/>
      <w:jc w:val="left"/>
      <w:outlineLvl w:val="2"/>
    </w:pPr>
    <w:rPr>
      <w:b/>
    </w:rPr>
  </w:style>
  <w:style w:type="paragraph" w:styleId="7">
    <w:name w:val="heading 4"/>
    <w:basedOn w:val="4"/>
    <w:next w:val="5"/>
    <w:link w:val="39"/>
    <w:autoRedefine/>
    <w:unhideWhenUsed/>
    <w:qFormat/>
    <w:uiPriority w:val="9"/>
    <w:pPr>
      <w:numPr>
        <w:ilvl w:val="3"/>
      </w:numPr>
      <w:jc w:val="left"/>
      <w:outlineLvl w:val="3"/>
    </w:pPr>
    <w:rPr>
      <w:szCs w:val="28"/>
    </w:rPr>
  </w:style>
  <w:style w:type="paragraph" w:styleId="8">
    <w:name w:val="heading 5"/>
    <w:basedOn w:val="1"/>
    <w:next w:val="1"/>
    <w:autoRedefine/>
    <w:unhideWhenUsed/>
    <w:qFormat/>
    <w:uiPriority w:val="9"/>
    <w:pPr>
      <w:keepNext/>
      <w:keepLines/>
      <w:spacing w:before="280" w:after="290" w:line="372" w:lineRule="auto"/>
      <w:outlineLvl w:val="4"/>
    </w:pPr>
    <w:rPr>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macro"/>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lang w:val="en-US" w:eastAsia="zh-CN" w:bidi="ar-SA"/>
    </w:rPr>
  </w:style>
  <w:style w:type="paragraph" w:customStyle="1" w:styleId="5">
    <w:name w:val="正文（表）"/>
    <w:basedOn w:val="1"/>
    <w:link w:val="54"/>
    <w:autoRedefine/>
    <w:qFormat/>
    <w:uiPriority w:val="0"/>
    <w:pPr>
      <w:widowControl w:val="0"/>
      <w:spacing w:line="360" w:lineRule="auto"/>
      <w:ind w:firstLine="420" w:firstLineChars="200"/>
    </w:pPr>
    <w:rPr>
      <w:rFonts w:hint="eastAsia"/>
    </w:rPr>
  </w:style>
  <w:style w:type="paragraph" w:styleId="9">
    <w:name w:val="Normal Indent"/>
    <w:basedOn w:val="1"/>
    <w:autoRedefine/>
    <w:qFormat/>
    <w:uiPriority w:val="0"/>
    <w:rPr>
      <w:sz w:val="28"/>
    </w:rPr>
  </w:style>
  <w:style w:type="paragraph" w:styleId="10">
    <w:name w:val="caption"/>
    <w:basedOn w:val="1"/>
    <w:next w:val="1"/>
    <w:autoRedefine/>
    <w:unhideWhenUsed/>
    <w:qFormat/>
    <w:uiPriority w:val="35"/>
    <w:pPr>
      <w:jc w:val="center"/>
    </w:pPr>
    <w:rPr>
      <w:rFonts w:eastAsia="黑体"/>
      <w:sz w:val="28"/>
    </w:rPr>
  </w:style>
  <w:style w:type="paragraph" w:styleId="11">
    <w:name w:val="annotation text"/>
    <w:basedOn w:val="1"/>
    <w:link w:val="58"/>
    <w:autoRedefine/>
    <w:semiHidden/>
    <w:qFormat/>
    <w:uiPriority w:val="0"/>
    <w:pPr>
      <w:jc w:val="left"/>
    </w:pPr>
    <w:rPr>
      <w:kern w:val="0"/>
      <w:sz w:val="24"/>
      <w:szCs w:val="20"/>
    </w:rPr>
  </w:style>
  <w:style w:type="paragraph" w:styleId="12">
    <w:name w:val="Body Text"/>
    <w:basedOn w:val="1"/>
    <w:next w:val="13"/>
    <w:autoRedefine/>
    <w:qFormat/>
    <w:uiPriority w:val="0"/>
    <w:pPr>
      <w:snapToGrid w:val="0"/>
      <w:spacing w:before="60" w:after="160" w:line="259" w:lineRule="auto"/>
      <w:ind w:right="113"/>
    </w:pPr>
    <w:rPr>
      <w:kern w:val="0"/>
      <w:sz w:val="18"/>
      <w:szCs w:val="20"/>
    </w:rPr>
  </w:style>
  <w:style w:type="paragraph" w:styleId="13">
    <w:name w:val="Body Text 2"/>
    <w:basedOn w:val="1"/>
    <w:qFormat/>
    <w:uiPriority w:val="0"/>
    <w:pPr>
      <w:spacing w:after="120" w:line="480" w:lineRule="auto"/>
    </w:pPr>
  </w:style>
  <w:style w:type="paragraph" w:styleId="14">
    <w:name w:val="Body Text Indent"/>
    <w:basedOn w:val="1"/>
    <w:autoRedefine/>
    <w:qFormat/>
    <w:uiPriority w:val="0"/>
    <w:pPr>
      <w:spacing w:line="360" w:lineRule="auto"/>
      <w:ind w:firstLine="465"/>
    </w:pPr>
    <w:rPr>
      <w:spacing w:val="6"/>
      <w:sz w:val="24"/>
    </w:rPr>
  </w:style>
  <w:style w:type="paragraph" w:styleId="15">
    <w:name w:val="Block Text"/>
    <w:basedOn w:val="1"/>
    <w:next w:val="1"/>
    <w:autoRedefine/>
    <w:unhideWhenUsed/>
    <w:qFormat/>
    <w:uiPriority w:val="99"/>
    <w:pPr>
      <w:snapToGrid w:val="0"/>
      <w:spacing w:line="408" w:lineRule="auto"/>
      <w:ind w:left="-113" w:right="-510" w:firstLine="510"/>
    </w:pPr>
    <w:rPr>
      <w:sz w:val="24"/>
    </w:rPr>
  </w:style>
  <w:style w:type="paragraph" w:styleId="16">
    <w:name w:val="Plain Text"/>
    <w:basedOn w:val="1"/>
    <w:autoRedefine/>
    <w:unhideWhenUsed/>
    <w:qFormat/>
    <w:uiPriority w:val="99"/>
    <w:rPr>
      <w:rFonts w:ascii="宋体" w:hAnsi="Courier New" w:cs="Courier New"/>
    </w:rPr>
  </w:style>
  <w:style w:type="paragraph" w:styleId="17">
    <w:name w:val="Balloon Text"/>
    <w:basedOn w:val="1"/>
    <w:link w:val="60"/>
    <w:autoRedefine/>
    <w:semiHidden/>
    <w:unhideWhenUsed/>
    <w:qFormat/>
    <w:uiPriority w:val="99"/>
    <w:rPr>
      <w:sz w:val="18"/>
      <w:szCs w:val="18"/>
    </w:rPr>
  </w:style>
  <w:style w:type="paragraph" w:styleId="18">
    <w:name w:val="footer"/>
    <w:basedOn w:val="1"/>
    <w:link w:val="43"/>
    <w:autoRedefine/>
    <w:unhideWhenUsed/>
    <w:qFormat/>
    <w:uiPriority w:val="99"/>
    <w:pPr>
      <w:tabs>
        <w:tab w:val="center" w:pos="4153"/>
        <w:tab w:val="right" w:pos="8306"/>
      </w:tabs>
      <w:snapToGrid w:val="0"/>
      <w:jc w:val="left"/>
    </w:pPr>
    <w:rPr>
      <w:sz w:val="18"/>
      <w:szCs w:val="18"/>
    </w:rPr>
  </w:style>
  <w:style w:type="paragraph" w:styleId="19">
    <w:name w:val="header"/>
    <w:basedOn w:val="1"/>
    <w:link w:val="42"/>
    <w:autoRedefine/>
    <w:unhideWhenUsed/>
    <w:qFormat/>
    <w:uiPriority w:val="99"/>
    <w:pPr>
      <w:tabs>
        <w:tab w:val="center" w:pos="4153"/>
        <w:tab w:val="right" w:pos="8306"/>
      </w:tabs>
      <w:snapToGrid w:val="0"/>
      <w:jc w:val="center"/>
    </w:pPr>
    <w:rPr>
      <w:sz w:val="18"/>
      <w:szCs w:val="18"/>
    </w:rPr>
  </w:style>
  <w:style w:type="paragraph" w:styleId="20">
    <w:name w:val="Subtitle"/>
    <w:basedOn w:val="1"/>
    <w:next w:val="1"/>
    <w:link w:val="41"/>
    <w:autoRedefine/>
    <w:qFormat/>
    <w:uiPriority w:val="11"/>
    <w:pPr>
      <w:jc w:val="center"/>
      <w:outlineLvl w:val="1"/>
    </w:pPr>
    <w:rPr>
      <w:rFonts w:eastAsia="楷体_GB2312)" w:asciiTheme="minorHAnsi" w:hAnsiTheme="minorHAnsi" w:cstheme="minorBidi"/>
      <w:bCs/>
      <w:kern w:val="28"/>
      <w:sz w:val="48"/>
      <w:szCs w:val="32"/>
    </w:rPr>
  </w:style>
  <w:style w:type="paragraph" w:styleId="21">
    <w:name w:val="toc 2"/>
    <w:basedOn w:val="1"/>
    <w:next w:val="1"/>
    <w:autoRedefine/>
    <w:qFormat/>
    <w:uiPriority w:val="39"/>
    <w:pPr>
      <w:ind w:left="200"/>
    </w:pPr>
    <w:rPr>
      <w:smallCaps/>
    </w:rPr>
  </w:style>
  <w:style w:type="paragraph" w:styleId="22">
    <w:name w:val="Normal (Web)"/>
    <w:basedOn w:val="1"/>
    <w:autoRedefine/>
    <w:qFormat/>
    <w:uiPriority w:val="0"/>
    <w:pPr>
      <w:spacing w:beforeAutospacing="1" w:afterAutospacing="1"/>
      <w:jc w:val="left"/>
    </w:pPr>
    <w:rPr>
      <w:kern w:val="0"/>
      <w:sz w:val="24"/>
    </w:rPr>
  </w:style>
  <w:style w:type="paragraph" w:styleId="23">
    <w:name w:val="Title"/>
    <w:basedOn w:val="1"/>
    <w:next w:val="1"/>
    <w:link w:val="40"/>
    <w:autoRedefine/>
    <w:qFormat/>
    <w:uiPriority w:val="10"/>
    <w:pPr>
      <w:jc w:val="center"/>
      <w:outlineLvl w:val="0"/>
    </w:pPr>
    <w:rPr>
      <w:rFonts w:eastAsia="方正小标宋_GBK" w:cstheme="majorBidi"/>
      <w:bCs/>
      <w:sz w:val="72"/>
      <w:szCs w:val="32"/>
    </w:rPr>
  </w:style>
  <w:style w:type="paragraph" w:styleId="24">
    <w:name w:val="annotation subject"/>
    <w:basedOn w:val="11"/>
    <w:next w:val="11"/>
    <w:link w:val="59"/>
    <w:autoRedefine/>
    <w:semiHidden/>
    <w:unhideWhenUsed/>
    <w:qFormat/>
    <w:uiPriority w:val="99"/>
    <w:rPr>
      <w:b/>
      <w:bCs/>
      <w:kern w:val="2"/>
      <w:sz w:val="21"/>
      <w:szCs w:val="21"/>
    </w:rPr>
  </w:style>
  <w:style w:type="paragraph" w:styleId="25">
    <w:name w:val="Body Text First Indent"/>
    <w:basedOn w:val="12"/>
    <w:next w:val="26"/>
    <w:qFormat/>
    <w:uiPriority w:val="0"/>
    <w:pPr>
      <w:widowControl w:val="0"/>
      <w:snapToGrid/>
      <w:spacing w:before="0" w:after="120" w:line="240" w:lineRule="auto"/>
      <w:ind w:right="0" w:firstLine="420" w:firstLineChars="100"/>
    </w:pPr>
    <w:rPr>
      <w:kern w:val="2"/>
      <w:sz w:val="21"/>
      <w:szCs w:val="24"/>
    </w:rPr>
  </w:style>
  <w:style w:type="paragraph" w:styleId="26">
    <w:name w:val="Body Text First Indent 2"/>
    <w:basedOn w:val="14"/>
    <w:next w:val="1"/>
    <w:autoRedefine/>
    <w:unhideWhenUsed/>
    <w:qFormat/>
    <w:uiPriority w:val="99"/>
    <w:pPr>
      <w:ind w:firstLine="420" w:firstLineChars="200"/>
    </w:p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rPr>
  </w:style>
  <w:style w:type="character" w:styleId="31">
    <w:name w:val="Emphasis"/>
    <w:basedOn w:val="29"/>
    <w:autoRedefine/>
    <w:qFormat/>
    <w:uiPriority w:val="20"/>
    <w:rPr>
      <w:i/>
    </w:rPr>
  </w:style>
  <w:style w:type="character" w:styleId="32">
    <w:name w:val="Hyperlink"/>
    <w:basedOn w:val="29"/>
    <w:autoRedefine/>
    <w:semiHidden/>
    <w:unhideWhenUsed/>
    <w:qFormat/>
    <w:uiPriority w:val="99"/>
    <w:rPr>
      <w:color w:val="0000FF"/>
      <w:u w:val="single"/>
    </w:rPr>
  </w:style>
  <w:style w:type="character" w:styleId="33">
    <w:name w:val="annotation reference"/>
    <w:basedOn w:val="29"/>
    <w:autoRedefine/>
    <w:semiHidden/>
    <w:qFormat/>
    <w:uiPriority w:val="0"/>
    <w:rPr>
      <w:sz w:val="21"/>
    </w:rPr>
  </w:style>
  <w:style w:type="paragraph" w:customStyle="1" w:styleId="34">
    <w:name w:val="Default"/>
    <w:next w:val="35"/>
    <w:autoRedefine/>
    <w:qFormat/>
    <w:uiPriority w:val="0"/>
    <w:pPr>
      <w:widowControl w:val="0"/>
      <w:autoSpaceDE w:val="0"/>
      <w:autoSpaceDN w:val="0"/>
      <w:adjustRightInd w:val="0"/>
      <w:spacing w:line="460" w:lineRule="exact"/>
      <w:jc w:val="center"/>
    </w:pPr>
    <w:rPr>
      <w:rFonts w:ascii="Times New Roman" w:hAnsi="Times New Roman" w:eastAsia="宋体" w:cs="黑体"/>
      <w:color w:val="000000"/>
      <w:sz w:val="24"/>
      <w:szCs w:val="24"/>
      <w:lang w:val="en-US" w:eastAsia="zh-CN" w:bidi="ar-SA"/>
    </w:rPr>
  </w:style>
  <w:style w:type="paragraph" w:customStyle="1" w:styleId="35">
    <w:name w:val="Char Char Char Char Char Char1 Char Char Char Char"/>
    <w:basedOn w:val="1"/>
    <w:next w:val="1"/>
    <w:autoRedefine/>
    <w:qFormat/>
    <w:uiPriority w:val="0"/>
    <w:pPr>
      <w:widowControl w:val="0"/>
      <w:spacing w:line="360" w:lineRule="auto"/>
      <w:ind w:firstLine="200"/>
    </w:pPr>
  </w:style>
  <w:style w:type="character" w:customStyle="1" w:styleId="36">
    <w:name w:val="标题 1 字符"/>
    <w:basedOn w:val="29"/>
    <w:link w:val="3"/>
    <w:autoRedefine/>
    <w:qFormat/>
    <w:uiPriority w:val="9"/>
    <w:rPr>
      <w:rFonts w:eastAsia="黑体"/>
      <w:color w:val="auto"/>
      <w:kern w:val="44"/>
      <w:sz w:val="30"/>
      <w:szCs w:val="30"/>
    </w:rPr>
  </w:style>
  <w:style w:type="character" w:customStyle="1" w:styleId="37">
    <w:name w:val="标题 2 字符"/>
    <w:basedOn w:val="29"/>
    <w:link w:val="4"/>
    <w:autoRedefine/>
    <w:qFormat/>
    <w:uiPriority w:val="9"/>
    <w:rPr>
      <w:rFonts w:eastAsia="宋体" w:cstheme="majorBidi"/>
      <w:b/>
      <w:bCs/>
      <w:color w:val="auto"/>
      <w:szCs w:val="32"/>
    </w:rPr>
  </w:style>
  <w:style w:type="character" w:customStyle="1" w:styleId="38">
    <w:name w:val="标题 3 字符"/>
    <w:basedOn w:val="29"/>
    <w:link w:val="6"/>
    <w:autoRedefine/>
    <w:qFormat/>
    <w:uiPriority w:val="9"/>
    <w:rPr>
      <w:rFonts w:eastAsia="宋体"/>
      <w:b/>
      <w:bCs/>
      <w:color w:val="auto"/>
      <w:szCs w:val="32"/>
    </w:rPr>
  </w:style>
  <w:style w:type="character" w:customStyle="1" w:styleId="39">
    <w:name w:val="标题 4 字符"/>
    <w:basedOn w:val="29"/>
    <w:link w:val="7"/>
    <w:autoRedefine/>
    <w:qFormat/>
    <w:uiPriority w:val="9"/>
    <w:rPr>
      <w:rFonts w:eastAsia="宋体" w:cstheme="majorBidi"/>
      <w:b/>
      <w:bCs/>
      <w:color w:val="auto"/>
      <w:szCs w:val="28"/>
    </w:rPr>
  </w:style>
  <w:style w:type="character" w:customStyle="1" w:styleId="40">
    <w:name w:val="标题 字符"/>
    <w:basedOn w:val="29"/>
    <w:link w:val="23"/>
    <w:autoRedefine/>
    <w:qFormat/>
    <w:uiPriority w:val="10"/>
    <w:rPr>
      <w:rFonts w:eastAsia="方正小标宋_GBK" w:cstheme="majorBidi"/>
      <w:bCs/>
      <w:color w:val="auto"/>
      <w:sz w:val="72"/>
      <w:szCs w:val="32"/>
    </w:rPr>
  </w:style>
  <w:style w:type="character" w:customStyle="1" w:styleId="41">
    <w:name w:val="副标题 字符"/>
    <w:basedOn w:val="29"/>
    <w:link w:val="20"/>
    <w:autoRedefine/>
    <w:qFormat/>
    <w:uiPriority w:val="11"/>
    <w:rPr>
      <w:rFonts w:eastAsia="楷体_GB2312)" w:asciiTheme="minorHAnsi" w:hAnsiTheme="minorHAnsi" w:cstheme="minorBidi"/>
      <w:bCs/>
      <w:color w:val="auto"/>
      <w:kern w:val="28"/>
      <w:sz w:val="48"/>
      <w:szCs w:val="32"/>
    </w:rPr>
  </w:style>
  <w:style w:type="character" w:customStyle="1" w:styleId="42">
    <w:name w:val="页眉 字符"/>
    <w:basedOn w:val="29"/>
    <w:link w:val="19"/>
    <w:autoRedefine/>
    <w:qFormat/>
    <w:uiPriority w:val="99"/>
    <w:rPr>
      <w:color w:val="auto"/>
      <w:sz w:val="18"/>
      <w:szCs w:val="18"/>
    </w:rPr>
  </w:style>
  <w:style w:type="character" w:customStyle="1" w:styleId="43">
    <w:name w:val="页脚 字符"/>
    <w:basedOn w:val="29"/>
    <w:link w:val="18"/>
    <w:autoRedefine/>
    <w:qFormat/>
    <w:uiPriority w:val="99"/>
    <w:rPr>
      <w:color w:val="auto"/>
      <w:sz w:val="18"/>
      <w:szCs w:val="18"/>
    </w:rPr>
  </w:style>
  <w:style w:type="paragraph" w:customStyle="1" w:styleId="44">
    <w:name w:val="表图注"/>
    <w:basedOn w:val="5"/>
    <w:next w:val="5"/>
    <w:autoRedefine/>
    <w:qFormat/>
    <w:uiPriority w:val="0"/>
    <w:pPr>
      <w:spacing w:line="240" w:lineRule="auto"/>
      <w:ind w:firstLine="0" w:firstLineChars="0"/>
      <w:jc w:val="center"/>
    </w:pPr>
    <w:rPr>
      <w:rFonts w:eastAsia="黑体"/>
      <w:bCs/>
    </w:rPr>
  </w:style>
  <w:style w:type="paragraph" w:customStyle="1" w:styleId="45">
    <w:name w:val="表格内文"/>
    <w:basedOn w:val="5"/>
    <w:next w:val="5"/>
    <w:link w:val="65"/>
    <w:autoRedefine/>
    <w:qFormat/>
    <w:uiPriority w:val="0"/>
    <w:pPr>
      <w:spacing w:line="240" w:lineRule="auto"/>
      <w:ind w:firstLine="0" w:firstLineChars="0"/>
      <w:jc w:val="center"/>
    </w:pPr>
    <w:rPr>
      <w:sz w:val="18"/>
    </w:rPr>
  </w:style>
  <w:style w:type="paragraph" w:customStyle="1" w:styleId="46">
    <w:name w:val="p0"/>
    <w:basedOn w:val="1"/>
    <w:autoRedefine/>
    <w:qFormat/>
    <w:uiPriority w:val="0"/>
    <w:rPr>
      <w:kern w:val="0"/>
    </w:rPr>
  </w:style>
  <w:style w:type="paragraph" w:customStyle="1" w:styleId="47">
    <w:name w:val="报告表正文"/>
    <w:basedOn w:val="1"/>
    <w:autoRedefine/>
    <w:qFormat/>
    <w:uiPriority w:val="0"/>
    <w:pPr>
      <w:adjustRightInd w:val="0"/>
      <w:spacing w:line="312" w:lineRule="auto"/>
      <w:ind w:left="113" w:right="113" w:firstLine="482"/>
      <w:jc w:val="left"/>
      <w:textAlignment w:val="baseline"/>
    </w:pPr>
    <w:rPr>
      <w:kern w:val="0"/>
      <w:sz w:val="24"/>
    </w:rPr>
  </w:style>
  <w:style w:type="paragraph" w:customStyle="1" w:styleId="48">
    <w:name w:val="1报告正文"/>
    <w:autoRedefine/>
    <w:qFormat/>
    <w:uiPriority w:val="0"/>
    <w:pPr>
      <w:spacing w:line="520" w:lineRule="exact"/>
      <w:ind w:firstLine="480" w:firstLineChars="200"/>
      <w:jc w:val="both"/>
    </w:pPr>
    <w:rPr>
      <w:rFonts w:ascii="Times New Roman" w:hAnsi="Times New Roman" w:eastAsia="宋体" w:cs="Times New Roman"/>
      <w:kern w:val="2"/>
      <w:sz w:val="24"/>
      <w:szCs w:val="24"/>
      <w:lang w:val="en-US" w:eastAsia="zh-CN" w:bidi="ar-SA"/>
    </w:rPr>
  </w:style>
  <w:style w:type="character" w:customStyle="1" w:styleId="49">
    <w:name w:val="font21"/>
    <w:basedOn w:val="29"/>
    <w:autoRedefine/>
    <w:qFormat/>
    <w:uiPriority w:val="0"/>
    <w:rPr>
      <w:rFonts w:ascii="Arial" w:hAnsi="Arial" w:cs="Arial"/>
      <w:color w:val="000000"/>
      <w:sz w:val="20"/>
      <w:szCs w:val="20"/>
      <w:u w:val="none"/>
    </w:rPr>
  </w:style>
  <w:style w:type="character" w:customStyle="1" w:styleId="50">
    <w:name w:val="font31"/>
    <w:basedOn w:val="29"/>
    <w:autoRedefine/>
    <w:qFormat/>
    <w:uiPriority w:val="0"/>
    <w:rPr>
      <w:rFonts w:hint="eastAsia" w:ascii="宋体" w:hAnsi="宋体" w:eastAsia="宋体" w:cs="宋体"/>
      <w:color w:val="000000"/>
      <w:sz w:val="20"/>
      <w:szCs w:val="20"/>
      <w:u w:val="none"/>
    </w:rPr>
  </w:style>
  <w:style w:type="paragraph" w:styleId="51">
    <w:name w:val="No Spacing"/>
    <w:next w:val="1"/>
    <w:autoRedefine/>
    <w:qFormat/>
    <w:uiPriority w:val="1"/>
    <w:pPr>
      <w:jc w:val="center"/>
    </w:pPr>
    <w:rPr>
      <w:rFonts w:ascii="Times New Roman" w:hAnsi="Times New Roman" w:eastAsia="宋体" w:cs="Times New Roman"/>
      <w:kern w:val="2"/>
      <w:sz w:val="21"/>
      <w:szCs w:val="24"/>
      <w:lang w:val="en-US" w:eastAsia="zh-CN" w:bidi="ar-SA"/>
    </w:rPr>
  </w:style>
  <w:style w:type="paragraph" w:customStyle="1" w:styleId="52">
    <w:name w:val="Table Paragraph"/>
    <w:basedOn w:val="1"/>
    <w:autoRedefine/>
    <w:qFormat/>
    <w:uiPriority w:val="1"/>
    <w:pPr>
      <w:spacing w:before="40"/>
      <w:jc w:val="center"/>
    </w:pPr>
    <w:rPr>
      <w:rFonts w:ascii="Calibri" w:hAnsi="Calibri" w:eastAsia="Calibri" w:cs="Calibri"/>
      <w:szCs w:val="24"/>
    </w:rPr>
  </w:style>
  <w:style w:type="paragraph" w:customStyle="1" w:styleId="53">
    <w:name w:val="00"/>
    <w:basedOn w:val="1"/>
    <w:next w:val="2"/>
    <w:autoRedefine/>
    <w:qFormat/>
    <w:uiPriority w:val="0"/>
    <w:pPr>
      <w:spacing w:line="520" w:lineRule="exact"/>
      <w:ind w:firstLine="200" w:firstLineChars="200"/>
    </w:pPr>
    <w:rPr>
      <w:rFonts w:ascii="宋体" w:hAnsi="宋体" w:cs="宋体"/>
      <w:sz w:val="24"/>
    </w:rPr>
  </w:style>
  <w:style w:type="character" w:customStyle="1" w:styleId="54">
    <w:name w:val="正文（表） Char"/>
    <w:link w:val="5"/>
    <w:autoRedefine/>
    <w:qFormat/>
    <w:uiPriority w:val="0"/>
    <w:rPr>
      <w:rFonts w:hint="eastAsia"/>
    </w:rPr>
  </w:style>
  <w:style w:type="character" w:customStyle="1" w:styleId="55">
    <w:name w:val="font01"/>
    <w:basedOn w:val="29"/>
    <w:autoRedefine/>
    <w:qFormat/>
    <w:uiPriority w:val="0"/>
    <w:rPr>
      <w:rFonts w:hint="eastAsia" w:ascii="宋体" w:hAnsi="宋体" w:eastAsia="宋体" w:cs="宋体"/>
      <w:color w:val="000000"/>
      <w:sz w:val="22"/>
      <w:szCs w:val="22"/>
      <w:u w:val="none"/>
    </w:rPr>
  </w:style>
  <w:style w:type="character" w:customStyle="1" w:styleId="56">
    <w:name w:val="font11"/>
    <w:basedOn w:val="29"/>
    <w:autoRedefine/>
    <w:qFormat/>
    <w:uiPriority w:val="0"/>
    <w:rPr>
      <w:rFonts w:hint="eastAsia" w:ascii="宋体" w:hAnsi="宋体" w:eastAsia="宋体" w:cs="宋体"/>
      <w:color w:val="000000"/>
      <w:sz w:val="21"/>
      <w:szCs w:val="21"/>
      <w:u w:val="none"/>
    </w:rPr>
  </w:style>
  <w:style w:type="character" w:customStyle="1" w:styleId="57">
    <w:name w:val="font41"/>
    <w:basedOn w:val="29"/>
    <w:autoRedefine/>
    <w:qFormat/>
    <w:uiPriority w:val="0"/>
    <w:rPr>
      <w:rFonts w:hint="default" w:ascii="Times New Roman" w:hAnsi="Times New Roman" w:cs="Times New Roman"/>
      <w:color w:val="000000"/>
      <w:sz w:val="21"/>
      <w:szCs w:val="21"/>
      <w:u w:val="none"/>
      <w:vertAlign w:val="superscript"/>
    </w:rPr>
  </w:style>
  <w:style w:type="character" w:customStyle="1" w:styleId="58">
    <w:name w:val="批注文字 字符"/>
    <w:basedOn w:val="29"/>
    <w:link w:val="11"/>
    <w:autoRedefine/>
    <w:semiHidden/>
    <w:qFormat/>
    <w:uiPriority w:val="0"/>
    <w:rPr>
      <w:sz w:val="24"/>
    </w:rPr>
  </w:style>
  <w:style w:type="character" w:customStyle="1" w:styleId="59">
    <w:name w:val="批注主题 字符"/>
    <w:basedOn w:val="58"/>
    <w:link w:val="24"/>
    <w:autoRedefine/>
    <w:semiHidden/>
    <w:qFormat/>
    <w:uiPriority w:val="99"/>
    <w:rPr>
      <w:b/>
      <w:bCs/>
      <w:kern w:val="2"/>
      <w:sz w:val="21"/>
      <w:szCs w:val="21"/>
    </w:rPr>
  </w:style>
  <w:style w:type="character" w:customStyle="1" w:styleId="60">
    <w:name w:val="批注框文本 字符"/>
    <w:basedOn w:val="29"/>
    <w:link w:val="17"/>
    <w:autoRedefine/>
    <w:semiHidden/>
    <w:qFormat/>
    <w:uiPriority w:val="99"/>
    <w:rPr>
      <w:kern w:val="2"/>
      <w:sz w:val="18"/>
      <w:szCs w:val="18"/>
    </w:rPr>
  </w:style>
  <w:style w:type="character" w:customStyle="1" w:styleId="61">
    <w:name w:val="15"/>
    <w:basedOn w:val="29"/>
    <w:autoRedefine/>
    <w:qFormat/>
    <w:uiPriority w:val="0"/>
    <w:rPr>
      <w:rFonts w:hint="default" w:ascii="Times New Roman" w:hAnsi="Times New Roman" w:cs="Times New Roman"/>
      <w:sz w:val="21"/>
      <w:szCs w:val="21"/>
    </w:rPr>
  </w:style>
  <w:style w:type="character" w:customStyle="1" w:styleId="62">
    <w:name w:val="10"/>
    <w:basedOn w:val="29"/>
    <w:autoRedefine/>
    <w:qFormat/>
    <w:uiPriority w:val="0"/>
    <w:rPr>
      <w:rFonts w:hint="default" w:ascii="Times New Roman" w:hAnsi="Times New Roman" w:cs="Times New Roman"/>
    </w:rPr>
  </w:style>
  <w:style w:type="character" w:customStyle="1" w:styleId="63">
    <w:name w:val="font61"/>
    <w:basedOn w:val="29"/>
    <w:autoRedefine/>
    <w:qFormat/>
    <w:uiPriority w:val="0"/>
    <w:rPr>
      <w:rFonts w:hint="eastAsia" w:ascii="宋体" w:hAnsi="宋体" w:eastAsia="宋体" w:cs="宋体"/>
      <w:color w:val="000000"/>
      <w:sz w:val="18"/>
      <w:szCs w:val="18"/>
      <w:u w:val="none"/>
    </w:rPr>
  </w:style>
  <w:style w:type="character" w:customStyle="1" w:styleId="64">
    <w:name w:val="font71"/>
    <w:basedOn w:val="29"/>
    <w:autoRedefine/>
    <w:qFormat/>
    <w:uiPriority w:val="0"/>
    <w:rPr>
      <w:rFonts w:hint="default" w:ascii="Times New Roman" w:hAnsi="Times New Roman" w:cs="Times New Roman"/>
      <w:color w:val="000000"/>
      <w:sz w:val="18"/>
      <w:szCs w:val="18"/>
      <w:u w:val="none"/>
      <w:vertAlign w:val="subscript"/>
    </w:rPr>
  </w:style>
  <w:style w:type="character" w:customStyle="1" w:styleId="65">
    <w:name w:val="表格内文 Char"/>
    <w:link w:val="45"/>
    <w:autoRedefine/>
    <w:qFormat/>
    <w:uiPriority w:val="0"/>
    <w:rPr>
      <w:sz w:val="18"/>
    </w:rPr>
  </w:style>
  <w:style w:type="character" w:customStyle="1" w:styleId="66">
    <w:name w:val="font51"/>
    <w:basedOn w:val="29"/>
    <w:autoRedefine/>
    <w:qFormat/>
    <w:uiPriority w:val="0"/>
    <w:rPr>
      <w:rFonts w:hint="eastAsia" w:ascii="宋体" w:hAnsi="宋体" w:eastAsia="宋体" w:cs="宋体"/>
      <w:color w:val="000000"/>
      <w:sz w:val="20"/>
      <w:szCs w:val="20"/>
      <w:u w:val="none"/>
    </w:rPr>
  </w:style>
  <w:style w:type="paragraph" w:customStyle="1" w:styleId="67">
    <w:name w:val="K 正文"/>
    <w:basedOn w:val="1"/>
    <w:autoRedefine/>
    <w:qFormat/>
    <w:uiPriority w:val="0"/>
    <w:pPr>
      <w:adjustRightInd w:val="0"/>
      <w:snapToGrid w:val="0"/>
      <w:spacing w:line="360" w:lineRule="auto"/>
      <w:ind w:firstLine="200" w:firstLineChars="200"/>
    </w:pPr>
    <w:rPr>
      <w:bCs/>
      <w:sz w:val="24"/>
      <w:szCs w:val="22"/>
    </w:rPr>
  </w:style>
  <w:style w:type="paragraph" w:customStyle="1" w:styleId="68">
    <w:name w:val="鸿达表格文字"/>
    <w:basedOn w:val="1"/>
    <w:autoRedefine/>
    <w:qFormat/>
    <w:uiPriority w:val="0"/>
    <w:pPr>
      <w:contextualSpacing/>
      <w:jc w:val="center"/>
    </w:pPr>
  </w:style>
  <w:style w:type="paragraph" w:customStyle="1" w:styleId="69">
    <w:name w:val="正文缩进1"/>
    <w:basedOn w:val="1"/>
    <w:qFormat/>
    <w:uiPriority w:val="0"/>
    <w:pPr>
      <w:spacing w:line="360" w:lineRule="auto"/>
      <w:ind w:firstLine="420"/>
    </w:pPr>
  </w:style>
  <w:style w:type="paragraph" w:customStyle="1" w:styleId="70">
    <w:name w:val="a正文"/>
    <w:basedOn w:val="1"/>
    <w:qFormat/>
    <w:uiPriority w:val="0"/>
    <w:pPr>
      <w:spacing w:line="520" w:lineRule="exact"/>
      <w:ind w:firstLine="480" w:firstLineChars="200"/>
    </w:pPr>
    <w:rPr>
      <w:sz w:val="24"/>
    </w:rPr>
  </w:style>
  <w:style w:type="paragraph" w:customStyle="1" w:styleId="71">
    <w:name w:val="Table Text"/>
    <w:basedOn w:val="1"/>
    <w:semiHidden/>
    <w:qFormat/>
    <w:uiPriority w:val="0"/>
    <w:rPr>
      <w:rFonts w:ascii="宋体" w:hAnsi="宋体" w:cs="宋体"/>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extobjs>
    <extobj name="F360BE8B-6686-4F3D-AEAF-501FE73E4058-1">
      <extobjdata type="F360BE8B-6686-4F3D-AEAF-501FE73E4058" data="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4C12A-0BD1-46E0-A6FA-CDD71A746F93}">
  <ds:schemaRefs/>
</ds:datastoreItem>
</file>

<file path=docProps/app.xml><?xml version="1.0" encoding="utf-8"?>
<Properties xmlns="http://schemas.openxmlformats.org/officeDocument/2006/extended-properties" xmlns:vt="http://schemas.openxmlformats.org/officeDocument/2006/docPropsVTypes">
  <Template>Normal</Template>
  <Pages>69</Pages>
  <Words>40015</Words>
  <Characters>45867</Characters>
  <Lines>348</Lines>
  <Paragraphs>98</Paragraphs>
  <TotalTime>16</TotalTime>
  <ScaleCrop>false</ScaleCrop>
  <LinksUpToDate>false</LinksUpToDate>
  <CharactersWithSpaces>46311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2023-12-29T01:23:00Z</dcterms:created>
  <dc:creator>Administrator</dc:creator>
  <cp:lastModifiedBy>laf</cp:lastModifiedBy>
  <cp:lastPrinted>2024-03-26T04:17:00Z</cp:lastPrinted>
  <dcterms:modified xsi:type="dcterms:W3CDTF">2024-09-23T01:40:38Z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B21BEC527166435198445EF533915BBF_13</vt:lpwstr>
  </property>
  <property fmtid="{D5CDD505-2E9C-101B-9397-08002B2CF9AE}" pid="3" name="KSOProductBuildVer">
    <vt:lpwstr>2052-12.1.0.18276</vt:lpwstr>
  </property>
</Properties>
</file>